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52"/>
          <w:szCs w:val="52"/>
        </w:rPr>
      </w:pPr>
    </w:p>
    <w:p>
      <w:pPr>
        <w:jc w:val="center"/>
        <w:rPr>
          <w:b/>
          <w:bCs/>
          <w:sz w:val="52"/>
          <w:szCs w:val="52"/>
        </w:rPr>
      </w:pPr>
    </w:p>
    <w:p>
      <w:pPr>
        <w:jc w:val="center"/>
        <w:rPr>
          <w:b/>
          <w:bCs/>
          <w:sz w:val="52"/>
          <w:szCs w:val="52"/>
        </w:rPr>
      </w:pPr>
    </w:p>
    <w:p>
      <w:pPr>
        <w:jc w:val="center"/>
        <w:rPr>
          <w:b/>
          <w:bCs/>
          <w:sz w:val="52"/>
          <w:szCs w:val="52"/>
        </w:rPr>
      </w:pPr>
    </w:p>
    <w:p>
      <w:pPr>
        <w:jc w:val="center"/>
        <w:rPr>
          <w:b/>
          <w:bCs/>
          <w:sz w:val="52"/>
          <w:szCs w:val="52"/>
        </w:rPr>
      </w:pPr>
    </w:p>
    <w:p>
      <w:pPr>
        <w:jc w:val="center"/>
        <w:rPr>
          <w:b/>
          <w:bCs/>
          <w:sz w:val="52"/>
          <w:szCs w:val="52"/>
        </w:rPr>
      </w:pPr>
    </w:p>
    <w:p>
      <w:pPr>
        <w:jc w:val="center"/>
        <w:rPr>
          <w:b/>
          <w:bCs/>
          <w:sz w:val="52"/>
          <w:szCs w:val="52"/>
        </w:rPr>
      </w:pPr>
      <w:r>
        <w:rPr>
          <w:rFonts w:hint="eastAsia"/>
          <w:b/>
          <w:bCs/>
          <w:sz w:val="52"/>
          <w:szCs w:val="52"/>
        </w:rPr>
        <w:t>北京市人民检察院第三分院</w:t>
      </w:r>
    </w:p>
    <w:p>
      <w:pPr>
        <w:jc w:val="center"/>
        <w:rPr>
          <w:b/>
          <w:bCs/>
          <w:sz w:val="52"/>
          <w:szCs w:val="52"/>
        </w:rPr>
      </w:pPr>
    </w:p>
    <w:p>
      <w:pPr>
        <w:jc w:val="center"/>
        <w:rPr>
          <w:b/>
          <w:bCs/>
          <w:sz w:val="52"/>
          <w:szCs w:val="52"/>
        </w:rPr>
      </w:pPr>
      <w:r>
        <w:rPr>
          <w:rFonts w:hint="eastAsia"/>
          <w:b/>
          <w:bCs/>
          <w:sz w:val="52"/>
          <w:szCs w:val="52"/>
        </w:rPr>
        <w:t>部门整体绩效评价报告</w:t>
      </w:r>
    </w:p>
    <w:p>
      <w:pPr>
        <w:jc w:val="center"/>
        <w:rPr>
          <w:b/>
          <w:bCs/>
          <w:sz w:val="52"/>
        </w:rPr>
      </w:pPr>
    </w:p>
    <w:p>
      <w:pPr>
        <w:rPr>
          <w:rFonts w:eastAsia="黑体"/>
          <w:sz w:val="30"/>
        </w:rPr>
      </w:pPr>
    </w:p>
    <w:p>
      <w:pPr>
        <w:rPr>
          <w:rFonts w:eastAsia="黑体"/>
          <w:sz w:val="30"/>
        </w:rPr>
      </w:pPr>
    </w:p>
    <w:p>
      <w:pPr>
        <w:jc w:val="center"/>
        <w:rPr>
          <w:rFonts w:eastAsia="黑体"/>
          <w:sz w:val="30"/>
        </w:rPr>
      </w:pPr>
    </w:p>
    <w:p>
      <w:pPr>
        <w:jc w:val="center"/>
        <w:rPr>
          <w:rFonts w:eastAsia="黑体"/>
          <w:sz w:val="30"/>
        </w:rPr>
      </w:pPr>
    </w:p>
    <w:p>
      <w:pPr>
        <w:jc w:val="center"/>
        <w:rPr>
          <w:rFonts w:eastAsia="黑体"/>
          <w:sz w:val="30"/>
        </w:rPr>
      </w:pPr>
    </w:p>
    <w:p>
      <w:pPr>
        <w:rPr>
          <w:rFonts w:eastAsia="黑体"/>
          <w:sz w:val="30"/>
          <w:u w:val="single"/>
        </w:rPr>
      </w:pPr>
    </w:p>
    <w:p>
      <w:pPr>
        <w:rPr>
          <w:rFonts w:eastAsia="黑体"/>
          <w:sz w:val="30"/>
          <w:u w:val="single"/>
        </w:rPr>
      </w:pPr>
    </w:p>
    <w:p>
      <w:pPr>
        <w:rPr>
          <w:rFonts w:eastAsia="黑体"/>
          <w:sz w:val="30"/>
          <w:u w:val="single"/>
        </w:rPr>
      </w:pPr>
    </w:p>
    <w:p>
      <w:pPr>
        <w:jc w:val="center"/>
        <w:rPr>
          <w:rFonts w:ascii="宋体"/>
          <w:bCs/>
          <w:sz w:val="36"/>
          <w:szCs w:val="36"/>
        </w:rPr>
      </w:pPr>
      <w:r>
        <w:rPr>
          <w:rFonts w:hint="eastAsia" w:ascii="宋体" w:hAnsi="宋体" w:cs="宋体"/>
          <w:bCs/>
          <w:sz w:val="36"/>
          <w:szCs w:val="36"/>
        </w:rPr>
        <w:t>二</w:t>
      </w:r>
      <w:r>
        <w:rPr>
          <w:rFonts w:hint="eastAsia" w:ascii="宋体" w:cs="宋体"/>
          <w:bCs/>
          <w:sz w:val="36"/>
          <w:szCs w:val="36"/>
        </w:rPr>
        <w:t>〇</w:t>
      </w:r>
      <w:r>
        <w:rPr>
          <w:rFonts w:hint="eastAsia" w:ascii="宋体" w:hAnsi="宋体" w:cs="宋体"/>
          <w:bCs/>
          <w:sz w:val="36"/>
          <w:szCs w:val="36"/>
        </w:rPr>
        <w:t>二二年五月</w:t>
      </w:r>
    </w:p>
    <w:p>
      <w:pPr>
        <w:spacing w:line="560" w:lineRule="exact"/>
        <w:jc w:val="center"/>
        <w:outlineLvl w:val="0"/>
        <w:rPr>
          <w:rFonts w:ascii="方正小标宋简体" w:eastAsia="方正小标宋简体"/>
          <w:sz w:val="36"/>
          <w:szCs w:val="36"/>
        </w:rPr>
        <w:sectPr>
          <w:headerReference r:id="rId3" w:type="default"/>
          <w:footerReference r:id="rId5" w:type="default"/>
          <w:headerReference r:id="rId4" w:type="even"/>
          <w:pgSz w:w="11906" w:h="16838"/>
          <w:pgMar w:top="1440" w:right="1797" w:bottom="1440" w:left="1797" w:header="851" w:footer="992" w:gutter="0"/>
          <w:pgNumType w:fmt="numberInDash"/>
          <w:cols w:space="425" w:num="1"/>
          <w:docGrid w:type="lines" w:linePitch="312" w:charSpace="0"/>
        </w:sectPr>
      </w:pPr>
    </w:p>
    <w:p>
      <w:pPr>
        <w:spacing w:line="560" w:lineRule="exact"/>
        <w:jc w:val="center"/>
        <w:rPr>
          <w:rFonts w:hint="eastAsia" w:ascii="方正小标宋简体" w:eastAsia="方正小标宋简体"/>
          <w:sz w:val="36"/>
          <w:szCs w:val="36"/>
          <w:lang w:eastAsia="zh-CN"/>
        </w:rPr>
      </w:pPr>
      <w:r>
        <w:rPr>
          <w:rFonts w:hint="eastAsia" w:ascii="方正小标宋简体" w:eastAsia="方正小标宋简体"/>
          <w:sz w:val="36"/>
          <w:szCs w:val="36"/>
        </w:rPr>
        <w:t>北京市人民检察院第三分院</w:t>
      </w:r>
    </w:p>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部门整体绩效评价报告</w:t>
      </w:r>
    </w:p>
    <w:p>
      <w:pPr>
        <w:jc w:val="center"/>
        <w:rPr>
          <w:rFonts w:ascii="仿宋_GB2312"/>
          <w:szCs w:val="30"/>
        </w:rPr>
      </w:pPr>
    </w:p>
    <w:p>
      <w:pPr>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为进一步加强预算绩效管理，强化部门支出责任，提高财政资金使用效益，考核财政支出效率和综合效果，根据</w:t>
      </w:r>
      <w:r>
        <w:rPr>
          <w:rFonts w:hint="eastAsia" w:ascii="仿宋_GB2312" w:hAnsi="仿宋_GB2312" w:eastAsia="仿宋_GB2312" w:cs="仿宋_GB2312"/>
          <w:sz w:val="32"/>
        </w:rPr>
        <w:t>《中共北京市委 北京市人民政府关于全面实施预算绩效管理的实施意见》（京发〔2019〕12号）</w:t>
      </w:r>
      <w:r>
        <w:rPr>
          <w:rFonts w:hint="eastAsia" w:ascii="仿宋_GB2312" w:hAnsi="楷体" w:eastAsia="仿宋_GB2312"/>
          <w:bCs/>
          <w:kern w:val="0"/>
          <w:sz w:val="32"/>
          <w:szCs w:val="28"/>
        </w:rPr>
        <w:t>《北京市项目支出绩效评价管理办法》（京财绩效〔2020〕2146号），结合《北京市财政局关于开展202</w:t>
      </w:r>
      <w:r>
        <w:rPr>
          <w:rFonts w:ascii="仿宋_GB2312" w:hAnsi="楷体" w:eastAsia="仿宋_GB2312"/>
          <w:bCs/>
          <w:kern w:val="0"/>
          <w:sz w:val="32"/>
          <w:szCs w:val="28"/>
        </w:rPr>
        <w:t>2</w:t>
      </w:r>
      <w:r>
        <w:rPr>
          <w:rFonts w:hint="eastAsia" w:ascii="仿宋_GB2312" w:hAnsi="楷体" w:eastAsia="仿宋_GB2312"/>
          <w:bCs/>
          <w:kern w:val="0"/>
          <w:sz w:val="32"/>
          <w:szCs w:val="28"/>
        </w:rPr>
        <w:t>年全面预算绩效管理工作的通知》（京财绩效〔202</w:t>
      </w:r>
      <w:r>
        <w:rPr>
          <w:rFonts w:ascii="仿宋_GB2312" w:hAnsi="楷体" w:eastAsia="仿宋_GB2312"/>
          <w:bCs/>
          <w:kern w:val="0"/>
          <w:sz w:val="32"/>
          <w:szCs w:val="28"/>
        </w:rPr>
        <w:t>2</w:t>
      </w:r>
      <w:r>
        <w:rPr>
          <w:rFonts w:hint="eastAsia" w:ascii="仿宋_GB2312" w:hAnsi="楷体" w:eastAsia="仿宋_GB2312"/>
          <w:bCs/>
          <w:kern w:val="0"/>
          <w:sz w:val="32"/>
          <w:szCs w:val="28"/>
        </w:rPr>
        <w:t>〕</w:t>
      </w:r>
      <w:r>
        <w:rPr>
          <w:rFonts w:ascii="仿宋_GB2312" w:hAnsi="楷体" w:eastAsia="仿宋_GB2312"/>
          <w:bCs/>
          <w:kern w:val="0"/>
          <w:sz w:val="32"/>
          <w:szCs w:val="28"/>
        </w:rPr>
        <w:t>669</w:t>
      </w:r>
      <w:r>
        <w:rPr>
          <w:rFonts w:hint="eastAsia" w:ascii="仿宋_GB2312" w:hAnsi="楷体" w:eastAsia="仿宋_GB2312"/>
          <w:bCs/>
          <w:kern w:val="0"/>
          <w:sz w:val="32"/>
          <w:szCs w:val="28"/>
        </w:rPr>
        <w:t>号）的工作安排，北京市人民检察院第三分院（以下简称“市检三分院”）组建绩效评价工作组，</w:t>
      </w:r>
      <w:r>
        <w:rPr>
          <w:rFonts w:ascii="仿宋_GB2312" w:hAnsi="楷体" w:eastAsia="仿宋_GB2312"/>
          <w:bCs/>
          <w:kern w:val="0"/>
          <w:sz w:val="32"/>
          <w:szCs w:val="28"/>
        </w:rPr>
        <w:t>对2021年度部门整体</w:t>
      </w:r>
      <w:r>
        <w:rPr>
          <w:rFonts w:hint="eastAsia" w:ascii="仿宋_GB2312" w:hAnsi="楷体" w:eastAsia="仿宋_GB2312"/>
          <w:bCs/>
          <w:kern w:val="0"/>
          <w:sz w:val="32"/>
          <w:szCs w:val="28"/>
        </w:rPr>
        <w:t>实施</w:t>
      </w:r>
      <w:r>
        <w:rPr>
          <w:rFonts w:ascii="仿宋_GB2312" w:hAnsi="楷体" w:eastAsia="仿宋_GB2312"/>
          <w:bCs/>
          <w:kern w:val="0"/>
          <w:sz w:val="32"/>
          <w:szCs w:val="28"/>
        </w:rPr>
        <w:t>绩效评价，</w:t>
      </w:r>
      <w:r>
        <w:rPr>
          <w:rFonts w:hint="eastAsia" w:ascii="仿宋_GB2312" w:hAnsi="楷体" w:eastAsia="仿宋_GB2312"/>
          <w:bCs/>
          <w:kern w:val="0"/>
          <w:sz w:val="32"/>
          <w:szCs w:val="28"/>
        </w:rPr>
        <w:t>形成本绩效评价报告。</w:t>
      </w:r>
    </w:p>
    <w:p>
      <w:pPr>
        <w:ind w:firstLine="640" w:firstLineChars="200"/>
        <w:outlineLvl w:val="0"/>
        <w:rPr>
          <w:rFonts w:ascii="黑体" w:hAnsi="黑体" w:eastAsia="黑体" w:cs="宋体"/>
          <w:color w:val="000000"/>
          <w:kern w:val="0"/>
          <w:sz w:val="32"/>
          <w:szCs w:val="32"/>
        </w:rPr>
      </w:pPr>
      <w:r>
        <w:rPr>
          <w:rFonts w:hint="eastAsia" w:ascii="黑体" w:hAnsi="黑体" w:eastAsia="黑体" w:cs="宋体"/>
          <w:color w:val="000000"/>
          <w:kern w:val="0"/>
          <w:sz w:val="32"/>
          <w:szCs w:val="32"/>
        </w:rPr>
        <w:t>一、部门概况</w:t>
      </w:r>
    </w:p>
    <w:p>
      <w:pPr>
        <w:ind w:firstLine="640" w:firstLineChars="200"/>
        <w:outlineLvl w:val="1"/>
        <w:rPr>
          <w:rFonts w:ascii="楷体_GB2312" w:eastAsia="楷体_GB2312"/>
          <w:sz w:val="32"/>
          <w:szCs w:val="32"/>
        </w:rPr>
      </w:pPr>
      <w:r>
        <w:rPr>
          <w:rFonts w:hint="eastAsia" w:ascii="楷体_GB2312" w:eastAsia="楷体_GB2312"/>
          <w:sz w:val="32"/>
          <w:szCs w:val="32"/>
        </w:rPr>
        <w:t>（一）机构设置及职责工作任务情况</w:t>
      </w:r>
    </w:p>
    <w:p>
      <w:pPr>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1.部门机构设置</w:t>
      </w:r>
    </w:p>
    <w:p>
      <w:pPr>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市检三分院是国家法律监督机关。按照《北京市检察机关内设机构改革方案》要求，市检三分院共设置12个职能部（室），其中业务部门9个，分别为第一检察部、第二检察部、第三检察部、第四检察部、第五检察部、第六检察部、第七检察部、第八检察部、第九检察部（法律政策研究室）；行政部门3个，分别是办公室、检务督察部、行政事务管理部。另设政治部、机关党委（党建工作处）、机关纪委。</w:t>
      </w:r>
    </w:p>
    <w:p>
      <w:pPr>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2.人员配置及人员构成情况</w:t>
      </w:r>
    </w:p>
    <w:p>
      <w:pPr>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市检三分院部门2021年编制人数206人，其中政法专项编制人数206人，年末实有在职人员187人，其他人员54人（其中，聘用制司法辅助人员43人，劳务派遣人员11人）退休人员34人。</w:t>
      </w:r>
    </w:p>
    <w:p>
      <w:pPr>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3.部门职能</w:t>
      </w:r>
    </w:p>
    <w:p>
      <w:pPr>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市检三分院在北京市人民检察院的领导下，依法行使检察权，其主要职责是：</w:t>
      </w:r>
    </w:p>
    <w:p>
      <w:pPr>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（1）负责受理审查属本院管辖提请逮捕的案件；</w:t>
      </w:r>
    </w:p>
    <w:p>
      <w:pPr>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（2）负责受理属本院管辖提起公诉的案件，并出庭支持公诉；</w:t>
      </w:r>
    </w:p>
    <w:p>
      <w:pPr>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（3）负责公安机关不服区人民检察院不捕决定而提请复核的案件；</w:t>
      </w:r>
    </w:p>
    <w:p>
      <w:pPr>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（4）负责对案件管辖范围内刑事上诉、抗诉案件和基层法院已发生法律效力判决的监督；</w:t>
      </w:r>
    </w:p>
    <w:p>
      <w:pPr>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（5）负责受理案件管辖范围内公民和法人的检举、控告、申诉案件；</w:t>
      </w:r>
    </w:p>
    <w:p>
      <w:pPr>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（6）负责对案件管辖范围内的民事、经济、行政诉讼判决的监督；</w:t>
      </w:r>
    </w:p>
    <w:p>
      <w:pPr>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（7）受理案件管辖范围内的涉外案件；</w:t>
      </w:r>
    </w:p>
    <w:p>
      <w:pPr>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（8）负责对管辖范围内公安机关侦查工作的法律监督；</w:t>
      </w:r>
    </w:p>
    <w:p>
      <w:pPr>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（9）负责对管辖范围内监管场所收押人犯、罪犯改造工作的监督；</w:t>
      </w:r>
    </w:p>
    <w:p>
      <w:pPr>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（1</w:t>
      </w:r>
      <w:r>
        <w:rPr>
          <w:rFonts w:ascii="仿宋_GB2312" w:hAnsi="楷体" w:eastAsia="仿宋_GB2312"/>
          <w:bCs/>
          <w:kern w:val="0"/>
          <w:sz w:val="32"/>
          <w:szCs w:val="28"/>
        </w:rPr>
        <w:t>0</w:t>
      </w:r>
      <w:r>
        <w:rPr>
          <w:rFonts w:hint="eastAsia" w:ascii="仿宋_GB2312" w:hAnsi="楷体" w:eastAsia="仿宋_GB2312"/>
          <w:bCs/>
          <w:kern w:val="0"/>
          <w:sz w:val="32"/>
          <w:szCs w:val="28"/>
        </w:rPr>
        <w:t>）负责对应由分院管辖的国家赔偿案件的审查及不服区人民检察院处理的赔偿案件的复议；</w:t>
      </w:r>
    </w:p>
    <w:p>
      <w:pPr>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（1</w:t>
      </w:r>
      <w:r>
        <w:rPr>
          <w:rFonts w:ascii="仿宋_GB2312" w:hAnsi="楷体" w:eastAsia="仿宋_GB2312"/>
          <w:bCs/>
          <w:kern w:val="0"/>
          <w:sz w:val="32"/>
          <w:szCs w:val="28"/>
        </w:rPr>
        <w:t>1</w:t>
      </w:r>
      <w:r>
        <w:rPr>
          <w:rFonts w:hint="eastAsia" w:ascii="仿宋_GB2312" w:hAnsi="楷体" w:eastAsia="仿宋_GB2312"/>
          <w:bCs/>
          <w:kern w:val="0"/>
          <w:sz w:val="32"/>
          <w:szCs w:val="28"/>
        </w:rPr>
        <w:t>）负责本院的队伍建设和权限内的干部人事管理工作；负责本院纪律检查和行政监察工作；负责本院的后勤管理和物资装备工作；</w:t>
      </w:r>
    </w:p>
    <w:p>
      <w:pPr>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（1</w:t>
      </w:r>
      <w:r>
        <w:rPr>
          <w:rFonts w:ascii="仿宋_GB2312" w:hAnsi="楷体" w:eastAsia="仿宋_GB2312"/>
          <w:bCs/>
          <w:kern w:val="0"/>
          <w:sz w:val="32"/>
          <w:szCs w:val="28"/>
        </w:rPr>
        <w:t>2</w:t>
      </w:r>
      <w:r>
        <w:rPr>
          <w:rFonts w:hint="eastAsia" w:ascii="仿宋_GB2312" w:hAnsi="楷体" w:eastAsia="仿宋_GB2312"/>
          <w:bCs/>
          <w:kern w:val="0"/>
          <w:sz w:val="32"/>
          <w:szCs w:val="28"/>
        </w:rPr>
        <w:t>）负责市人民检察院交办的有关工作。</w:t>
      </w:r>
    </w:p>
    <w:p>
      <w:pPr>
        <w:ind w:firstLine="640" w:firstLineChars="200"/>
        <w:outlineLvl w:val="1"/>
        <w:rPr>
          <w:rFonts w:ascii="楷体_GB2312" w:eastAsia="楷体_GB2312"/>
          <w:sz w:val="32"/>
          <w:szCs w:val="32"/>
        </w:rPr>
      </w:pPr>
      <w:r>
        <w:rPr>
          <w:rFonts w:hint="eastAsia" w:ascii="楷体_GB2312" w:eastAsia="楷体_GB2312"/>
          <w:sz w:val="32"/>
          <w:szCs w:val="32"/>
        </w:rPr>
        <w:t>（二）部门整体绩效目标设立情况</w:t>
      </w:r>
    </w:p>
    <w:p>
      <w:pPr>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2021年是“十四五”开局之年，也是开启全面建设社会主义现代化国家新征程的重要年份。全市检察机关以习近平新时代中国特色社会主义思想为指导，深入贯彻落实市委十二届十五次、十六次全会、第十五次全国检察工作会议、第十一次北京市检察工作会议精神，根据《第十一次北京市检察工作会议部署重点工作任务分工方案》和市检三分院年度工作会议部署安排，经院党组研究，制定市检三分院《2021年重点任务清单及责任分工》。《2021年重点任务清单及责任分工》明确“以政治建设为统领，狠抓党的各项建设”“全力维护政治安全和大局稳定”、“全力服务首都‘十四五’开好局、起好步”、“全面充分履行检察职能”、“强化自身建设”“提升检务政务保障水平”等年度重点任务。</w:t>
      </w:r>
    </w:p>
    <w:p>
      <w:pPr>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2021年，市检三分院部门整体绩效目标紧紧围绕单位“三定”方案职能，结合《2021年度重点任务及责任分工》等制定，既充分体现了职责职能和常规工作任务，也结合特殊重要时点，突出体现了年度新增特色重点工作内容。</w:t>
      </w:r>
    </w:p>
    <w:p>
      <w:pPr>
        <w:ind w:firstLine="640" w:firstLineChars="200"/>
        <w:outlineLvl w:val="0"/>
        <w:rPr>
          <w:rFonts w:ascii="黑体" w:hAnsi="黑体" w:eastAsia="黑体" w:cs="宋体"/>
          <w:color w:val="000000"/>
          <w:kern w:val="0"/>
          <w:sz w:val="32"/>
          <w:szCs w:val="32"/>
        </w:rPr>
      </w:pPr>
      <w:r>
        <w:rPr>
          <w:rFonts w:hint="eastAsia" w:ascii="黑体" w:hAnsi="黑体" w:eastAsia="黑体" w:cs="宋体"/>
          <w:color w:val="000000"/>
          <w:kern w:val="0"/>
          <w:sz w:val="32"/>
          <w:szCs w:val="32"/>
        </w:rPr>
        <w:t>二</w:t>
      </w:r>
      <w:r>
        <w:rPr>
          <w:rFonts w:ascii="黑体" w:hAnsi="黑体" w:eastAsia="黑体" w:cs="宋体"/>
          <w:color w:val="000000"/>
          <w:kern w:val="0"/>
          <w:sz w:val="32"/>
          <w:szCs w:val="32"/>
        </w:rPr>
        <w:t>、</w:t>
      </w:r>
      <w:r>
        <w:rPr>
          <w:rFonts w:hint="eastAsia" w:ascii="黑体" w:hAnsi="黑体" w:eastAsia="黑体" w:cs="宋体"/>
          <w:color w:val="000000"/>
          <w:kern w:val="0"/>
          <w:sz w:val="32"/>
          <w:szCs w:val="32"/>
        </w:rPr>
        <w:t>当年</w:t>
      </w:r>
      <w:r>
        <w:rPr>
          <w:rFonts w:ascii="黑体" w:hAnsi="黑体" w:eastAsia="黑体" w:cs="宋体"/>
          <w:color w:val="000000"/>
          <w:kern w:val="0"/>
          <w:sz w:val="32"/>
          <w:szCs w:val="32"/>
        </w:rPr>
        <w:t>预算执行情况</w:t>
      </w:r>
    </w:p>
    <w:p>
      <w:pPr>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2021年</w:t>
      </w:r>
      <w:r>
        <w:rPr>
          <w:rFonts w:ascii="仿宋_GB2312" w:hAnsi="宋体" w:eastAsia="仿宋_GB2312" w:cs="宋体"/>
          <w:color w:val="000000"/>
          <w:kern w:val="0"/>
          <w:sz w:val="32"/>
          <w:szCs w:val="32"/>
        </w:rPr>
        <w:t>全年</w:t>
      </w:r>
      <w:r>
        <w:rPr>
          <w:rFonts w:hint="eastAsia" w:ascii="仿宋_GB2312" w:hAnsi="宋体" w:eastAsia="仿宋_GB2312" w:cs="宋体"/>
          <w:color w:val="000000"/>
          <w:kern w:val="0"/>
          <w:sz w:val="32"/>
          <w:szCs w:val="32"/>
        </w:rPr>
        <w:t>预算批复</w:t>
      </w:r>
      <w:r>
        <w:rPr>
          <w:rFonts w:ascii="仿宋_GB2312" w:hAnsi="宋体" w:eastAsia="仿宋_GB2312" w:cs="宋体"/>
          <w:color w:val="000000"/>
          <w:kern w:val="0"/>
          <w:sz w:val="32"/>
          <w:szCs w:val="32"/>
        </w:rPr>
        <w:t>21</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620</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09</w:t>
      </w:r>
      <w:r>
        <w:rPr>
          <w:rFonts w:hint="eastAsia" w:ascii="仿宋_GB2312" w:hAnsi="宋体" w:eastAsia="仿宋_GB2312" w:cs="宋体"/>
          <w:color w:val="000000"/>
          <w:kern w:val="0"/>
          <w:sz w:val="32"/>
          <w:szCs w:val="32"/>
        </w:rPr>
        <w:t>万元</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其中</w:t>
      </w:r>
      <w:r>
        <w:rPr>
          <w:rFonts w:ascii="仿宋_GB2312" w:hAnsi="宋体" w:eastAsia="仿宋_GB2312" w:cs="宋体"/>
          <w:color w:val="000000"/>
          <w:kern w:val="0"/>
          <w:sz w:val="32"/>
          <w:szCs w:val="32"/>
        </w:rPr>
        <w:t>，基本</w:t>
      </w:r>
      <w:r>
        <w:rPr>
          <w:rFonts w:hint="eastAsia" w:ascii="仿宋_GB2312" w:hAnsi="宋体" w:eastAsia="仿宋_GB2312" w:cs="宋体"/>
          <w:color w:val="000000"/>
          <w:kern w:val="0"/>
          <w:sz w:val="32"/>
          <w:szCs w:val="32"/>
        </w:rPr>
        <w:t>支出</w:t>
      </w:r>
      <w:r>
        <w:rPr>
          <w:rFonts w:ascii="仿宋_GB2312" w:hAnsi="宋体" w:eastAsia="仿宋_GB2312" w:cs="宋体"/>
          <w:color w:val="000000"/>
          <w:kern w:val="0"/>
          <w:sz w:val="32"/>
          <w:szCs w:val="32"/>
        </w:rPr>
        <w:t>预算9</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884</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81万元，</w:t>
      </w:r>
      <w:r>
        <w:rPr>
          <w:rFonts w:hint="eastAsia" w:ascii="仿宋_GB2312" w:hAnsi="宋体" w:eastAsia="仿宋_GB2312" w:cs="宋体"/>
          <w:color w:val="000000"/>
          <w:kern w:val="0"/>
          <w:sz w:val="32"/>
          <w:szCs w:val="32"/>
        </w:rPr>
        <w:t>项目支出预算</w:t>
      </w:r>
      <w:r>
        <w:rPr>
          <w:rFonts w:ascii="仿宋_GB2312" w:hAnsi="宋体" w:eastAsia="仿宋_GB2312" w:cs="宋体"/>
          <w:color w:val="000000"/>
          <w:kern w:val="0"/>
          <w:sz w:val="32"/>
          <w:szCs w:val="32"/>
        </w:rPr>
        <w:t>11</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735.28万元</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资金总体</w:t>
      </w:r>
      <w:r>
        <w:rPr>
          <w:rFonts w:hint="eastAsia" w:ascii="仿宋_GB2312" w:hAnsi="宋体" w:eastAsia="仿宋_GB2312" w:cs="宋体"/>
          <w:color w:val="000000"/>
          <w:kern w:val="0"/>
          <w:sz w:val="32"/>
          <w:szCs w:val="32"/>
        </w:rPr>
        <w:t>支出</w:t>
      </w:r>
      <w:r>
        <w:rPr>
          <w:rFonts w:ascii="仿宋_GB2312" w:hAnsi="宋体" w:eastAsia="仿宋_GB2312" w:cs="宋体"/>
          <w:sz w:val="32"/>
          <w:szCs w:val="32"/>
        </w:rPr>
        <w:t>14</w:t>
      </w:r>
      <w:r>
        <w:rPr>
          <w:rFonts w:hint="eastAsia" w:ascii="仿宋_GB2312" w:hAnsi="宋体" w:eastAsia="仿宋_GB2312" w:cs="宋体"/>
          <w:sz w:val="32"/>
          <w:szCs w:val="32"/>
        </w:rPr>
        <w:t>,</w:t>
      </w:r>
      <w:r>
        <w:rPr>
          <w:rFonts w:ascii="仿宋_GB2312" w:hAnsi="宋体" w:eastAsia="仿宋_GB2312" w:cs="宋体"/>
          <w:sz w:val="32"/>
          <w:szCs w:val="32"/>
        </w:rPr>
        <w:t>221.82</w:t>
      </w:r>
      <w:r>
        <w:rPr>
          <w:rFonts w:ascii="仿宋_GB2312" w:hAnsi="宋体" w:eastAsia="仿宋_GB2312" w:cs="宋体"/>
          <w:color w:val="000000"/>
          <w:kern w:val="0"/>
          <w:sz w:val="32"/>
          <w:szCs w:val="32"/>
        </w:rPr>
        <w:t>万元，其中，基本支出9</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694.73万元，项目</w:t>
      </w:r>
      <w:r>
        <w:rPr>
          <w:rFonts w:hint="eastAsia" w:ascii="仿宋_GB2312" w:hAnsi="宋体" w:eastAsia="仿宋_GB2312" w:cs="宋体"/>
          <w:color w:val="000000"/>
          <w:kern w:val="0"/>
          <w:sz w:val="32"/>
          <w:szCs w:val="32"/>
        </w:rPr>
        <w:t>支出</w:t>
      </w:r>
      <w:r>
        <w:rPr>
          <w:rFonts w:ascii="仿宋_GB2312" w:hAnsi="宋体" w:eastAsia="仿宋_GB2312" w:cs="宋体"/>
          <w:sz w:val="32"/>
          <w:szCs w:val="32"/>
        </w:rPr>
        <w:t>4</w:t>
      </w:r>
      <w:r>
        <w:rPr>
          <w:rFonts w:hint="eastAsia" w:ascii="仿宋_GB2312" w:hAnsi="宋体" w:eastAsia="仿宋_GB2312" w:cs="宋体"/>
          <w:sz w:val="32"/>
          <w:szCs w:val="32"/>
        </w:rPr>
        <w:t>,</w:t>
      </w:r>
      <w:r>
        <w:rPr>
          <w:rFonts w:ascii="仿宋_GB2312" w:hAnsi="宋体" w:eastAsia="仿宋_GB2312" w:cs="宋体"/>
          <w:sz w:val="32"/>
          <w:szCs w:val="32"/>
        </w:rPr>
        <w:t>527.09</w:t>
      </w:r>
      <w:r>
        <w:rPr>
          <w:rFonts w:ascii="仿宋_GB2312" w:hAnsi="宋体" w:eastAsia="仿宋_GB2312" w:cs="宋体"/>
          <w:color w:val="000000"/>
          <w:kern w:val="0"/>
          <w:sz w:val="32"/>
          <w:szCs w:val="32"/>
        </w:rPr>
        <w:t>万元。</w:t>
      </w:r>
      <w:r>
        <w:rPr>
          <w:rFonts w:hint="eastAsia" w:ascii="仿宋_GB2312" w:hAnsi="宋体" w:eastAsia="仿宋_GB2312" w:cs="宋体"/>
          <w:color w:val="000000"/>
          <w:kern w:val="0"/>
          <w:sz w:val="32"/>
          <w:szCs w:val="32"/>
        </w:rPr>
        <w:t>预算</w:t>
      </w:r>
      <w:r>
        <w:rPr>
          <w:rFonts w:ascii="仿宋_GB2312" w:hAnsi="宋体" w:eastAsia="仿宋_GB2312" w:cs="宋体"/>
          <w:color w:val="000000"/>
          <w:kern w:val="0"/>
          <w:sz w:val="32"/>
          <w:szCs w:val="32"/>
        </w:rPr>
        <w:t>执行率为65</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78%</w:t>
      </w:r>
      <w:r>
        <w:rPr>
          <w:rFonts w:hint="eastAsia" w:ascii="仿宋_GB2312" w:hAnsi="宋体" w:eastAsia="仿宋_GB2312" w:cs="宋体"/>
          <w:color w:val="000000"/>
          <w:kern w:val="0"/>
          <w:sz w:val="32"/>
          <w:szCs w:val="32"/>
        </w:rPr>
        <w:t>。</w:t>
      </w:r>
    </w:p>
    <w:p>
      <w:pPr>
        <w:ind w:left="105" w:leftChars="50" w:firstLine="480" w:firstLineChars="150"/>
        <w:outlineLvl w:val="0"/>
        <w:rPr>
          <w:rFonts w:ascii="黑体" w:hAnsi="黑体" w:eastAsia="黑体" w:cs="宋体"/>
          <w:color w:val="000000"/>
          <w:kern w:val="0"/>
          <w:sz w:val="32"/>
          <w:szCs w:val="32"/>
        </w:rPr>
      </w:pPr>
      <w:r>
        <w:rPr>
          <w:rFonts w:hint="eastAsia" w:ascii="黑体" w:hAnsi="黑体" w:eastAsia="黑体" w:cs="宋体"/>
          <w:color w:val="000000"/>
          <w:kern w:val="0"/>
          <w:sz w:val="32"/>
          <w:szCs w:val="32"/>
        </w:rPr>
        <w:t>三</w:t>
      </w:r>
      <w:r>
        <w:rPr>
          <w:rFonts w:ascii="黑体" w:hAnsi="黑体" w:eastAsia="黑体" w:cs="宋体"/>
          <w:color w:val="000000"/>
          <w:kern w:val="0"/>
          <w:sz w:val="32"/>
          <w:szCs w:val="32"/>
        </w:rPr>
        <w:t>、整体绩效目标实现情况</w:t>
      </w:r>
    </w:p>
    <w:p>
      <w:pPr>
        <w:ind w:left="105" w:leftChars="50" w:firstLine="480" w:firstLineChars="150"/>
        <w:outlineLvl w:val="1"/>
        <w:rPr>
          <w:rFonts w:ascii="楷体_GB2312" w:eastAsia="楷体_GB2312"/>
          <w:sz w:val="32"/>
          <w:szCs w:val="32"/>
        </w:rPr>
      </w:pPr>
      <w:r>
        <w:rPr>
          <w:rFonts w:hint="eastAsia" w:ascii="楷体_GB2312" w:eastAsia="楷体_GB2312"/>
          <w:sz w:val="32"/>
          <w:szCs w:val="32"/>
        </w:rPr>
        <w:t>（一）产出完成情况分析</w:t>
      </w:r>
    </w:p>
    <w:p>
      <w:pPr>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2021年共计完成6个项目，主要为机构运行保障类项目。</w:t>
      </w:r>
    </w:p>
    <w:p>
      <w:pPr>
        <w:spacing w:line="60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1.产出数量</w:t>
      </w:r>
    </w:p>
    <w:p>
      <w:pPr>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1）以建党100周年庆祝活动安全稳定为主线，依法惩处危害国家安全、公共安全和人民生命财产安全等犯罪，共批准（决定）逮捕各类犯罪嫌疑人72人，提起公诉184人，助力更高水平的“平安北京”建设。依法办理扫黑除恶专项关联案件10件10人，主动发现并移送违法线索9件9人，截至目前已有3件3人获有罪判决。</w:t>
      </w:r>
    </w:p>
    <w:p>
      <w:pPr>
        <w:ind w:firstLine="640" w:firstLineChars="200"/>
        <w:rPr>
          <w:rFonts w:hint="eastAsia" w:ascii="仿宋_GB2312" w:hAnsi="楷体" w:eastAsia="仿宋_GB2312"/>
          <w:bCs/>
          <w:kern w:val="0"/>
          <w:sz w:val="32"/>
          <w:szCs w:val="28"/>
          <w:lang w:eastAsia="zh-CN"/>
        </w:rPr>
      </w:pPr>
      <w:r>
        <w:rPr>
          <w:rFonts w:hint="eastAsia" w:ascii="仿宋_GB2312" w:hAnsi="楷体" w:eastAsia="仿宋_GB2312"/>
          <w:bCs/>
          <w:kern w:val="0"/>
          <w:sz w:val="32"/>
          <w:szCs w:val="28"/>
        </w:rPr>
        <w:t>（2）严格落实《北京市接诉即办工作条例》，办理群众来信1678件，办理网络信访377件，全部做到在7日内程序性回复、3个月内办理过程或结果答复；办理12345热线信访62件，全部登记分流，按要求进行答复；接待来访1326次，其中，妥善处置集体访7次、重复访200次</w:t>
      </w:r>
      <w:r>
        <w:rPr>
          <w:rFonts w:hint="eastAsia" w:ascii="仿宋_GB2312" w:hAnsi="楷体" w:eastAsia="仿宋_GB2312"/>
          <w:bCs/>
          <w:kern w:val="0"/>
          <w:sz w:val="32"/>
          <w:szCs w:val="28"/>
          <w:lang w:eastAsia="zh-CN"/>
        </w:rPr>
        <w:t>。</w:t>
      </w:r>
    </w:p>
    <w:p>
      <w:pPr>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（3）全年共受理民事案件728件，审结631件，提请市院抗诉47件，目前已获市院支持13件；向法院提出抗诉158件，发出书面检察建议6件、口头检察建议3件，同比均有大幅增长。依职权监督154件。</w:t>
      </w:r>
    </w:p>
    <w:p>
      <w:pPr>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4）执行押送、换押、传唤、协助拘留任务10次，送达、调送卷宗172次3433册、法律文书174次4602件。针对司法人员涉嫌14种罪名的职务犯罪，执行重大看管任务8次，安全圆满完成了“10.02”“7.16”等重大专案的看管任务。完成技术服务、远程办案保障、运维调试等保障工作2940件，受理各类技术案件33件。</w:t>
      </w:r>
    </w:p>
    <w:p>
      <w:pPr>
        <w:spacing w:line="60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2.产出质量</w:t>
      </w:r>
    </w:p>
    <w:p>
      <w:pPr>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1）市检三分院将“为大局服务、为人民司法”的初心使命贯穿检察工作全过程，扎实开展“检察为民办实事”实践活动，制定、完善活动方案和“4+N”清单，形成31项具体举措，办结11大类65项实事。坚持把开展党史学习教育同推动检察工作高质量发展紧密结合，推动全面加强法律监督、整体提升办案质效等方面取得新进展。</w:t>
      </w:r>
    </w:p>
    <w:p>
      <w:pPr>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2）市检三分院制定《立(撤)案监督线索发现流转管理办法（试行）》，健全完善“三办法”“四张图”制度机制，以制度化提升监督办案的规范化、专业化水平。发出侦查活动《纠正违法通知书》《侦查活动监督通知书》20件，整改回复率100%，侦查机关0复议。</w:t>
      </w:r>
    </w:p>
    <w:p>
      <w:pPr>
        <w:spacing w:line="60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3.产出进度</w:t>
      </w:r>
    </w:p>
    <w:p>
      <w:pPr>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市检三分院工作贯穿全年，按照年初预算批复及年中追加调整批复，2021年完成了各项检察工作。</w:t>
      </w:r>
    </w:p>
    <w:p>
      <w:pPr>
        <w:spacing w:line="60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4.产出成本</w:t>
      </w:r>
    </w:p>
    <w:p>
      <w:pPr>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2021年基本支出9,694.73万元，项目支出4,527.09万元。部门整体支出控制在预算批复内。</w:t>
      </w:r>
    </w:p>
    <w:p>
      <w:pPr>
        <w:ind w:left="105" w:leftChars="50" w:firstLine="480" w:firstLineChars="150"/>
        <w:outlineLvl w:val="1"/>
        <w:rPr>
          <w:rFonts w:ascii="楷体_GB2312" w:eastAsia="楷体_GB2312"/>
          <w:sz w:val="32"/>
          <w:szCs w:val="32"/>
        </w:rPr>
      </w:pPr>
      <w:r>
        <w:rPr>
          <w:rFonts w:hint="eastAsia" w:ascii="楷体_GB2312" w:eastAsia="楷体_GB2312"/>
          <w:sz w:val="32"/>
          <w:szCs w:val="32"/>
        </w:rPr>
        <w:t>（二）效果</w:t>
      </w:r>
      <w:r>
        <w:rPr>
          <w:rFonts w:ascii="楷体_GB2312" w:eastAsia="楷体_GB2312"/>
          <w:sz w:val="32"/>
          <w:szCs w:val="32"/>
        </w:rPr>
        <w:t>实现情况分析</w:t>
      </w:r>
    </w:p>
    <w:p>
      <w:pPr>
        <w:spacing w:line="60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1.社会效益</w:t>
      </w:r>
    </w:p>
    <w:p>
      <w:pPr>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注重强化行政争议实质性化解工作，先后建立诉源治理和争议化解十项机制、沟通协作工作机制，实质化解行政争议共174件。强化依职权监督，在全市首先实现分院层级依职权监督案件零的突破。与高检院七厅联合创办“行政检察与民同行”全国宣传栏目，被高检院推广为全国品牌。建立“1+2”对下指导工作法和同审同商同办案的“三同”办案模式，着力解决基层难题。</w:t>
      </w:r>
    </w:p>
    <w:p>
      <w:pPr>
        <w:ind w:left="105" w:leftChars="50" w:firstLine="480" w:firstLineChars="150"/>
      </w:pPr>
      <w:r>
        <w:rPr>
          <w:rFonts w:hint="eastAsia" w:ascii="仿宋_GB2312" w:hAnsi="宋体" w:eastAsia="仿宋_GB2312" w:cs="宋体"/>
          <w:color w:val="000000"/>
          <w:kern w:val="0"/>
          <w:sz w:val="32"/>
          <w:szCs w:val="32"/>
        </w:rPr>
        <w:t>（2）深化案件繁简分流，形成“</w:t>
      </w:r>
      <w:r>
        <w:rPr>
          <w:rFonts w:ascii="仿宋_GB2312" w:hAnsi="宋体" w:eastAsia="仿宋_GB2312" w:cs="宋体"/>
          <w:color w:val="000000"/>
          <w:kern w:val="0"/>
          <w:sz w:val="32"/>
          <w:szCs w:val="32"/>
        </w:rPr>
        <w:t>十繁六简三不宜</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工作法</w:t>
      </w:r>
      <w:r>
        <w:rPr>
          <w:rFonts w:hint="eastAsia" w:ascii="仿宋_GB2312" w:hAnsi="宋体" w:eastAsia="仿宋_GB2312" w:cs="宋体"/>
          <w:color w:val="000000"/>
          <w:kern w:val="0"/>
          <w:sz w:val="32"/>
          <w:szCs w:val="32"/>
        </w:rPr>
        <w:t>，确保简出效率、繁出精品。</w:t>
      </w:r>
      <w:r>
        <w:rPr>
          <w:rFonts w:ascii="仿宋_GB2312" w:hAnsi="宋体" w:eastAsia="仿宋_GB2312" w:cs="宋体"/>
          <w:color w:val="000000"/>
          <w:kern w:val="0"/>
          <w:sz w:val="32"/>
          <w:szCs w:val="32"/>
        </w:rPr>
        <w:t>坚持</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三审查、四强化</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，突出对实体、程序和审判人员违法行为重点审查，增强监督的主动性、精准度和实效性，依法提出监督意见，获当事人赠送锦旗6面。</w:t>
      </w:r>
    </w:p>
    <w:p>
      <w:pPr>
        <w:spacing w:line="60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2.可持续性影响</w:t>
      </w:r>
    </w:p>
    <w:p>
      <w:pPr>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w:t>
      </w:r>
      <w:r>
        <w:rPr>
          <w:rFonts w:ascii="仿宋_GB2312" w:hAnsi="宋体" w:eastAsia="仿宋_GB2312" w:cs="宋体"/>
          <w:color w:val="000000"/>
          <w:kern w:val="0"/>
          <w:sz w:val="32"/>
          <w:szCs w:val="32"/>
        </w:rPr>
        <w:t>开展</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检爱同行共护未来</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未成年人保护法律监督专项行动</w:t>
      </w:r>
      <w:r>
        <w:rPr>
          <w:rFonts w:hint="eastAsia" w:ascii="仿宋_GB2312" w:hAnsi="宋体" w:eastAsia="仿宋_GB2312" w:cs="宋体"/>
          <w:color w:val="000000"/>
          <w:kern w:val="0"/>
          <w:sz w:val="32"/>
          <w:szCs w:val="32"/>
        </w:rPr>
        <w:t>和系列法治宣传活动，排查发现有关线索51条，开展普法进校园活动12次，录制“月芽儿”网上微课堂23期。</w:t>
      </w:r>
      <w:r>
        <w:rPr>
          <w:rFonts w:ascii="仿宋_GB2312" w:hAnsi="宋体" w:eastAsia="仿宋_GB2312" w:cs="宋体"/>
          <w:color w:val="000000"/>
          <w:kern w:val="0"/>
          <w:sz w:val="32"/>
          <w:szCs w:val="32"/>
        </w:rPr>
        <w:t>针对8件涉及拒不支付劳动报酬案件，与市区两级人力社保部门、公安机关形成合力，为</w:t>
      </w:r>
      <w:r>
        <w:rPr>
          <w:rFonts w:hint="eastAsia" w:ascii="仿宋_GB2312" w:hAnsi="宋体" w:eastAsia="仿宋_GB2312" w:cs="宋体"/>
          <w:color w:val="000000"/>
          <w:kern w:val="0"/>
          <w:sz w:val="32"/>
          <w:szCs w:val="32"/>
        </w:rPr>
        <w:t>7</w:t>
      </w:r>
      <w:r>
        <w:rPr>
          <w:rFonts w:ascii="仿宋_GB2312" w:hAnsi="宋体" w:eastAsia="仿宋_GB2312" w:cs="宋体"/>
          <w:color w:val="000000"/>
          <w:kern w:val="0"/>
          <w:sz w:val="32"/>
          <w:szCs w:val="32"/>
        </w:rPr>
        <w:t>10</w:t>
      </w:r>
      <w:r>
        <w:rPr>
          <w:rFonts w:hint="eastAsia" w:ascii="仿宋_GB2312" w:hAnsi="宋体" w:eastAsia="仿宋_GB2312" w:cs="宋体"/>
          <w:color w:val="000000"/>
          <w:kern w:val="0"/>
          <w:sz w:val="32"/>
          <w:szCs w:val="32"/>
        </w:rPr>
        <w:t>余名</w:t>
      </w:r>
      <w:r>
        <w:rPr>
          <w:rFonts w:ascii="仿宋_GB2312" w:hAnsi="宋体" w:eastAsia="仿宋_GB2312" w:cs="宋体"/>
          <w:color w:val="000000"/>
          <w:kern w:val="0"/>
          <w:sz w:val="32"/>
          <w:szCs w:val="32"/>
        </w:rPr>
        <w:t>劳动者追回</w:t>
      </w:r>
      <w:r>
        <w:rPr>
          <w:rFonts w:hint="eastAsia" w:ascii="仿宋_GB2312" w:hAnsi="宋体" w:eastAsia="仿宋_GB2312" w:cs="宋体"/>
          <w:color w:val="000000"/>
          <w:kern w:val="0"/>
          <w:sz w:val="32"/>
          <w:szCs w:val="32"/>
        </w:rPr>
        <w:t>工资和赔偿金4</w:t>
      </w:r>
      <w:r>
        <w:rPr>
          <w:rFonts w:ascii="仿宋_GB2312" w:hAnsi="宋体" w:eastAsia="仿宋_GB2312" w:cs="宋体"/>
          <w:color w:val="000000"/>
          <w:kern w:val="0"/>
          <w:sz w:val="32"/>
          <w:szCs w:val="32"/>
        </w:rPr>
        <w:t>900余万元</w:t>
      </w:r>
      <w:r>
        <w:rPr>
          <w:rFonts w:hint="eastAsia" w:ascii="仿宋_GB2312" w:hAnsi="宋体" w:eastAsia="仿宋_GB2312" w:cs="宋体"/>
          <w:color w:val="000000"/>
          <w:kern w:val="0"/>
          <w:sz w:val="32"/>
          <w:szCs w:val="32"/>
        </w:rPr>
        <w:t>，取得较好社会效果</w:t>
      </w:r>
      <w:r>
        <w:rPr>
          <w:rFonts w:ascii="仿宋_GB2312" w:hAnsi="宋体" w:eastAsia="仿宋_GB2312" w:cs="宋体"/>
          <w:color w:val="000000"/>
          <w:kern w:val="0"/>
          <w:sz w:val="32"/>
          <w:szCs w:val="32"/>
        </w:rPr>
        <w:t>。</w:t>
      </w:r>
    </w:p>
    <w:p>
      <w:pPr>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（2）通过检察建议拓展办案职能，积极融入社会治理，落实“必调研、必见面、必跟踪、必复盘”工作机制，主动制发社会治理类检察建议37份，收到回复36份。</w:t>
      </w:r>
    </w:p>
    <w:p>
      <w:pPr>
        <w:spacing w:line="60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3.服务对象满意度</w:t>
      </w:r>
    </w:p>
    <w:p>
      <w:pPr>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服务对象满意度达到9</w:t>
      </w:r>
      <w:r>
        <w:rPr>
          <w:rFonts w:ascii="仿宋_GB2312" w:hAnsi="宋体" w:eastAsia="仿宋_GB2312" w:cs="宋体"/>
          <w:color w:val="000000"/>
          <w:kern w:val="0"/>
          <w:sz w:val="32"/>
          <w:szCs w:val="32"/>
        </w:rPr>
        <w:t>0%</w:t>
      </w:r>
      <w:r>
        <w:rPr>
          <w:rFonts w:hint="eastAsia" w:ascii="仿宋_GB2312" w:hAnsi="宋体" w:eastAsia="仿宋_GB2312" w:cs="宋体"/>
          <w:color w:val="000000"/>
          <w:kern w:val="0"/>
          <w:sz w:val="32"/>
          <w:szCs w:val="32"/>
        </w:rPr>
        <w:t>以上。</w:t>
      </w:r>
    </w:p>
    <w:p>
      <w:pPr>
        <w:ind w:left="105" w:leftChars="50" w:firstLine="480" w:firstLineChars="150"/>
        <w:outlineLvl w:val="0"/>
        <w:rPr>
          <w:rFonts w:ascii="黑体" w:hAnsi="黑体" w:eastAsia="黑体" w:cs="宋体"/>
          <w:color w:val="000000"/>
          <w:kern w:val="0"/>
          <w:sz w:val="32"/>
          <w:szCs w:val="32"/>
        </w:rPr>
      </w:pPr>
      <w:r>
        <w:rPr>
          <w:rFonts w:hint="eastAsia" w:ascii="黑体" w:hAnsi="黑体" w:eastAsia="黑体" w:cs="宋体"/>
          <w:color w:val="000000"/>
          <w:kern w:val="0"/>
          <w:sz w:val="32"/>
          <w:szCs w:val="32"/>
        </w:rPr>
        <w:t>四</w:t>
      </w:r>
      <w:r>
        <w:rPr>
          <w:rFonts w:ascii="黑体" w:hAnsi="黑体" w:eastAsia="黑体" w:cs="宋体"/>
          <w:color w:val="000000"/>
          <w:kern w:val="0"/>
          <w:sz w:val="32"/>
          <w:szCs w:val="32"/>
        </w:rPr>
        <w:t>、预算管理</w:t>
      </w:r>
      <w:r>
        <w:rPr>
          <w:rFonts w:hint="eastAsia" w:ascii="黑体" w:hAnsi="黑体" w:eastAsia="黑体" w:cs="宋体"/>
          <w:color w:val="000000"/>
          <w:kern w:val="0"/>
          <w:sz w:val="32"/>
          <w:szCs w:val="32"/>
        </w:rPr>
        <w:t>情况分</w:t>
      </w:r>
      <w:r>
        <w:rPr>
          <w:rFonts w:ascii="黑体" w:hAnsi="黑体" w:eastAsia="黑体" w:cs="宋体"/>
          <w:color w:val="000000"/>
          <w:kern w:val="0"/>
          <w:sz w:val="32"/>
          <w:szCs w:val="32"/>
        </w:rPr>
        <w:t>析</w:t>
      </w:r>
    </w:p>
    <w:p>
      <w:pPr>
        <w:ind w:left="105" w:leftChars="50" w:firstLine="480" w:firstLineChars="150"/>
        <w:outlineLvl w:val="1"/>
        <w:rPr>
          <w:rFonts w:ascii="楷体_GB2312" w:eastAsia="楷体_GB2312"/>
          <w:sz w:val="32"/>
          <w:szCs w:val="32"/>
        </w:rPr>
      </w:pPr>
      <w:r>
        <w:rPr>
          <w:rFonts w:hint="eastAsia" w:ascii="楷体_GB2312" w:eastAsia="楷体_GB2312"/>
          <w:sz w:val="32"/>
          <w:szCs w:val="32"/>
        </w:rPr>
        <w:t>（一）财务管理</w:t>
      </w:r>
    </w:p>
    <w:p>
      <w:pPr>
        <w:spacing w:line="60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1.财务管理制度健全性</w:t>
      </w:r>
    </w:p>
    <w:p>
      <w:pPr>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市检三分院落实内部控制规范要求，制定了《北京市人民检察院第三分院内部控制规范手册》，已建立《北京市人民检察院第三分院财务管理暂行办法》《北京市人民检察院第三分院预算管理办法》《北京市人民检察院第三分院预算绩效管理办法》《北京市人民检察院第三分院经费支出管理办法》《北京市人民检察院第三分院采购管理办法》《北京市人民检察院第三分院固定资产管理办法》《北京市人民检察院第三分院无形资产管理办法》《北京市人民检察院第三分院货币资金管理办法》《北京市人民检察院第三分院合同管理办法》等相关管理制度，对预算业务、收支业务、采购业务、资产业务、合同业务等财务管理进行了规范，部门财务管理制度健全，各项规定合法、合规，具有一定可操作性。</w:t>
      </w:r>
    </w:p>
    <w:p>
      <w:pPr>
        <w:spacing w:line="60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2.资金使用合规性和安全性</w:t>
      </w:r>
    </w:p>
    <w:p>
      <w:pPr>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2021年经费支出控制在预算批复范围内，严格按照各项制度和要求，资金使用合规，资金管理安全。</w:t>
      </w:r>
    </w:p>
    <w:p>
      <w:pPr>
        <w:ind w:left="105" w:leftChars="50" w:firstLine="800" w:firstLineChars="2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预算编制阶段，加强项目评审，部门预算的编制工作。资金支出按照市财政预算批复执行。严格把关每一笔支出，增强资金使用过程规范化。经抽查部分项目支出会计凭证，资金支出按照内部管理制度执行，未发现资金有超范围、超标准支出的情况，审批手续严格规范。</w:t>
      </w:r>
    </w:p>
    <w:p>
      <w:pPr>
        <w:spacing w:line="60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3.会计基础信息完善性</w:t>
      </w:r>
    </w:p>
    <w:p>
      <w:pPr>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严格按照政府会计制度和《财政部关于贯彻实施政府会计准则制度的通知》和市检察院、高检院的相关要求开展会计工作。通过梳理重点项目支出会计凭证及会计账簿、财务报告等基础信息，会计信息管理工作较为规范。</w:t>
      </w:r>
    </w:p>
    <w:p>
      <w:pPr>
        <w:ind w:left="105" w:leftChars="50" w:firstLine="480" w:firstLineChars="150"/>
        <w:outlineLvl w:val="1"/>
        <w:rPr>
          <w:rFonts w:ascii="楷体_GB2312" w:eastAsia="楷体_GB2312"/>
          <w:sz w:val="32"/>
          <w:szCs w:val="32"/>
        </w:rPr>
      </w:pPr>
      <w:r>
        <w:rPr>
          <w:rFonts w:hint="eastAsia" w:ascii="楷体_GB2312" w:eastAsia="楷体_GB2312"/>
          <w:sz w:val="32"/>
          <w:szCs w:val="32"/>
        </w:rPr>
        <w:t>（二）资产管理</w:t>
      </w:r>
    </w:p>
    <w:p>
      <w:pPr>
        <w:spacing w:line="60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1.资产总体情况</w:t>
      </w:r>
    </w:p>
    <w:p>
      <w:pPr>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截至</w:t>
      </w:r>
      <w:r>
        <w:rPr>
          <w:rFonts w:ascii="仿宋_GB2312" w:hAnsi="宋体" w:eastAsia="仿宋_GB2312" w:cs="宋体"/>
          <w:color w:val="000000"/>
          <w:kern w:val="0"/>
          <w:sz w:val="32"/>
          <w:szCs w:val="32"/>
        </w:rPr>
        <w:t>2021</w:t>
      </w:r>
      <w:r>
        <w:rPr>
          <w:rFonts w:hint="eastAsia" w:ascii="仿宋_GB2312" w:hAnsi="宋体" w:eastAsia="仿宋_GB2312" w:cs="宋体"/>
          <w:color w:val="000000"/>
          <w:kern w:val="0"/>
          <w:sz w:val="32"/>
          <w:szCs w:val="32"/>
        </w:rPr>
        <w:t>年1</w:t>
      </w:r>
      <w:r>
        <w:rPr>
          <w:rFonts w:ascii="仿宋_GB2312" w:hAnsi="宋体" w:eastAsia="仿宋_GB2312" w:cs="宋体"/>
          <w:color w:val="000000"/>
          <w:kern w:val="0"/>
          <w:sz w:val="32"/>
          <w:szCs w:val="32"/>
        </w:rPr>
        <w:t>2</w:t>
      </w:r>
      <w:r>
        <w:rPr>
          <w:rFonts w:hint="eastAsia" w:ascii="仿宋_GB2312" w:hAnsi="宋体" w:eastAsia="仿宋_GB2312" w:cs="宋体"/>
          <w:color w:val="000000"/>
          <w:kern w:val="0"/>
          <w:sz w:val="32"/>
          <w:szCs w:val="32"/>
        </w:rPr>
        <w:t>月3</w:t>
      </w:r>
      <w:r>
        <w:rPr>
          <w:rFonts w:ascii="仿宋_GB2312" w:hAnsi="宋体" w:eastAsia="仿宋_GB2312" w:cs="宋体"/>
          <w:color w:val="000000"/>
          <w:kern w:val="0"/>
          <w:sz w:val="32"/>
          <w:szCs w:val="32"/>
        </w:rPr>
        <w:t>1</w:t>
      </w:r>
      <w:r>
        <w:rPr>
          <w:rFonts w:hint="eastAsia" w:ascii="仿宋_GB2312" w:hAnsi="宋体" w:eastAsia="仿宋_GB2312" w:cs="宋体"/>
          <w:color w:val="000000"/>
          <w:kern w:val="0"/>
          <w:sz w:val="32"/>
          <w:szCs w:val="32"/>
        </w:rPr>
        <w:t>日，资产总额</w:t>
      </w:r>
      <w:r>
        <w:rPr>
          <w:rFonts w:hint="eastAsia" w:ascii="仿宋" w:hAnsi="仿宋" w:eastAsia="仿宋"/>
          <w:color w:val="000000"/>
          <w:sz w:val="32"/>
          <w:szCs w:val="32"/>
        </w:rPr>
        <w:t>（</w:t>
      </w:r>
      <w:r>
        <w:rPr>
          <w:rFonts w:hint="eastAsia" w:ascii="仿宋_GB2312" w:hAnsi="宋体" w:eastAsia="仿宋_GB2312" w:cs="宋体"/>
          <w:color w:val="000000"/>
          <w:kern w:val="0"/>
          <w:sz w:val="32"/>
          <w:szCs w:val="32"/>
        </w:rPr>
        <w:t>账面净值，下同）</w:t>
      </w:r>
      <w:r>
        <w:rPr>
          <w:rFonts w:ascii="仿宋_GB2312" w:hAnsi="宋体" w:eastAsia="仿宋_GB2312" w:cs="宋体"/>
          <w:color w:val="000000"/>
          <w:kern w:val="0"/>
          <w:sz w:val="32"/>
          <w:szCs w:val="32"/>
        </w:rPr>
        <w:t>8</w:t>
      </w:r>
      <w:r>
        <w:rPr>
          <w:rFonts w:hint="eastAsia" w:ascii="仿宋_GB2312" w:hAnsi="宋体" w:eastAsia="仿宋_GB2312" w:cs="宋体"/>
          <w:color w:val="000000"/>
          <w:kern w:val="0"/>
          <w:sz w:val="32"/>
          <w:szCs w:val="32"/>
        </w:rPr>
        <w:t>,</w:t>
      </w:r>
      <w:r>
        <w:rPr>
          <w:rFonts w:ascii="仿宋_GB2312" w:hAnsi="宋体" w:eastAsia="仿宋_GB2312" w:cs="宋体"/>
          <w:color w:val="000000"/>
          <w:kern w:val="0"/>
          <w:sz w:val="32"/>
          <w:szCs w:val="32"/>
        </w:rPr>
        <w:t>371.73</w:t>
      </w:r>
      <w:r>
        <w:rPr>
          <w:rFonts w:hint="eastAsia" w:ascii="仿宋_GB2312" w:hAnsi="宋体" w:eastAsia="仿宋_GB2312" w:cs="宋体"/>
          <w:color w:val="000000"/>
          <w:kern w:val="0"/>
          <w:sz w:val="32"/>
          <w:szCs w:val="32"/>
        </w:rPr>
        <w:t>万元，负债总额</w:t>
      </w:r>
      <w:r>
        <w:rPr>
          <w:rFonts w:ascii="仿宋_GB2312" w:hAnsi="宋体" w:eastAsia="仿宋_GB2312" w:cs="宋体"/>
          <w:color w:val="000000"/>
          <w:kern w:val="0"/>
          <w:sz w:val="32"/>
          <w:szCs w:val="32"/>
        </w:rPr>
        <w:t>128.49</w:t>
      </w:r>
      <w:r>
        <w:rPr>
          <w:rFonts w:hint="eastAsia" w:ascii="仿宋_GB2312" w:hAnsi="宋体" w:eastAsia="仿宋_GB2312" w:cs="宋体"/>
          <w:color w:val="000000"/>
          <w:kern w:val="0"/>
          <w:sz w:val="32"/>
          <w:szCs w:val="32"/>
        </w:rPr>
        <w:t>万元，净资产</w:t>
      </w:r>
      <w:r>
        <w:rPr>
          <w:rFonts w:ascii="仿宋_GB2312" w:hAnsi="宋体" w:eastAsia="仿宋_GB2312" w:cs="宋体"/>
          <w:color w:val="000000"/>
          <w:kern w:val="0"/>
          <w:sz w:val="32"/>
          <w:szCs w:val="32"/>
        </w:rPr>
        <w:t>8,243.24</w:t>
      </w:r>
      <w:r>
        <w:rPr>
          <w:rFonts w:hint="eastAsia" w:ascii="仿宋_GB2312" w:hAnsi="宋体" w:eastAsia="仿宋_GB2312" w:cs="宋体"/>
          <w:color w:val="000000"/>
          <w:kern w:val="0"/>
          <w:sz w:val="32"/>
          <w:szCs w:val="32"/>
        </w:rPr>
        <w:t>万元。资产总额构成情况：货币资金</w:t>
      </w:r>
      <w:r>
        <w:rPr>
          <w:rFonts w:ascii="仿宋_GB2312" w:hAnsi="宋体" w:eastAsia="仿宋_GB2312" w:cs="宋体"/>
          <w:color w:val="000000"/>
          <w:kern w:val="0"/>
          <w:sz w:val="32"/>
          <w:szCs w:val="32"/>
        </w:rPr>
        <w:t>7,393.02</w:t>
      </w:r>
      <w:r>
        <w:rPr>
          <w:rFonts w:hint="eastAsia" w:ascii="仿宋_GB2312" w:hAnsi="宋体" w:eastAsia="仿宋_GB2312" w:cs="宋体"/>
          <w:color w:val="000000"/>
          <w:kern w:val="0"/>
          <w:sz w:val="32"/>
          <w:szCs w:val="32"/>
        </w:rPr>
        <w:t>万元，占资产总额的88.31%</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财政应返还额度117.80 万元，占资产总额的1.41%;其他应收款净额2.00 万元，占资产总额0.02%；固定资产净值835.75 万元，占资产总额的9.98%；无形资产净值2.00 万元，占资产总额0.02%</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在建工程20.61 万元，占资产总额0.25%；受托代理资产0.56万元，占资产总额0.01%。</w:t>
      </w:r>
    </w:p>
    <w:p>
      <w:pPr>
        <w:spacing w:line="60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2.资产管理制度及过程管理情况</w:t>
      </w:r>
    </w:p>
    <w:p>
      <w:pPr>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市检三分院制定了《北京市人民检察院第三分院固定资产管理办法》明确了固定资产购置、验收入库、领用、固定资产的交接、维修维护、固定资产的处置、清查盘点、信息系统管理等内容。资产的购置、配置、领用、转移、调拨和处置等环节严格按照国家及上级单位有关国有资产管理的规定和《北京市人民检察院第三分院固定资产管理办法》执行。固定资产由行政事务管理部实行归口管理，统一组织实施采购工作，采购人员、资产管理员和库房管理员共同进行验收，专业性较强的会同相关技术部门、需求部门共同完成验收。资产管理过程中领用、调拨、处置等程序规范，根据查阅固定资产台账，固定资产台账中资产名称、入账日期、资产价值、存放部门等资产相关信息记录完整，各项资产账账相符。</w:t>
      </w:r>
    </w:p>
    <w:p>
      <w:pPr>
        <w:ind w:left="105" w:leftChars="50" w:firstLine="480" w:firstLineChars="150"/>
        <w:outlineLvl w:val="1"/>
        <w:rPr>
          <w:rFonts w:ascii="楷体_GB2312" w:eastAsia="楷体_GB2312"/>
          <w:sz w:val="32"/>
          <w:szCs w:val="32"/>
        </w:rPr>
      </w:pPr>
      <w:r>
        <w:rPr>
          <w:rFonts w:hint="eastAsia" w:ascii="楷体_GB2312" w:eastAsia="楷体_GB2312"/>
          <w:sz w:val="32"/>
          <w:szCs w:val="32"/>
        </w:rPr>
        <w:t>（三）绩效</w:t>
      </w:r>
      <w:r>
        <w:rPr>
          <w:rFonts w:ascii="楷体_GB2312" w:eastAsia="楷体_GB2312"/>
          <w:sz w:val="32"/>
          <w:szCs w:val="32"/>
        </w:rPr>
        <w:t>管理</w:t>
      </w:r>
    </w:p>
    <w:p>
      <w:pPr>
        <w:ind w:left="142" w:right="84"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市检三分院按照市财政局关于“预算编制有目标、预算执行有监控、预算完成有评价、评价结果有反馈、反馈结果有应用”的</w:t>
      </w:r>
      <w:r>
        <w:rPr>
          <w:rFonts w:hint="eastAsia" w:ascii="仿宋_GB2312" w:hAnsi="楷体" w:eastAsia="仿宋_GB2312"/>
          <w:bCs/>
          <w:kern w:val="0"/>
          <w:sz w:val="32"/>
          <w:szCs w:val="28"/>
        </w:rPr>
        <w:t>预算绩效管理要求</w:t>
      </w:r>
      <w:r>
        <w:rPr>
          <w:rFonts w:hint="eastAsia" w:ascii="仿宋_GB2312" w:hAnsi="宋体" w:eastAsia="仿宋_GB2312" w:cs="宋体"/>
          <w:color w:val="000000"/>
          <w:kern w:val="0"/>
          <w:sz w:val="32"/>
          <w:szCs w:val="32"/>
        </w:rPr>
        <w:t>，深化推进全面预算绩效管理工作，将所有预算资金纳入部门预算绩效管理工作。</w:t>
      </w:r>
    </w:p>
    <w:p>
      <w:pPr>
        <w:ind w:left="142" w:right="84"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2021年，按照市财政要求对全部立项批复项目开展预算绩效监控工作，从预算资金执行、管理以及绩效目标完成等情况进行分析，进一步加强了预算绩效运行监控管理。</w:t>
      </w:r>
    </w:p>
    <w:p>
      <w:pPr>
        <w:ind w:left="142" w:right="84" w:firstLine="640" w:firstLineChars="200"/>
        <w:rPr>
          <w:rFonts w:ascii="仿宋_GB2312" w:hAnsi="宋体" w:eastAsia="仿宋_GB2312" w:cs="宋体"/>
          <w:color w:val="000000"/>
          <w:kern w:val="0"/>
          <w:sz w:val="32"/>
          <w:szCs w:val="32"/>
        </w:rPr>
      </w:pPr>
      <w:r>
        <w:rPr>
          <w:rFonts w:hint="eastAsia" w:ascii="仿宋_GB2312" w:hAnsi="楷体" w:eastAsia="仿宋_GB2312"/>
          <w:bCs/>
          <w:kern w:val="0"/>
          <w:sz w:val="32"/>
          <w:szCs w:val="28"/>
        </w:rPr>
        <w:t>按照《北京市财政局关于开展202</w:t>
      </w:r>
      <w:r>
        <w:rPr>
          <w:rFonts w:ascii="仿宋_GB2312" w:hAnsi="楷体" w:eastAsia="仿宋_GB2312"/>
          <w:bCs/>
          <w:kern w:val="0"/>
          <w:sz w:val="32"/>
          <w:szCs w:val="28"/>
        </w:rPr>
        <w:t>2</w:t>
      </w:r>
      <w:r>
        <w:rPr>
          <w:rFonts w:hint="eastAsia" w:ascii="仿宋_GB2312" w:hAnsi="楷体" w:eastAsia="仿宋_GB2312"/>
          <w:bCs/>
          <w:kern w:val="0"/>
          <w:sz w:val="32"/>
          <w:szCs w:val="28"/>
        </w:rPr>
        <w:t>年全面预算绩效管理工作的通知》（京财绩效〔202</w:t>
      </w:r>
      <w:r>
        <w:rPr>
          <w:rFonts w:ascii="仿宋_GB2312" w:hAnsi="楷体" w:eastAsia="仿宋_GB2312"/>
          <w:bCs/>
          <w:kern w:val="0"/>
          <w:sz w:val="32"/>
          <w:szCs w:val="28"/>
        </w:rPr>
        <w:t>2</w:t>
      </w:r>
      <w:r>
        <w:rPr>
          <w:rFonts w:hint="eastAsia" w:ascii="仿宋_GB2312" w:hAnsi="楷体" w:eastAsia="仿宋_GB2312"/>
          <w:bCs/>
          <w:kern w:val="0"/>
          <w:sz w:val="32"/>
          <w:szCs w:val="28"/>
        </w:rPr>
        <w:t>〕</w:t>
      </w:r>
      <w:r>
        <w:rPr>
          <w:rFonts w:ascii="仿宋_GB2312" w:hAnsi="楷体" w:eastAsia="仿宋_GB2312"/>
          <w:bCs/>
          <w:kern w:val="0"/>
          <w:sz w:val="32"/>
          <w:szCs w:val="28"/>
        </w:rPr>
        <w:t>669</w:t>
      </w:r>
      <w:r>
        <w:rPr>
          <w:rFonts w:hint="eastAsia" w:ascii="仿宋_GB2312" w:hAnsi="楷体" w:eastAsia="仿宋_GB2312"/>
          <w:bCs/>
          <w:kern w:val="0"/>
          <w:sz w:val="32"/>
          <w:szCs w:val="28"/>
        </w:rPr>
        <w:t>号）要求对“</w:t>
      </w:r>
      <w:r>
        <w:rPr>
          <w:rFonts w:hint="eastAsia" w:ascii="仿宋_GB2312" w:hAnsi="仿宋_GB2312" w:eastAsia="仿宋_GB2312" w:cs="仿宋_GB2312"/>
          <w:kern w:val="0"/>
          <w:sz w:val="32"/>
          <w:szCs w:val="32"/>
        </w:rPr>
        <w:t>安检安保服务”项目</w:t>
      </w:r>
      <w:r>
        <w:rPr>
          <w:rFonts w:hint="eastAsia" w:ascii="仿宋_GB2312" w:hAnsi="宋体" w:eastAsia="仿宋_GB2312" w:cs="宋体"/>
          <w:color w:val="000000"/>
          <w:kern w:val="0"/>
          <w:sz w:val="32"/>
          <w:szCs w:val="32"/>
        </w:rPr>
        <w:t>采用部门评价方式开展，出具绩效评价报告；6个项目采用单位自评方式进行评价，出具项目支出绩效自评表。总体评价结果来看，各项目能够较好地按照预算编制要求完成，绩效目标设定较为合理，各项目标及指标的完成情况较好，项目执行过程比较规范，项目效果基本达到预定目标。</w:t>
      </w:r>
    </w:p>
    <w:p>
      <w:pPr>
        <w:ind w:left="105" w:leftChars="50" w:firstLine="480" w:firstLineChars="150"/>
        <w:outlineLvl w:val="1"/>
        <w:rPr>
          <w:rFonts w:ascii="楷体_GB2312" w:eastAsia="楷体_GB2312"/>
          <w:sz w:val="32"/>
          <w:szCs w:val="32"/>
        </w:rPr>
      </w:pPr>
      <w:r>
        <w:rPr>
          <w:rFonts w:hint="eastAsia" w:ascii="楷体_GB2312" w:eastAsia="楷体_GB2312"/>
          <w:sz w:val="32"/>
          <w:szCs w:val="32"/>
        </w:rPr>
        <w:t>（四）结转结余率</w:t>
      </w:r>
    </w:p>
    <w:p>
      <w:pPr>
        <w:widowControl/>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市检三分院2</w:t>
      </w:r>
      <w:r>
        <w:rPr>
          <w:rFonts w:ascii="仿宋_GB2312" w:hAnsi="宋体" w:eastAsia="仿宋_GB2312" w:cs="宋体"/>
          <w:color w:val="000000"/>
          <w:kern w:val="0"/>
          <w:sz w:val="32"/>
          <w:szCs w:val="32"/>
        </w:rPr>
        <w:t>021</w:t>
      </w:r>
      <w:r>
        <w:rPr>
          <w:rFonts w:hint="eastAsia" w:ascii="仿宋_GB2312" w:hAnsi="宋体" w:eastAsia="仿宋_GB2312" w:cs="宋体"/>
          <w:color w:val="000000"/>
          <w:kern w:val="0"/>
          <w:sz w:val="32"/>
          <w:szCs w:val="32"/>
        </w:rPr>
        <w:t>年预算年末结转结余</w:t>
      </w:r>
      <w:r>
        <w:rPr>
          <w:rFonts w:ascii="仿宋_GB2312" w:hAnsi="宋体" w:eastAsia="仿宋_GB2312" w:cs="宋体"/>
          <w:color w:val="000000"/>
          <w:kern w:val="0"/>
          <w:sz w:val="32"/>
          <w:szCs w:val="32"/>
        </w:rPr>
        <w:t>7,398.27</w:t>
      </w:r>
      <w:r>
        <w:rPr>
          <w:rFonts w:hint="eastAsia" w:ascii="仿宋_GB2312" w:hAnsi="宋体" w:eastAsia="仿宋_GB2312" w:cs="宋体"/>
          <w:color w:val="000000"/>
          <w:kern w:val="0"/>
          <w:sz w:val="32"/>
          <w:szCs w:val="32"/>
        </w:rPr>
        <w:t>万元，全年预算支出</w:t>
      </w:r>
      <w:r>
        <w:rPr>
          <w:rFonts w:ascii="仿宋_GB2312" w:hAnsi="宋体" w:eastAsia="仿宋_GB2312" w:cs="宋体"/>
          <w:color w:val="000000"/>
          <w:kern w:val="0"/>
          <w:sz w:val="32"/>
          <w:szCs w:val="32"/>
        </w:rPr>
        <w:t>21,620.09</w:t>
      </w:r>
      <w:r>
        <w:rPr>
          <w:rFonts w:hint="eastAsia" w:ascii="仿宋_GB2312" w:hAnsi="宋体" w:eastAsia="仿宋_GB2312" w:cs="宋体"/>
          <w:color w:val="000000"/>
          <w:kern w:val="0"/>
          <w:sz w:val="32"/>
          <w:szCs w:val="32"/>
        </w:rPr>
        <w:t>万元，结转结余率为</w:t>
      </w:r>
      <w:r>
        <w:rPr>
          <w:rFonts w:ascii="仿宋_GB2312" w:hAnsi="宋体" w:eastAsia="仿宋_GB2312" w:cs="宋体"/>
          <w:color w:val="000000"/>
          <w:kern w:val="0"/>
          <w:sz w:val="32"/>
          <w:szCs w:val="32"/>
        </w:rPr>
        <w:t>34.22%</w:t>
      </w:r>
      <w:r>
        <w:rPr>
          <w:rFonts w:hint="eastAsia" w:ascii="仿宋_GB2312" w:hAnsi="宋体" w:eastAsia="仿宋_GB2312" w:cs="宋体"/>
          <w:color w:val="000000"/>
          <w:kern w:val="0"/>
          <w:sz w:val="32"/>
          <w:szCs w:val="32"/>
        </w:rPr>
        <w:t>，较上年结转结余率(</w:t>
      </w:r>
      <w:r>
        <w:rPr>
          <w:rFonts w:ascii="仿宋_GB2312" w:hAnsi="宋体" w:eastAsia="仿宋_GB2312" w:cs="宋体"/>
          <w:color w:val="000000"/>
          <w:kern w:val="0"/>
          <w:sz w:val="32"/>
          <w:szCs w:val="32"/>
        </w:rPr>
        <w:t>36.96%)</w:t>
      </w:r>
      <w:r>
        <w:rPr>
          <w:rFonts w:hint="eastAsia" w:ascii="仿宋_GB2312" w:hAnsi="宋体" w:eastAsia="仿宋_GB2312" w:cs="宋体"/>
          <w:color w:val="000000"/>
          <w:kern w:val="0"/>
          <w:sz w:val="32"/>
          <w:szCs w:val="32"/>
        </w:rPr>
        <w:t>低。</w:t>
      </w:r>
    </w:p>
    <w:p>
      <w:pPr>
        <w:ind w:left="105" w:leftChars="50" w:firstLine="480" w:firstLineChars="150"/>
        <w:outlineLvl w:val="1"/>
        <w:rPr>
          <w:rFonts w:ascii="楷体_GB2312" w:eastAsia="楷体_GB2312"/>
          <w:sz w:val="32"/>
          <w:szCs w:val="32"/>
        </w:rPr>
      </w:pPr>
      <w:r>
        <w:rPr>
          <w:rFonts w:hint="eastAsia" w:ascii="楷体_GB2312" w:eastAsia="楷体_GB2312"/>
          <w:sz w:val="32"/>
          <w:szCs w:val="32"/>
        </w:rPr>
        <w:t>（五）部门</w:t>
      </w:r>
      <w:r>
        <w:rPr>
          <w:rFonts w:ascii="楷体_GB2312" w:eastAsia="楷体_GB2312"/>
          <w:sz w:val="32"/>
          <w:szCs w:val="32"/>
        </w:rPr>
        <w:t>预决算差异率</w:t>
      </w:r>
    </w:p>
    <w:p>
      <w:pPr>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2021年，年初部门预算14,756.35万元，年度部门决算21,620.09万元，部门预决算差异率为46.51%，高于市级平均差异率（28.30%）。</w:t>
      </w:r>
    </w:p>
    <w:p>
      <w:pPr>
        <w:ind w:left="105" w:leftChars="50" w:firstLine="480" w:firstLineChars="150"/>
        <w:outlineLvl w:val="0"/>
        <w:rPr>
          <w:rFonts w:ascii="黑体" w:hAnsi="黑体" w:eastAsia="黑体"/>
          <w:sz w:val="32"/>
          <w:szCs w:val="32"/>
        </w:rPr>
      </w:pPr>
      <w:r>
        <w:rPr>
          <w:rFonts w:hint="eastAsia" w:ascii="黑体" w:hAnsi="黑体" w:eastAsia="黑体"/>
          <w:sz w:val="32"/>
          <w:szCs w:val="32"/>
        </w:rPr>
        <w:t>五、总体</w:t>
      </w:r>
      <w:r>
        <w:rPr>
          <w:rFonts w:ascii="黑体" w:hAnsi="黑体" w:eastAsia="黑体"/>
          <w:sz w:val="32"/>
          <w:szCs w:val="32"/>
        </w:rPr>
        <w:t>评价结论</w:t>
      </w:r>
    </w:p>
    <w:p>
      <w:pPr>
        <w:ind w:left="105" w:leftChars="50" w:firstLine="480" w:firstLineChars="150"/>
        <w:outlineLvl w:val="1"/>
        <w:rPr>
          <w:rFonts w:ascii="楷体_GB2312" w:eastAsia="楷体_GB2312"/>
          <w:sz w:val="32"/>
          <w:szCs w:val="32"/>
        </w:rPr>
      </w:pPr>
      <w:r>
        <w:rPr>
          <w:rFonts w:hint="eastAsia" w:ascii="楷体_GB2312" w:eastAsia="楷体_GB2312"/>
          <w:sz w:val="32"/>
          <w:szCs w:val="32"/>
        </w:rPr>
        <w:t>（一）评价</w:t>
      </w:r>
      <w:r>
        <w:rPr>
          <w:rFonts w:ascii="楷体_GB2312" w:eastAsia="楷体_GB2312"/>
          <w:sz w:val="32"/>
          <w:szCs w:val="32"/>
        </w:rPr>
        <w:t>得分</w:t>
      </w:r>
      <w:r>
        <w:rPr>
          <w:rFonts w:hint="eastAsia" w:ascii="楷体_GB2312" w:eastAsia="楷体_GB2312"/>
          <w:sz w:val="32"/>
          <w:szCs w:val="32"/>
        </w:rPr>
        <w:t>情况</w:t>
      </w:r>
    </w:p>
    <w:p>
      <w:pPr>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经评价，市检三分院2021年度部门整体支出绩效评价总得分</w:t>
      </w:r>
      <w:r>
        <w:rPr>
          <w:rFonts w:hint="eastAsia" w:ascii="仿宋_GB2312" w:hAnsi="宋体" w:eastAsia="仿宋_GB2312" w:cs="宋体"/>
          <w:color w:val="FFC000"/>
          <w:kern w:val="0"/>
          <w:sz w:val="32"/>
          <w:szCs w:val="32"/>
        </w:rPr>
        <w:t>89.43</w:t>
      </w:r>
      <w:r>
        <w:rPr>
          <w:rFonts w:hint="eastAsia" w:ascii="仿宋_GB2312" w:hAnsi="宋体" w:eastAsia="仿宋_GB2312" w:cs="宋体"/>
          <w:color w:val="000000"/>
          <w:kern w:val="0"/>
          <w:sz w:val="32"/>
          <w:szCs w:val="32"/>
        </w:rPr>
        <w:t>分，评价结果为“良好”。其中当年预算执行情况得分为13</w:t>
      </w:r>
      <w:bookmarkStart w:id="1" w:name="_GoBack"/>
      <w:bookmarkEnd w:id="1"/>
      <w:r>
        <w:rPr>
          <w:rFonts w:hint="eastAsia" w:ascii="仿宋_GB2312" w:hAnsi="宋体" w:eastAsia="仿宋_GB2312" w:cs="宋体"/>
          <w:color w:val="000000"/>
          <w:kern w:val="0"/>
          <w:sz w:val="32"/>
          <w:szCs w:val="32"/>
        </w:rPr>
        <w:t>.16分；整体绩效目标实现情况得分为5</w:t>
      </w:r>
      <w:r>
        <w:rPr>
          <w:rFonts w:ascii="仿宋_GB2312" w:hAnsi="宋体" w:eastAsia="仿宋_GB2312" w:cs="宋体"/>
          <w:color w:val="000000"/>
          <w:kern w:val="0"/>
          <w:sz w:val="32"/>
          <w:szCs w:val="32"/>
        </w:rPr>
        <w:t>6.00</w:t>
      </w:r>
      <w:r>
        <w:rPr>
          <w:rFonts w:hint="eastAsia" w:ascii="仿宋_GB2312" w:hAnsi="宋体" w:eastAsia="仿宋_GB2312" w:cs="宋体"/>
          <w:color w:val="000000"/>
          <w:kern w:val="0"/>
          <w:sz w:val="32"/>
          <w:szCs w:val="32"/>
        </w:rPr>
        <w:t>分；预算管理情况得分1</w:t>
      </w:r>
      <w:r>
        <w:rPr>
          <w:rFonts w:ascii="仿宋_GB2312" w:hAnsi="宋体" w:eastAsia="仿宋_GB2312" w:cs="宋体"/>
          <w:color w:val="000000"/>
          <w:kern w:val="0"/>
          <w:sz w:val="32"/>
          <w:szCs w:val="32"/>
        </w:rPr>
        <w:t>9.27</w:t>
      </w:r>
      <w:r>
        <w:rPr>
          <w:rFonts w:hint="eastAsia" w:ascii="仿宋_GB2312" w:hAnsi="宋体" w:eastAsia="仿宋_GB2312" w:cs="宋体"/>
          <w:color w:val="000000"/>
          <w:kern w:val="0"/>
          <w:sz w:val="32"/>
          <w:szCs w:val="32"/>
        </w:rPr>
        <w:t>分。</w:t>
      </w:r>
    </w:p>
    <w:p>
      <w:pPr>
        <w:ind w:left="105" w:leftChars="50" w:firstLine="480" w:firstLineChars="150"/>
        <w:outlineLvl w:val="1"/>
        <w:rPr>
          <w:rFonts w:ascii="楷体_GB2312" w:eastAsia="楷体_GB2312"/>
          <w:sz w:val="32"/>
          <w:szCs w:val="32"/>
        </w:rPr>
      </w:pPr>
      <w:r>
        <w:rPr>
          <w:rFonts w:hint="eastAsia" w:ascii="楷体_GB2312" w:eastAsia="楷体_GB2312"/>
          <w:sz w:val="32"/>
          <w:szCs w:val="32"/>
        </w:rPr>
        <w:t>（二）存在的问题</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1.部分项目前期需求论证不够充分，缺少结合项目实际情况开展需求调研，项目立项的必要性、可行性论证待加强；预算编制细化程度、准确性需要进一步提高，加强资金支出的规范性</w:t>
      </w:r>
      <w:r>
        <w:rPr>
          <w:rFonts w:hint="eastAsia" w:ascii="仿宋_GB2312" w:hAnsi="仿宋_GB2312" w:eastAsia="仿宋_GB2312" w:cs="仿宋_GB2312"/>
          <w:sz w:val="32"/>
        </w:rPr>
        <w:t>。</w:t>
      </w:r>
    </w:p>
    <w:p>
      <w:pPr>
        <w:spacing w:line="60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2.项目绩效目标设置不够细化量化。存在个别指标缺失、绩效目标的设定未涵盖的项目所有内容、绩效指标设置完整、产出和效益指标之间不够对应、服务对象范围考虑不全面等问题。</w:t>
      </w:r>
    </w:p>
    <w:p>
      <w:pPr>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3.个别项目未制定项目实施方案，对项目的实施缺乏指导和控制的文件；部门</w:t>
      </w:r>
      <w:r>
        <w:rPr>
          <w:rFonts w:hint="eastAsia" w:ascii="仿宋_GB2312" w:hAnsi="楷体" w:eastAsia="仿宋_GB2312"/>
          <w:bCs/>
          <w:kern w:val="0"/>
          <w:sz w:val="32"/>
          <w:szCs w:val="28"/>
        </w:rPr>
        <w:t>实施过程管理控制等资料留存不足；项目产生的</w:t>
      </w:r>
      <w:r>
        <w:rPr>
          <w:rFonts w:hint="eastAsia" w:ascii="仿宋_GB2312" w:hAnsi="宋体" w:eastAsia="仿宋_GB2312" w:cs="宋体"/>
          <w:color w:val="000000"/>
          <w:kern w:val="0"/>
          <w:sz w:val="32"/>
          <w:szCs w:val="32"/>
        </w:rPr>
        <w:t>效益效果收集整理不够齐全。部分项目服务对象满意度调查开展不够全面，未充分反映项目服务对象满意度效果。</w:t>
      </w:r>
    </w:p>
    <w:p>
      <w:pPr>
        <w:ind w:firstLine="640" w:firstLineChars="200"/>
        <w:outlineLvl w:val="0"/>
        <w:rPr>
          <w:rFonts w:ascii="仿宋_GB2312" w:hAnsi="宋体" w:eastAsia="仿宋_GB2312" w:cs="宋体"/>
          <w:color w:val="000000"/>
          <w:kern w:val="0"/>
          <w:sz w:val="32"/>
          <w:szCs w:val="32"/>
        </w:rPr>
      </w:pPr>
      <w:r>
        <w:rPr>
          <w:rFonts w:hint="eastAsia" w:ascii="黑体" w:hAnsi="黑体" w:eastAsia="黑体" w:cs="宋体"/>
          <w:color w:val="000000"/>
          <w:kern w:val="0"/>
          <w:sz w:val="32"/>
          <w:szCs w:val="32"/>
        </w:rPr>
        <w:t>六、措施建议</w:t>
      </w:r>
    </w:p>
    <w:p>
      <w:pPr>
        <w:ind w:firstLine="640" w:firstLineChars="200"/>
        <w:rPr>
          <w:rFonts w:ascii="仿宋_GB2312" w:eastAsia="仿宋_GB2312"/>
          <w:sz w:val="32"/>
          <w:szCs w:val="32"/>
        </w:rPr>
      </w:pPr>
      <w:bookmarkStart w:id="0" w:name="_Toc72401385"/>
      <w:r>
        <w:rPr>
          <w:rFonts w:hint="eastAsia" w:ascii="仿宋_GB2312" w:eastAsia="仿宋_GB2312"/>
          <w:sz w:val="32"/>
          <w:szCs w:val="32"/>
        </w:rPr>
        <w:t>1.加强项目前期调研和需求论证，常规性项目，结合以前年度项目执行情况、绩效情况，制定年度需求与目标。预算编制应更加科学、细化。强化部门预算约束，严格预算执行，平衡好预算执行进度，提高财政资金使用效率和效益。</w:t>
      </w:r>
    </w:p>
    <w:p>
      <w:pPr>
        <w:spacing w:line="60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2.提高全面绩效管理意识，加强绩效目标设定合理性、规范性。充分结合实际业务、预算内容，科学、完整地设置绩效目标与指标，并保障绩效目标与指标的对应关系，指标设置做到细化、量化、可衡量。</w:t>
      </w:r>
    </w:p>
    <w:p>
      <w:pPr>
        <w:ind w:firstLine="640" w:firstLineChars="200"/>
        <w:rPr>
          <w:rFonts w:ascii="仿宋_GB2312" w:eastAsia="仿宋_GB2312"/>
          <w:sz w:val="32"/>
          <w:szCs w:val="32"/>
        </w:rPr>
      </w:pPr>
      <w:r>
        <w:rPr>
          <w:rFonts w:hint="eastAsia" w:ascii="仿宋_GB2312" w:eastAsia="仿宋_GB2312"/>
          <w:sz w:val="32"/>
          <w:szCs w:val="32"/>
        </w:rPr>
        <w:t>3.健全完善项目实施方案。根据项目以前年度实施情况或预期计划，制定切实可行的实施方案，明确项目管理各项要素，合理安排项目人员分工、进度计划，强化过程管控，增强对项目实施的指导和约束作用，加强项目实施过程控制及监督管理。</w:t>
      </w:r>
    </w:p>
    <w:p>
      <w:pPr>
        <w:ind w:firstLine="640" w:firstLineChars="200"/>
        <w:rPr>
          <w:rFonts w:ascii="仿宋_GB2312" w:hAnsi="宋体" w:eastAsia="仿宋_GB2312" w:cs="宋体"/>
          <w:color w:val="000000"/>
          <w:kern w:val="0"/>
          <w:sz w:val="32"/>
          <w:szCs w:val="32"/>
        </w:rPr>
      </w:pPr>
      <w:r>
        <w:rPr>
          <w:rFonts w:hint="eastAsia" w:ascii="仿宋_GB2312" w:eastAsia="仿宋_GB2312"/>
          <w:sz w:val="32"/>
          <w:szCs w:val="32"/>
        </w:rPr>
        <w:t>4.加强全面绩效管理意识，注重项目效益资料收集，</w:t>
      </w:r>
      <w:bookmarkEnd w:id="0"/>
      <w:r>
        <w:rPr>
          <w:rFonts w:hint="eastAsia" w:ascii="仿宋_GB2312" w:eastAsia="仿宋_GB2312"/>
          <w:sz w:val="32"/>
          <w:szCs w:val="32"/>
        </w:rPr>
        <w:t>项目负责人对项目质量和效益资料完整性负责，项目效益用效果资料和数据支撑。落实服务对象满意度调查，结合项目服务对象，选择适当的方式、方法，全面开展服务对象满意度调查及分析，充分反映项目服务对象满意度效果。</w:t>
      </w:r>
    </w:p>
    <w:p>
      <w:pPr>
        <w:widowControl/>
        <w:ind w:firstLine="640" w:firstLineChars="200"/>
        <w:jc w:val="left"/>
        <w:outlineLvl w:val="0"/>
      </w:pPr>
      <w:r>
        <w:rPr>
          <w:rFonts w:hint="eastAsia" w:ascii="黑体" w:hAnsi="黑体" w:eastAsia="黑体" w:cs="宋体"/>
          <w:color w:val="000000"/>
          <w:kern w:val="0"/>
          <w:sz w:val="32"/>
          <w:szCs w:val="32"/>
        </w:rPr>
        <w:t>七、附件</w:t>
      </w:r>
    </w:p>
    <w:p>
      <w:pPr>
        <w:ind w:firstLine="640" w:firstLineChars="200"/>
        <w:rPr>
          <w:rFonts w:ascii="仿宋_GB2312" w:eastAsia="仿宋_GB2312"/>
          <w:sz w:val="32"/>
          <w:szCs w:val="32"/>
        </w:rPr>
      </w:pPr>
      <w:r>
        <w:rPr>
          <w:rFonts w:hint="eastAsia" w:ascii="仿宋_GB2312" w:eastAsia="仿宋_GB2312"/>
          <w:sz w:val="32"/>
          <w:szCs w:val="32"/>
        </w:rPr>
        <w:t>2021年部门整体绩效评价指标体系评分表</w:t>
      </w:r>
    </w:p>
    <w:p>
      <w:pPr>
        <w:sectPr>
          <w:footerReference r:id="rId6" w:type="default"/>
          <w:pgSz w:w="11906" w:h="16838"/>
          <w:pgMar w:top="1440" w:right="1797" w:bottom="1440" w:left="1797" w:header="851" w:footer="992" w:gutter="0"/>
          <w:pgNumType w:fmt="numberInDash" w:start="1"/>
          <w:cols w:space="425" w:num="1"/>
          <w:docGrid w:type="lines" w:linePitch="312" w:charSpace="0"/>
        </w:sectPr>
      </w:pPr>
    </w:p>
    <w:p>
      <w:pPr>
        <w:rPr>
          <w:rFonts w:ascii="黑体" w:hAnsi="黑体" w:eastAsia="黑体" w:cs="黑体"/>
          <w:sz w:val="32"/>
          <w:szCs w:val="32"/>
        </w:rPr>
      </w:pPr>
    </w:p>
    <w:p>
      <w:pPr>
        <w:ind w:firstLine="640" w:firstLineChars="200"/>
        <w:rPr>
          <w:rFonts w:ascii="黑体" w:hAnsi="黑体" w:eastAsia="黑体" w:cs="黑体"/>
          <w:sz w:val="32"/>
          <w:szCs w:val="32"/>
        </w:rPr>
      </w:pPr>
      <w:r>
        <w:rPr>
          <w:rFonts w:hint="eastAsia" w:ascii="黑体" w:hAnsi="黑体" w:eastAsia="黑体" w:cs="黑体"/>
          <w:sz w:val="32"/>
          <w:szCs w:val="32"/>
        </w:rPr>
        <w:t>附件</w:t>
      </w:r>
    </w:p>
    <w:tbl>
      <w:tblPr>
        <w:tblStyle w:val="8"/>
        <w:tblW w:w="5000" w:type="pct"/>
        <w:tblInd w:w="0" w:type="dxa"/>
        <w:tblLayout w:type="fixed"/>
        <w:tblCellMar>
          <w:top w:w="0" w:type="dxa"/>
          <w:left w:w="108" w:type="dxa"/>
          <w:bottom w:w="0" w:type="dxa"/>
          <w:right w:w="108" w:type="dxa"/>
        </w:tblCellMar>
      </w:tblPr>
      <w:tblGrid>
        <w:gridCol w:w="736"/>
        <w:gridCol w:w="1023"/>
        <w:gridCol w:w="1123"/>
        <w:gridCol w:w="1174"/>
        <w:gridCol w:w="958"/>
        <w:gridCol w:w="624"/>
        <w:gridCol w:w="848"/>
        <w:gridCol w:w="3490"/>
        <w:gridCol w:w="4198"/>
      </w:tblGrid>
      <w:tr>
        <w:tblPrEx>
          <w:tblCellMar>
            <w:top w:w="0" w:type="dxa"/>
            <w:left w:w="108" w:type="dxa"/>
            <w:bottom w:w="0" w:type="dxa"/>
            <w:right w:w="108" w:type="dxa"/>
          </w:tblCellMar>
        </w:tblPrEx>
        <w:trPr>
          <w:trHeight w:val="499" w:hRule="atLeast"/>
        </w:trPr>
        <w:tc>
          <w:tcPr>
            <w:tcW w:w="5000" w:type="pct"/>
            <w:gridSpan w:val="9"/>
            <w:tcBorders>
              <w:top w:val="nil"/>
              <w:left w:val="nil"/>
              <w:bottom w:val="single" w:color="auto" w:sz="4" w:space="0"/>
              <w:right w:val="nil"/>
            </w:tcBorders>
            <w:noWrap/>
            <w:vAlign w:val="bottom"/>
          </w:tcPr>
          <w:p>
            <w:pPr>
              <w:widowControl/>
              <w:jc w:val="center"/>
              <w:rPr>
                <w:rFonts w:ascii="方正小标宋简体" w:hAnsi="黑体" w:eastAsia="方正小标宋简体" w:cs="宋体"/>
                <w:color w:val="000000"/>
                <w:kern w:val="0"/>
                <w:sz w:val="44"/>
                <w:szCs w:val="44"/>
              </w:rPr>
            </w:pPr>
            <w:r>
              <w:rPr>
                <w:rFonts w:hint="eastAsia" w:ascii="方正小标宋简体" w:hAnsi="黑体" w:eastAsia="方正小标宋简体" w:cs="宋体"/>
                <w:color w:val="000000"/>
                <w:kern w:val="0"/>
                <w:sz w:val="44"/>
                <w:szCs w:val="44"/>
              </w:rPr>
              <w:t>2021年部门整体绩效评价指标体系评分表</w:t>
            </w:r>
          </w:p>
        </w:tc>
      </w:tr>
      <w:tr>
        <w:tblPrEx>
          <w:tblCellMar>
            <w:top w:w="0" w:type="dxa"/>
            <w:left w:w="108" w:type="dxa"/>
            <w:bottom w:w="0" w:type="dxa"/>
            <w:right w:w="108" w:type="dxa"/>
          </w:tblCellMar>
        </w:tblPrEx>
        <w:trPr>
          <w:trHeight w:val="470" w:hRule="atLeast"/>
        </w:trPr>
        <w:tc>
          <w:tcPr>
            <w:tcW w:w="5000" w:type="pct"/>
            <w:gridSpan w:val="9"/>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一、</w:t>
            </w:r>
            <w:r>
              <w:rPr>
                <w:rFonts w:hint="eastAsia" w:ascii="宋体" w:hAnsi="宋体" w:cs="宋体"/>
                <w:color w:val="000000"/>
                <w:kern w:val="0"/>
                <w:sz w:val="20"/>
                <w:szCs w:val="20"/>
              </w:rPr>
              <w:t>当年预算执行情况（20分）</w:t>
            </w:r>
          </w:p>
        </w:tc>
      </w:tr>
      <w:tr>
        <w:tblPrEx>
          <w:tblCellMar>
            <w:top w:w="0" w:type="dxa"/>
            <w:left w:w="108" w:type="dxa"/>
            <w:bottom w:w="0" w:type="dxa"/>
            <w:right w:w="108" w:type="dxa"/>
          </w:tblCellMar>
        </w:tblPrEx>
        <w:trPr>
          <w:trHeight w:val="660" w:hRule="atLeast"/>
        </w:trPr>
        <w:tc>
          <w:tcPr>
            <w:tcW w:w="26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36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396"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预算数（万元）</w:t>
            </w:r>
          </w:p>
        </w:tc>
        <w:tc>
          <w:tcPr>
            <w:tcW w:w="414"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执行数（万元）</w:t>
            </w:r>
          </w:p>
        </w:tc>
        <w:tc>
          <w:tcPr>
            <w:tcW w:w="338"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预算执行率</w:t>
            </w:r>
          </w:p>
        </w:tc>
        <w:tc>
          <w:tcPr>
            <w:tcW w:w="22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299"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123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指标解释</w:t>
            </w:r>
          </w:p>
        </w:tc>
        <w:tc>
          <w:tcPr>
            <w:tcW w:w="1481"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评分标准</w:t>
            </w:r>
          </w:p>
        </w:tc>
      </w:tr>
      <w:tr>
        <w:tblPrEx>
          <w:tblCellMar>
            <w:top w:w="0" w:type="dxa"/>
            <w:left w:w="108" w:type="dxa"/>
            <w:bottom w:w="0" w:type="dxa"/>
            <w:right w:w="108" w:type="dxa"/>
          </w:tblCellMar>
        </w:tblPrEx>
        <w:trPr>
          <w:trHeight w:val="1304" w:hRule="atLeast"/>
        </w:trPr>
        <w:tc>
          <w:tcPr>
            <w:tcW w:w="260" w:type="pct"/>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当年预算执行情况（20）</w:t>
            </w:r>
          </w:p>
        </w:tc>
        <w:tc>
          <w:tcPr>
            <w:tcW w:w="36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资金总体</w:t>
            </w:r>
          </w:p>
        </w:tc>
        <w:tc>
          <w:tcPr>
            <w:tcW w:w="396"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21,620.09</w:t>
            </w:r>
          </w:p>
        </w:tc>
        <w:tc>
          <w:tcPr>
            <w:tcW w:w="414"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14,221.82</w:t>
            </w:r>
          </w:p>
        </w:tc>
        <w:tc>
          <w:tcPr>
            <w:tcW w:w="338"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65.78%</w:t>
            </w:r>
          </w:p>
        </w:tc>
        <w:tc>
          <w:tcPr>
            <w:tcW w:w="220" w:type="pct"/>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w:t>
            </w:r>
          </w:p>
        </w:tc>
        <w:tc>
          <w:tcPr>
            <w:tcW w:w="299" w:type="pct"/>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13.16</w:t>
            </w:r>
          </w:p>
        </w:tc>
        <w:tc>
          <w:tcPr>
            <w:tcW w:w="1231" w:type="pct"/>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部门全年执行数与全年预算数的比率。资金总体=基本支出+项目支出+其他</w:t>
            </w:r>
          </w:p>
        </w:tc>
        <w:tc>
          <w:tcPr>
            <w:tcW w:w="1481" w:type="pct"/>
            <w:vMerge w:val="restart"/>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rPr>
              <w:t>①得分一档最高不能超过该指标分值上限（20分）。</w:t>
            </w:r>
          </w:p>
          <w:p>
            <w:pPr>
              <w:widowControl/>
              <w:jc w:val="left"/>
              <w:rPr>
                <w:rFonts w:ascii="宋体" w:hAnsi="宋体" w:cs="宋体"/>
                <w:color w:val="000000"/>
                <w:kern w:val="0"/>
                <w:sz w:val="18"/>
                <w:szCs w:val="18"/>
              </w:rPr>
            </w:pPr>
            <w:r>
              <w:rPr>
                <w:rFonts w:hint="eastAsia" w:ascii="宋体" w:hAnsi="宋体" w:cs="宋体"/>
                <w:color w:val="000000"/>
                <w:kern w:val="0"/>
                <w:sz w:val="18"/>
                <w:szCs w:val="18"/>
              </w:rP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tblPrEx>
          <w:tblCellMar>
            <w:top w:w="0" w:type="dxa"/>
            <w:left w:w="108" w:type="dxa"/>
            <w:bottom w:w="0" w:type="dxa"/>
            <w:right w:w="108" w:type="dxa"/>
          </w:tblCellMar>
        </w:tblPrEx>
        <w:trPr>
          <w:trHeight w:val="1304" w:hRule="atLeast"/>
        </w:trPr>
        <w:tc>
          <w:tcPr>
            <w:tcW w:w="260"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361" w:type="pct"/>
            <w:tcBorders>
              <w:top w:val="single" w:color="auto" w:sz="4" w:space="0"/>
              <w:left w:val="single" w:color="auto" w:sz="4" w:space="0"/>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基本支出</w:t>
            </w:r>
          </w:p>
        </w:tc>
        <w:tc>
          <w:tcPr>
            <w:tcW w:w="396"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9,884.8</w:t>
            </w:r>
          </w:p>
        </w:tc>
        <w:tc>
          <w:tcPr>
            <w:tcW w:w="414"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9,694.73</w:t>
            </w:r>
          </w:p>
        </w:tc>
        <w:tc>
          <w:tcPr>
            <w:tcW w:w="338"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22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299" w:type="pct"/>
            <w:vMerge w:val="continue"/>
            <w:tcBorders>
              <w:top w:val="single" w:color="auto" w:sz="4" w:space="0"/>
              <w:left w:val="nil"/>
              <w:bottom w:val="single" w:color="auto" w:sz="4" w:space="0"/>
              <w:right w:val="nil"/>
            </w:tcBorders>
            <w:vAlign w:val="center"/>
          </w:tcPr>
          <w:p>
            <w:pPr>
              <w:widowControl/>
              <w:jc w:val="left"/>
              <w:rPr>
                <w:rFonts w:ascii="宋体" w:hAnsi="宋体" w:cs="宋体"/>
                <w:color w:val="000000"/>
                <w:kern w:val="0"/>
                <w:sz w:val="20"/>
                <w:szCs w:val="20"/>
              </w:rPr>
            </w:pPr>
          </w:p>
        </w:tc>
        <w:tc>
          <w:tcPr>
            <w:tcW w:w="123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8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1304" w:hRule="atLeast"/>
        </w:trPr>
        <w:tc>
          <w:tcPr>
            <w:tcW w:w="260"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361" w:type="pct"/>
            <w:tcBorders>
              <w:top w:val="single" w:color="auto" w:sz="4" w:space="0"/>
              <w:left w:val="single" w:color="auto" w:sz="4" w:space="0"/>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项目支出</w:t>
            </w:r>
          </w:p>
        </w:tc>
        <w:tc>
          <w:tcPr>
            <w:tcW w:w="396"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11,735.28</w:t>
            </w:r>
          </w:p>
        </w:tc>
        <w:tc>
          <w:tcPr>
            <w:tcW w:w="414"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4,527.09</w:t>
            </w:r>
          </w:p>
        </w:tc>
        <w:tc>
          <w:tcPr>
            <w:tcW w:w="33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22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299" w:type="pct"/>
            <w:vMerge w:val="continue"/>
            <w:tcBorders>
              <w:top w:val="single" w:color="auto" w:sz="4" w:space="0"/>
              <w:left w:val="nil"/>
              <w:bottom w:val="single" w:color="auto" w:sz="4" w:space="0"/>
              <w:right w:val="nil"/>
            </w:tcBorders>
            <w:vAlign w:val="center"/>
          </w:tcPr>
          <w:p>
            <w:pPr>
              <w:widowControl/>
              <w:jc w:val="left"/>
              <w:rPr>
                <w:rFonts w:ascii="宋体" w:hAnsi="宋体" w:cs="宋体"/>
                <w:color w:val="000000"/>
                <w:kern w:val="0"/>
                <w:sz w:val="20"/>
                <w:szCs w:val="20"/>
              </w:rPr>
            </w:pPr>
          </w:p>
        </w:tc>
        <w:tc>
          <w:tcPr>
            <w:tcW w:w="123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8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454" w:hRule="atLeast"/>
        </w:trPr>
        <w:tc>
          <w:tcPr>
            <w:tcW w:w="260"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其他</w:t>
            </w:r>
          </w:p>
        </w:tc>
        <w:tc>
          <w:tcPr>
            <w:tcW w:w="396"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414"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33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22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299" w:type="pct"/>
            <w:vMerge w:val="continue"/>
            <w:tcBorders>
              <w:top w:val="single" w:color="auto" w:sz="4" w:space="0"/>
              <w:left w:val="nil"/>
              <w:bottom w:val="single" w:color="auto" w:sz="4" w:space="0"/>
              <w:right w:val="nil"/>
            </w:tcBorders>
            <w:vAlign w:val="center"/>
          </w:tcPr>
          <w:p>
            <w:pPr>
              <w:widowControl/>
              <w:jc w:val="left"/>
              <w:rPr>
                <w:rFonts w:ascii="宋体" w:hAnsi="宋体" w:cs="宋体"/>
                <w:color w:val="000000"/>
                <w:kern w:val="0"/>
                <w:sz w:val="20"/>
                <w:szCs w:val="20"/>
              </w:rPr>
            </w:pPr>
          </w:p>
        </w:tc>
        <w:tc>
          <w:tcPr>
            <w:tcW w:w="123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48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bl>
    <w:p/>
    <w:tbl>
      <w:tblPr>
        <w:tblStyle w:val="8"/>
        <w:tblW w:w="5000" w:type="pct"/>
        <w:tblInd w:w="0" w:type="dxa"/>
        <w:tblLayout w:type="fixed"/>
        <w:tblCellMar>
          <w:top w:w="0" w:type="dxa"/>
          <w:left w:w="108" w:type="dxa"/>
          <w:bottom w:w="0" w:type="dxa"/>
          <w:right w:w="108" w:type="dxa"/>
        </w:tblCellMar>
      </w:tblPr>
      <w:tblGrid>
        <w:gridCol w:w="815"/>
        <w:gridCol w:w="1137"/>
        <w:gridCol w:w="1134"/>
        <w:gridCol w:w="1417"/>
        <w:gridCol w:w="1559"/>
        <w:gridCol w:w="850"/>
        <w:gridCol w:w="856"/>
        <w:gridCol w:w="3118"/>
        <w:gridCol w:w="3288"/>
      </w:tblGrid>
      <w:tr>
        <w:tblPrEx>
          <w:tblCellMar>
            <w:top w:w="0" w:type="dxa"/>
            <w:left w:w="108" w:type="dxa"/>
            <w:bottom w:w="0" w:type="dxa"/>
            <w:right w:w="108" w:type="dxa"/>
          </w:tblCellMar>
        </w:tblPrEx>
        <w:trPr>
          <w:trHeight w:val="500" w:hRule="atLeast"/>
          <w:tblHeader/>
        </w:trPr>
        <w:tc>
          <w:tcPr>
            <w:tcW w:w="5000" w:type="pct"/>
            <w:gridSpan w:val="9"/>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20"/>
                <w:szCs w:val="20"/>
              </w:rPr>
              <w:t>整体绩效目标实现情况（60分）</w:t>
            </w:r>
          </w:p>
        </w:tc>
      </w:tr>
      <w:tr>
        <w:tblPrEx>
          <w:tblCellMar>
            <w:top w:w="0" w:type="dxa"/>
            <w:left w:w="108" w:type="dxa"/>
            <w:bottom w:w="0" w:type="dxa"/>
            <w:right w:w="108" w:type="dxa"/>
          </w:tblCellMar>
        </w:tblPrEx>
        <w:trPr>
          <w:trHeight w:val="499" w:hRule="atLeast"/>
          <w:tblHeader/>
        </w:trPr>
        <w:tc>
          <w:tcPr>
            <w:tcW w:w="287"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p>
        </w:tc>
        <w:tc>
          <w:tcPr>
            <w:tcW w:w="401"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40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w:t>
            </w:r>
            <w:r>
              <w:rPr>
                <w:rFonts w:ascii="宋体" w:hAnsi="宋体" w:cs="宋体"/>
                <w:color w:val="000000"/>
                <w:kern w:val="0"/>
                <w:sz w:val="20"/>
                <w:szCs w:val="20"/>
              </w:rPr>
              <w:t>级指标</w:t>
            </w:r>
            <w:r>
              <w:rPr>
                <w:rFonts w:hint="eastAsia" w:ascii="宋体" w:hAnsi="宋体" w:cs="宋体"/>
                <w:color w:val="000000"/>
                <w:kern w:val="0"/>
                <w:sz w:val="20"/>
                <w:szCs w:val="20"/>
              </w:rPr>
              <w:t>　</w:t>
            </w:r>
          </w:p>
        </w:tc>
        <w:tc>
          <w:tcPr>
            <w:tcW w:w="50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指标值</w:t>
            </w:r>
          </w:p>
        </w:tc>
        <w:tc>
          <w:tcPr>
            <w:tcW w:w="55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完成值</w:t>
            </w:r>
          </w:p>
        </w:tc>
        <w:tc>
          <w:tcPr>
            <w:tcW w:w="30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302" w:type="pct"/>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110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116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CellMar>
            <w:top w:w="0" w:type="dxa"/>
            <w:left w:w="108" w:type="dxa"/>
            <w:bottom w:w="0" w:type="dxa"/>
            <w:right w:w="108" w:type="dxa"/>
          </w:tblCellMar>
        </w:tblPrEx>
        <w:trPr>
          <w:trHeight w:val="1701" w:hRule="atLeast"/>
        </w:trPr>
        <w:tc>
          <w:tcPr>
            <w:tcW w:w="287"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整体绩效目标实现情况（60）</w:t>
            </w:r>
          </w:p>
        </w:tc>
        <w:tc>
          <w:tcPr>
            <w:tcW w:w="401" w:type="pct"/>
            <w:vMerge w:val="restart"/>
            <w:tcBorders>
              <w:top w:val="single" w:color="auto" w:sz="4" w:space="0"/>
              <w:left w:val="nil"/>
              <w:right w:val="single" w:color="auto" w:sz="4" w:space="0"/>
            </w:tcBorders>
            <w:vAlign w:val="center"/>
          </w:tcPr>
          <w:p>
            <w:pPr>
              <w:widowControl/>
              <w:jc w:val="center"/>
              <w:rPr>
                <w:rFonts w:ascii="宋体" w:hAnsi="宋体" w:cs="宋体"/>
                <w:color w:val="000000"/>
                <w:kern w:val="0"/>
                <w:sz w:val="20"/>
                <w:szCs w:val="20"/>
              </w:rPr>
            </w:pPr>
          </w:p>
          <w:p>
            <w:pPr>
              <w:jc w:val="center"/>
              <w:rPr>
                <w:rFonts w:ascii="宋体" w:hAnsi="宋体" w:cs="宋体"/>
                <w:color w:val="000000"/>
                <w:kern w:val="0"/>
                <w:sz w:val="20"/>
                <w:szCs w:val="20"/>
              </w:rPr>
            </w:pPr>
            <w:r>
              <w:rPr>
                <w:rFonts w:hint="eastAsia" w:ascii="宋体" w:hAnsi="宋体" w:cs="宋体"/>
                <w:color w:val="000000"/>
                <w:kern w:val="0"/>
                <w:sz w:val="20"/>
                <w:szCs w:val="20"/>
              </w:rPr>
              <w:t>产出（30）</w:t>
            </w:r>
          </w:p>
        </w:tc>
        <w:tc>
          <w:tcPr>
            <w:tcW w:w="40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500" w:type="pct"/>
            <w:tcBorders>
              <w:top w:val="single" w:color="auto" w:sz="4" w:space="0"/>
              <w:left w:val="nil"/>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宋体" w:hAnsi="宋体" w:cs="宋体"/>
                <w:color w:val="000000"/>
                <w:kern w:val="0"/>
                <w:sz w:val="20"/>
                <w:szCs w:val="20"/>
              </w:rPr>
              <w:t>案件办结数量等业务指标</w:t>
            </w:r>
          </w:p>
        </w:tc>
        <w:tc>
          <w:tcPr>
            <w:tcW w:w="55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p>
          <w:p>
            <w:pPr>
              <w:jc w:val="center"/>
              <w:rPr>
                <w:rFonts w:ascii="宋体" w:hAnsi="宋体" w:cs="宋体"/>
                <w:color w:val="000000"/>
                <w:kern w:val="0"/>
                <w:sz w:val="20"/>
                <w:szCs w:val="20"/>
              </w:rPr>
            </w:pPr>
            <w:r>
              <w:rPr>
                <w:rFonts w:ascii="宋体" w:hAnsi="宋体" w:cs="宋体"/>
                <w:color w:val="000000"/>
                <w:kern w:val="0"/>
                <w:sz w:val="20"/>
                <w:szCs w:val="20"/>
              </w:rPr>
              <w:t>部门产出数量与绩效目标相符</w:t>
            </w:r>
          </w:p>
        </w:tc>
        <w:tc>
          <w:tcPr>
            <w:tcW w:w="30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302" w:type="pct"/>
            <w:tcBorders>
              <w:top w:val="single" w:color="auto" w:sz="4" w:space="0"/>
              <w:left w:val="nil"/>
              <w:bottom w:val="single" w:color="auto" w:sz="4" w:space="0"/>
              <w:right w:val="nil"/>
            </w:tcBorders>
            <w:vAlign w:val="center"/>
          </w:tcPr>
          <w:p>
            <w:pPr>
              <w:jc w:val="center"/>
              <w:rPr>
                <w:rFonts w:ascii="宋体" w:hAnsi="宋体" w:cs="宋体"/>
                <w:color w:val="000000"/>
                <w:kern w:val="0"/>
                <w:sz w:val="20"/>
                <w:szCs w:val="20"/>
              </w:rPr>
            </w:pPr>
            <w:r>
              <w:rPr>
                <w:rFonts w:ascii="宋体" w:hAnsi="宋体" w:cs="宋体"/>
                <w:color w:val="000000"/>
                <w:kern w:val="0"/>
                <w:sz w:val="20"/>
                <w:szCs w:val="20"/>
              </w:rPr>
              <w:t>10</w:t>
            </w:r>
          </w:p>
        </w:tc>
        <w:tc>
          <w:tcPr>
            <w:tcW w:w="1100" w:type="pct"/>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产出数量</w:t>
            </w:r>
            <w:r>
              <w:rPr>
                <w:rFonts w:hint="eastAsia" w:ascii="宋体" w:hAnsi="宋体" w:cs="宋体"/>
                <w:color w:val="000000"/>
                <w:kern w:val="0"/>
                <w:sz w:val="18"/>
                <w:szCs w:val="18"/>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hint="eastAsia" w:ascii="宋体" w:hAnsi="宋体" w:cs="宋体"/>
                <w:b/>
                <w:bCs/>
                <w:color w:val="000000"/>
                <w:kern w:val="0"/>
                <w:sz w:val="18"/>
                <w:szCs w:val="18"/>
              </w:rPr>
              <w:t>产出质量</w:t>
            </w:r>
            <w:r>
              <w:rPr>
                <w:rFonts w:hint="eastAsia" w:ascii="宋体" w:hAnsi="宋体" w:cs="宋体"/>
                <w:color w:val="000000"/>
                <w:kern w:val="0"/>
                <w:sz w:val="18"/>
                <w:szCs w:val="18"/>
              </w:rPr>
              <w:t>：质量达标率=质量达标工作数/实际完成工作数×100%。质量达标工作数：一定时期（年度或规划期）内部门（单位）实际完成工作数中达到部门绩效目标要求（绩效标准值）的工作任务数量。</w:t>
            </w:r>
            <w:r>
              <w:rPr>
                <w:rFonts w:hint="eastAsia" w:ascii="宋体" w:hAnsi="宋体" w:cs="宋体"/>
                <w:b/>
                <w:bCs/>
                <w:color w:val="000000"/>
                <w:kern w:val="0"/>
                <w:sz w:val="18"/>
                <w:szCs w:val="18"/>
              </w:rPr>
              <w:t>产出进度：</w:t>
            </w:r>
            <w:r>
              <w:rPr>
                <w:rFonts w:hint="eastAsia" w:ascii="宋体" w:hAnsi="宋体" w:cs="宋体"/>
                <w:color w:val="000000"/>
                <w:kern w:val="0"/>
                <w:sz w:val="18"/>
                <w:szCs w:val="18"/>
              </w:rPr>
              <w:t>按时完成率=（按时完成工作数/实际完成工作数）×100%。按时完成工作数：部门（单位）按照整体绩效目标确定的时限实际完成的工作任务数量。</w:t>
            </w:r>
            <w:r>
              <w:rPr>
                <w:rFonts w:hint="eastAsia" w:ascii="宋体" w:hAnsi="宋体" w:cs="宋体"/>
                <w:b/>
                <w:bCs/>
                <w:color w:val="000000"/>
                <w:kern w:val="0"/>
                <w:sz w:val="18"/>
                <w:szCs w:val="18"/>
              </w:rPr>
              <w:t>产出成本</w:t>
            </w:r>
            <w:r>
              <w:rPr>
                <w:rFonts w:hint="eastAsia" w:ascii="宋体" w:hAnsi="宋体" w:cs="宋体"/>
                <w:color w:val="000000"/>
                <w:kern w:val="0"/>
                <w:sz w:val="18"/>
                <w:szCs w:val="18"/>
              </w:rPr>
              <w:t>：单位产出相对于上一年度的节约额；②单位产出相对于市场同类产出的节约额；③部门公用经费的控制情况。</w:t>
            </w:r>
          </w:p>
        </w:tc>
        <w:tc>
          <w:tcPr>
            <w:tcW w:w="1160" w:type="pct"/>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部门根据本单位情况自行确定并选择产出指标，合理确定各项指标权重。可量化的指标按照比率*单项指标分值即为该指标得分。如果不能定量评价，则以定性的方式进行自评。</w:t>
            </w:r>
          </w:p>
        </w:tc>
      </w:tr>
      <w:tr>
        <w:tblPrEx>
          <w:tblCellMar>
            <w:top w:w="0" w:type="dxa"/>
            <w:left w:w="108" w:type="dxa"/>
            <w:bottom w:w="0" w:type="dxa"/>
            <w:right w:w="108" w:type="dxa"/>
          </w:tblCellMar>
        </w:tblPrEx>
        <w:trPr>
          <w:trHeight w:val="1701" w:hRule="atLeast"/>
        </w:trPr>
        <w:tc>
          <w:tcPr>
            <w:tcW w:w="287"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401" w:type="pct"/>
            <w:vMerge w:val="continue"/>
            <w:tcBorders>
              <w:left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40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50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案件办结率等业务指标</w:t>
            </w:r>
          </w:p>
        </w:tc>
        <w:tc>
          <w:tcPr>
            <w:tcW w:w="55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部门产出质量提升及达到标准</w:t>
            </w:r>
          </w:p>
        </w:tc>
        <w:tc>
          <w:tcPr>
            <w:tcW w:w="30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302" w:type="pct"/>
            <w:tcBorders>
              <w:top w:val="single" w:color="auto" w:sz="4" w:space="0"/>
              <w:left w:val="nil"/>
              <w:bottom w:val="single" w:color="auto" w:sz="4" w:space="0"/>
              <w:right w:val="nil"/>
            </w:tcBorders>
            <w:noWrap/>
            <w:vAlign w:val="center"/>
          </w:tcPr>
          <w:p>
            <w:pPr>
              <w:jc w:val="center"/>
              <w:rPr>
                <w:rFonts w:ascii="宋体" w:hAnsi="宋体" w:cs="宋体"/>
                <w:color w:val="000000"/>
                <w:kern w:val="0"/>
                <w:sz w:val="20"/>
                <w:szCs w:val="20"/>
              </w:rPr>
            </w:pPr>
            <w:r>
              <w:rPr>
                <w:rFonts w:hint="eastAsia" w:ascii="宋体" w:hAnsi="宋体" w:cs="宋体"/>
                <w:color w:val="000000"/>
                <w:kern w:val="0"/>
                <w:sz w:val="20"/>
                <w:szCs w:val="20"/>
              </w:rPr>
              <w:t>1</w:t>
            </w:r>
            <w:r>
              <w:rPr>
                <w:rFonts w:ascii="宋体" w:hAnsi="宋体" w:cs="宋体"/>
                <w:color w:val="000000"/>
                <w:kern w:val="0"/>
                <w:sz w:val="20"/>
                <w:szCs w:val="20"/>
              </w:rPr>
              <w:t>0</w:t>
            </w:r>
          </w:p>
        </w:tc>
        <w:tc>
          <w:tcPr>
            <w:tcW w:w="1100"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60"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1701" w:hRule="atLeast"/>
        </w:trPr>
        <w:tc>
          <w:tcPr>
            <w:tcW w:w="287"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401" w:type="pct"/>
            <w:vMerge w:val="continue"/>
            <w:tcBorders>
              <w:left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400" w:type="pct"/>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进度指标</w:t>
            </w:r>
          </w:p>
        </w:tc>
        <w:tc>
          <w:tcPr>
            <w:tcW w:w="500" w:type="pct"/>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完成全年项目</w:t>
            </w:r>
          </w:p>
        </w:tc>
        <w:tc>
          <w:tcPr>
            <w:tcW w:w="550" w:type="pct"/>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r>
              <w:rPr>
                <w:rFonts w:ascii="宋体" w:hAnsi="宋体" w:cs="宋体"/>
                <w:color w:val="000000"/>
                <w:kern w:val="0"/>
                <w:sz w:val="20"/>
                <w:szCs w:val="20"/>
              </w:rPr>
              <w:t>021</w:t>
            </w:r>
            <w:r>
              <w:rPr>
                <w:rFonts w:hint="eastAsia" w:ascii="宋体" w:hAnsi="宋体" w:cs="宋体"/>
                <w:color w:val="000000"/>
                <w:kern w:val="0"/>
                <w:sz w:val="20"/>
                <w:szCs w:val="20"/>
              </w:rPr>
              <w:t>年全年执行，个别项目结转　</w:t>
            </w:r>
          </w:p>
        </w:tc>
        <w:tc>
          <w:tcPr>
            <w:tcW w:w="30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302" w:type="pct"/>
            <w:tcBorders>
              <w:top w:val="nil"/>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4</w:t>
            </w:r>
          </w:p>
        </w:tc>
        <w:tc>
          <w:tcPr>
            <w:tcW w:w="1100"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60"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1701" w:hRule="atLeast"/>
        </w:trPr>
        <w:tc>
          <w:tcPr>
            <w:tcW w:w="287"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401" w:type="pct"/>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400" w:type="pct"/>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500" w:type="pct"/>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部门预算控制在21,620.0</w:t>
            </w:r>
            <w:r>
              <w:rPr>
                <w:rFonts w:ascii="宋体" w:hAnsi="宋体" w:cs="宋体"/>
                <w:color w:val="000000"/>
                <w:kern w:val="0"/>
                <w:sz w:val="20"/>
                <w:szCs w:val="20"/>
              </w:rPr>
              <w:t>9</w:t>
            </w:r>
            <w:r>
              <w:rPr>
                <w:rFonts w:hint="eastAsia" w:ascii="宋体" w:hAnsi="宋体" w:cs="宋体"/>
                <w:color w:val="000000"/>
                <w:kern w:val="0"/>
                <w:sz w:val="20"/>
                <w:szCs w:val="20"/>
              </w:rPr>
              <w:t>万元内</w:t>
            </w:r>
          </w:p>
        </w:tc>
        <w:tc>
          <w:tcPr>
            <w:tcW w:w="550" w:type="pct"/>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年度预算执行14,221.82万元</w:t>
            </w:r>
          </w:p>
        </w:tc>
        <w:tc>
          <w:tcPr>
            <w:tcW w:w="30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302" w:type="pct"/>
            <w:tcBorders>
              <w:top w:val="nil"/>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100"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60"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1928" w:hRule="atLeast"/>
        </w:trPr>
        <w:tc>
          <w:tcPr>
            <w:tcW w:w="28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401"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效果（30）</w:t>
            </w:r>
          </w:p>
        </w:tc>
        <w:tc>
          <w:tcPr>
            <w:tcW w:w="40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社会效益</w:t>
            </w:r>
          </w:p>
        </w:tc>
        <w:tc>
          <w:tcPr>
            <w:tcW w:w="50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服务首都高质量发展，强化检察履职的使命担当</w:t>
            </w:r>
          </w:p>
        </w:tc>
        <w:tc>
          <w:tcPr>
            <w:tcW w:w="55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达到预期目标，资料需进一步完善</w:t>
            </w:r>
          </w:p>
        </w:tc>
        <w:tc>
          <w:tcPr>
            <w:tcW w:w="300"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302" w:type="pct"/>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w:t>
            </w:r>
          </w:p>
        </w:tc>
        <w:tc>
          <w:tcPr>
            <w:tcW w:w="1100" w:type="pct"/>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经济效益</w:t>
            </w:r>
            <w:r>
              <w:rPr>
                <w:rFonts w:hint="eastAsia" w:ascii="宋体" w:hAnsi="宋体" w:cs="宋体"/>
                <w:color w:val="000000"/>
                <w:kern w:val="0"/>
                <w:sz w:val="18"/>
                <w:szCs w:val="18"/>
              </w:rPr>
              <w:t>：部门（单位）履行职责对经济发展所带来的直接或间接影响。</w:t>
            </w:r>
            <w:r>
              <w:rPr>
                <w:rFonts w:hint="eastAsia" w:ascii="宋体" w:hAnsi="宋体" w:cs="宋体"/>
                <w:b/>
                <w:bCs/>
                <w:color w:val="000000"/>
                <w:kern w:val="0"/>
                <w:sz w:val="18"/>
                <w:szCs w:val="18"/>
              </w:rPr>
              <w:t>社会效益</w:t>
            </w:r>
            <w:r>
              <w:rPr>
                <w:rFonts w:hint="eastAsia" w:ascii="宋体" w:hAnsi="宋体" w:cs="宋体"/>
                <w:color w:val="000000"/>
                <w:kern w:val="0"/>
                <w:sz w:val="18"/>
                <w:szCs w:val="18"/>
              </w:rPr>
              <w:t>：部门（单位）履行职责对社会发展所带来的直接或间接影响。</w:t>
            </w:r>
            <w:r>
              <w:rPr>
                <w:rFonts w:hint="eastAsia" w:ascii="宋体" w:hAnsi="宋体" w:cs="宋体"/>
                <w:b/>
                <w:bCs/>
                <w:color w:val="000000"/>
                <w:kern w:val="0"/>
                <w:sz w:val="18"/>
                <w:szCs w:val="18"/>
              </w:rPr>
              <w:t>环境效益</w:t>
            </w:r>
            <w:r>
              <w:rPr>
                <w:rFonts w:hint="eastAsia" w:ascii="宋体" w:hAnsi="宋体" w:cs="宋体"/>
                <w:color w:val="000000"/>
                <w:kern w:val="0"/>
                <w:sz w:val="18"/>
                <w:szCs w:val="18"/>
              </w:rPr>
              <w:t>：部门（单位）履行职责对环境所带来的直接或间接影响。</w:t>
            </w:r>
            <w:r>
              <w:rPr>
                <w:rFonts w:hint="eastAsia" w:ascii="宋体" w:hAnsi="宋体" w:cs="宋体"/>
                <w:b/>
                <w:bCs/>
                <w:color w:val="000000"/>
                <w:kern w:val="0"/>
                <w:sz w:val="18"/>
                <w:szCs w:val="18"/>
              </w:rPr>
              <w:t>可持续性影响：</w:t>
            </w:r>
            <w:r>
              <w:rPr>
                <w:rFonts w:hint="eastAsia" w:ascii="宋体" w:hAnsi="宋体" w:cs="宋体"/>
                <w:color w:val="000000"/>
                <w:kern w:val="0"/>
                <w:sz w:val="18"/>
                <w:szCs w:val="18"/>
              </w:rPr>
              <w:t>部门绩效目标实现的长效机制建设情况，部门工作效率提升措施的创新。</w:t>
            </w:r>
            <w:r>
              <w:rPr>
                <w:rFonts w:hint="eastAsia" w:ascii="宋体" w:hAnsi="宋体" w:cs="宋体"/>
                <w:b/>
                <w:bCs/>
                <w:color w:val="000000"/>
                <w:kern w:val="0"/>
                <w:sz w:val="18"/>
                <w:szCs w:val="18"/>
              </w:rPr>
              <w:t>服务对象满意度</w:t>
            </w:r>
            <w:r>
              <w:rPr>
                <w:rFonts w:hint="eastAsia" w:ascii="宋体" w:hAnsi="宋体" w:cs="宋体"/>
                <w:color w:val="000000"/>
                <w:kern w:val="0"/>
                <w:sz w:val="18"/>
                <w:szCs w:val="18"/>
              </w:rPr>
              <w:t>：部门（单位）的服务对象对部门履职效果的满意程度。</w:t>
            </w:r>
          </w:p>
        </w:tc>
        <w:tc>
          <w:tcPr>
            <w:tcW w:w="1160" w:type="pct"/>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部门根据实际情况选择指标进行填写，并将其细化为相应的个性化指标。对于效益类指标可从受益对象瞄准度、受益广度和受益深度上进行设计分析。</w:t>
            </w:r>
          </w:p>
        </w:tc>
      </w:tr>
      <w:tr>
        <w:tblPrEx>
          <w:tblCellMar>
            <w:top w:w="0" w:type="dxa"/>
            <w:left w:w="108" w:type="dxa"/>
            <w:bottom w:w="0" w:type="dxa"/>
            <w:right w:w="108" w:type="dxa"/>
          </w:tblCellMar>
        </w:tblPrEx>
        <w:trPr>
          <w:trHeight w:val="1928" w:hRule="atLeast"/>
        </w:trPr>
        <w:tc>
          <w:tcPr>
            <w:tcW w:w="287"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40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40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可持续性影响</w:t>
            </w:r>
          </w:p>
        </w:tc>
        <w:tc>
          <w:tcPr>
            <w:tcW w:w="50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推进检察高质量发展，强化检察发展行稳致远战略支撑</w:t>
            </w:r>
          </w:p>
        </w:tc>
        <w:tc>
          <w:tcPr>
            <w:tcW w:w="55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达到预期目标，资料需进一步完善</w:t>
            </w:r>
          </w:p>
        </w:tc>
        <w:tc>
          <w:tcPr>
            <w:tcW w:w="30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302" w:type="pct"/>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w:t>
            </w:r>
          </w:p>
        </w:tc>
        <w:tc>
          <w:tcPr>
            <w:tcW w:w="110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6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trHeight w:val="1928" w:hRule="atLeast"/>
        </w:trPr>
        <w:tc>
          <w:tcPr>
            <w:tcW w:w="287"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40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40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服务对象满意程度</w:t>
            </w:r>
          </w:p>
        </w:tc>
        <w:tc>
          <w:tcPr>
            <w:tcW w:w="50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服务对象满意度9</w:t>
            </w:r>
            <w:r>
              <w:rPr>
                <w:rFonts w:ascii="宋体" w:hAnsi="宋体" w:cs="宋体"/>
                <w:color w:val="000000"/>
                <w:kern w:val="0"/>
                <w:sz w:val="20"/>
                <w:szCs w:val="20"/>
              </w:rPr>
              <w:t>0%</w:t>
            </w:r>
            <w:r>
              <w:rPr>
                <w:rFonts w:hint="eastAsia" w:ascii="宋体" w:hAnsi="宋体" w:cs="宋体"/>
                <w:color w:val="000000"/>
                <w:kern w:val="0"/>
                <w:sz w:val="20"/>
                <w:szCs w:val="20"/>
              </w:rPr>
              <w:t>以上</w:t>
            </w:r>
          </w:p>
        </w:tc>
        <w:tc>
          <w:tcPr>
            <w:tcW w:w="55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满意度达到要求，但资料需进一步完善</w:t>
            </w:r>
          </w:p>
        </w:tc>
        <w:tc>
          <w:tcPr>
            <w:tcW w:w="30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302" w:type="pct"/>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w:t>
            </w:r>
          </w:p>
        </w:tc>
        <w:tc>
          <w:tcPr>
            <w:tcW w:w="110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16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r>
    </w:tbl>
    <w:p>
      <w:pPr>
        <w:ind w:firstLine="640" w:firstLineChars="200"/>
        <w:rPr>
          <w:rFonts w:ascii="仿宋_GB2312" w:eastAsia="仿宋_GB2312"/>
          <w:sz w:val="32"/>
          <w:szCs w:val="32"/>
        </w:rPr>
        <w:sectPr>
          <w:pgSz w:w="16838" w:h="11906" w:orient="landscape"/>
          <w:pgMar w:top="1797" w:right="1440" w:bottom="1797" w:left="1440" w:header="851" w:footer="992" w:gutter="0"/>
          <w:pgNumType w:fmt="numberInDash"/>
          <w:cols w:space="425" w:num="1"/>
          <w:docGrid w:type="lines" w:linePitch="312" w:charSpace="0"/>
        </w:sectPr>
      </w:pPr>
    </w:p>
    <w:tbl>
      <w:tblPr>
        <w:tblStyle w:val="8"/>
        <w:tblW w:w="5000" w:type="pct"/>
        <w:tblInd w:w="0" w:type="dxa"/>
        <w:tblLayout w:type="fixed"/>
        <w:tblCellMar>
          <w:top w:w="0" w:type="dxa"/>
          <w:left w:w="108" w:type="dxa"/>
          <w:bottom w:w="0" w:type="dxa"/>
          <w:right w:w="108" w:type="dxa"/>
        </w:tblCellMar>
      </w:tblPr>
      <w:tblGrid>
        <w:gridCol w:w="814"/>
        <w:gridCol w:w="995"/>
        <w:gridCol w:w="853"/>
        <w:gridCol w:w="1276"/>
        <w:gridCol w:w="1273"/>
        <w:gridCol w:w="709"/>
        <w:gridCol w:w="992"/>
        <w:gridCol w:w="2412"/>
        <w:gridCol w:w="4850"/>
      </w:tblGrid>
      <w:tr>
        <w:tblPrEx>
          <w:tblCellMar>
            <w:top w:w="0" w:type="dxa"/>
            <w:left w:w="108" w:type="dxa"/>
            <w:bottom w:w="0" w:type="dxa"/>
            <w:right w:w="108" w:type="dxa"/>
          </w:tblCellMar>
        </w:tblPrEx>
        <w:trPr>
          <w:trHeight w:val="483" w:hRule="atLeast"/>
          <w:tblHeader/>
        </w:trPr>
        <w:tc>
          <w:tcPr>
            <w:tcW w:w="5000" w:type="pct"/>
            <w:gridSpan w:val="9"/>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20"/>
                <w:szCs w:val="20"/>
              </w:rPr>
              <w:t>预算管理情况（20分）</w:t>
            </w:r>
          </w:p>
        </w:tc>
      </w:tr>
      <w:tr>
        <w:tblPrEx>
          <w:tblCellMar>
            <w:top w:w="0" w:type="dxa"/>
            <w:left w:w="108" w:type="dxa"/>
            <w:bottom w:w="0" w:type="dxa"/>
            <w:right w:w="108" w:type="dxa"/>
          </w:tblCellMar>
        </w:tblPrEx>
        <w:trPr>
          <w:trHeight w:val="443" w:hRule="atLeast"/>
          <w:tblHeader/>
        </w:trPr>
        <w:tc>
          <w:tcPr>
            <w:tcW w:w="287"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w:t>
            </w:r>
            <w:r>
              <w:rPr>
                <w:rFonts w:ascii="宋体" w:hAnsi="宋体" w:cs="宋体"/>
                <w:color w:val="000000"/>
                <w:kern w:val="0"/>
                <w:sz w:val="20"/>
                <w:szCs w:val="20"/>
              </w:rPr>
              <w:t>级指标</w:t>
            </w:r>
          </w:p>
        </w:tc>
        <w:tc>
          <w:tcPr>
            <w:tcW w:w="35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w:t>
            </w:r>
            <w:r>
              <w:rPr>
                <w:rFonts w:ascii="宋体" w:hAnsi="宋体" w:cs="宋体"/>
                <w:color w:val="000000"/>
                <w:kern w:val="0"/>
                <w:sz w:val="20"/>
                <w:szCs w:val="20"/>
              </w:rPr>
              <w:t>级指标</w:t>
            </w:r>
          </w:p>
        </w:tc>
        <w:tc>
          <w:tcPr>
            <w:tcW w:w="301"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w:t>
            </w:r>
            <w:r>
              <w:rPr>
                <w:rFonts w:ascii="宋体" w:hAnsi="宋体" w:cs="宋体"/>
                <w:color w:val="000000"/>
                <w:kern w:val="0"/>
                <w:sz w:val="20"/>
                <w:szCs w:val="20"/>
              </w:rPr>
              <w:t>级指标</w:t>
            </w:r>
          </w:p>
        </w:tc>
        <w:tc>
          <w:tcPr>
            <w:tcW w:w="45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w:t>
            </w:r>
            <w:r>
              <w:rPr>
                <w:rFonts w:ascii="宋体" w:hAnsi="宋体" w:cs="宋体"/>
                <w:color w:val="000000"/>
                <w:kern w:val="0"/>
                <w:sz w:val="20"/>
                <w:szCs w:val="20"/>
              </w:rPr>
              <w:t>值</w:t>
            </w:r>
          </w:p>
        </w:tc>
        <w:tc>
          <w:tcPr>
            <w:tcW w:w="449"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w:t>
            </w:r>
            <w:r>
              <w:rPr>
                <w:rFonts w:ascii="宋体" w:hAnsi="宋体" w:cs="宋体"/>
                <w:color w:val="000000"/>
                <w:kern w:val="0"/>
                <w:sz w:val="20"/>
                <w:szCs w:val="20"/>
              </w:rPr>
              <w:t>值</w:t>
            </w:r>
          </w:p>
        </w:tc>
        <w:tc>
          <w:tcPr>
            <w:tcW w:w="250" w:type="pct"/>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w:t>
            </w:r>
            <w:r>
              <w:rPr>
                <w:rFonts w:ascii="宋体" w:hAnsi="宋体" w:cs="宋体"/>
                <w:color w:val="000000"/>
                <w:kern w:val="0"/>
                <w:sz w:val="20"/>
                <w:szCs w:val="20"/>
              </w:rPr>
              <w:t>值</w:t>
            </w:r>
          </w:p>
        </w:tc>
        <w:tc>
          <w:tcPr>
            <w:tcW w:w="350" w:type="pct"/>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w:t>
            </w:r>
            <w:r>
              <w:rPr>
                <w:rFonts w:ascii="宋体" w:hAnsi="宋体" w:cs="宋体"/>
                <w:color w:val="000000"/>
                <w:kern w:val="0"/>
                <w:sz w:val="20"/>
                <w:szCs w:val="20"/>
              </w:rPr>
              <w:t>分</w:t>
            </w:r>
          </w:p>
        </w:tc>
        <w:tc>
          <w:tcPr>
            <w:tcW w:w="85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1711"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CellMar>
            <w:top w:w="0" w:type="dxa"/>
            <w:left w:w="108" w:type="dxa"/>
            <w:bottom w:w="0" w:type="dxa"/>
            <w:right w:w="108" w:type="dxa"/>
          </w:tblCellMar>
        </w:tblPrEx>
        <w:trPr>
          <w:trHeight w:val="1230" w:hRule="atLeast"/>
        </w:trPr>
        <w:tc>
          <w:tcPr>
            <w:tcW w:w="287"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预算管理情况（20）</w:t>
            </w:r>
          </w:p>
        </w:tc>
        <w:tc>
          <w:tcPr>
            <w:tcW w:w="351"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财务</w:t>
            </w:r>
          </w:p>
          <w:p>
            <w:pPr>
              <w:widowControl/>
              <w:jc w:val="center"/>
              <w:rPr>
                <w:rFonts w:ascii="宋体" w:hAnsi="宋体" w:cs="宋体"/>
                <w:color w:val="000000"/>
                <w:kern w:val="0"/>
                <w:sz w:val="20"/>
                <w:szCs w:val="20"/>
              </w:rPr>
            </w:pPr>
            <w:r>
              <w:rPr>
                <w:rFonts w:hint="eastAsia" w:ascii="宋体" w:hAnsi="宋体" w:cs="宋体"/>
                <w:color w:val="000000"/>
                <w:kern w:val="0"/>
                <w:sz w:val="20"/>
                <w:szCs w:val="20"/>
              </w:rPr>
              <w:t>管理</w:t>
            </w:r>
          </w:p>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01"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财务管理制度健全性</w:t>
            </w:r>
          </w:p>
        </w:tc>
        <w:tc>
          <w:tcPr>
            <w:tcW w:w="45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财务管理制度健全性　</w:t>
            </w:r>
          </w:p>
        </w:tc>
        <w:tc>
          <w:tcPr>
            <w:tcW w:w="449"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Theme="minorEastAsia" w:hAnsiTheme="minorEastAsia" w:eastAsiaTheme="minorEastAsia"/>
                <w:color w:val="000000"/>
                <w:sz w:val="20"/>
                <w:szCs w:val="20"/>
              </w:rPr>
              <w:t>相关财务管理制度完整、规范</w:t>
            </w:r>
            <w:r>
              <w:rPr>
                <w:rFonts w:hint="eastAsia" w:ascii="宋体" w:hAnsi="宋体" w:cs="宋体"/>
                <w:color w:val="000000"/>
                <w:kern w:val="0"/>
                <w:sz w:val="20"/>
                <w:szCs w:val="20"/>
              </w:rPr>
              <w:t>　</w:t>
            </w:r>
          </w:p>
        </w:tc>
        <w:tc>
          <w:tcPr>
            <w:tcW w:w="250" w:type="pct"/>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350" w:type="pct"/>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　</w:t>
            </w:r>
          </w:p>
        </w:tc>
        <w:tc>
          <w:tcPr>
            <w:tcW w:w="851" w:type="pc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财务管理制度健全性:</w:t>
            </w:r>
            <w:r>
              <w:rPr>
                <w:rFonts w:hint="eastAsia" w:ascii="宋体" w:hAnsi="宋体" w:cs="宋体"/>
                <w:color w:val="000000"/>
                <w:kern w:val="0"/>
                <w:sz w:val="18"/>
                <w:szCs w:val="18"/>
              </w:rPr>
              <w:t>部门（单位）为加强财务管理、规范财务行为而制定的管理制度。</w:t>
            </w:r>
          </w:p>
        </w:tc>
        <w:tc>
          <w:tcPr>
            <w:tcW w:w="1711" w:type="pct"/>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①预算资金管理办法、绩效跟踪管理办法、资产管理办法等各项制度是否健全；②部门内部财务管理制度是否完整、合规；③会计核算制度是否完整、合规。每有一项不合格扣0.5分，扣完为止。</w:t>
            </w:r>
          </w:p>
        </w:tc>
      </w:tr>
      <w:tr>
        <w:tblPrEx>
          <w:tblCellMar>
            <w:top w:w="0" w:type="dxa"/>
            <w:left w:w="108" w:type="dxa"/>
            <w:bottom w:w="0" w:type="dxa"/>
            <w:right w:w="108" w:type="dxa"/>
          </w:tblCellMar>
        </w:tblPrEx>
        <w:trPr>
          <w:trHeight w:val="2220" w:hRule="atLeast"/>
        </w:trPr>
        <w:tc>
          <w:tcPr>
            <w:tcW w:w="287" w:type="pct"/>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35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301"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资金使用合规性和安全性</w:t>
            </w:r>
          </w:p>
        </w:tc>
        <w:tc>
          <w:tcPr>
            <w:tcW w:w="45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资金使用合规性和安全性　</w:t>
            </w:r>
          </w:p>
        </w:tc>
        <w:tc>
          <w:tcPr>
            <w:tcW w:w="449"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规范　</w:t>
            </w:r>
          </w:p>
        </w:tc>
        <w:tc>
          <w:tcPr>
            <w:tcW w:w="250" w:type="pct"/>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350" w:type="pct"/>
            <w:tcBorders>
              <w:top w:val="single" w:color="auto" w:sz="4" w:space="0"/>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　</w:t>
            </w:r>
          </w:p>
        </w:tc>
        <w:tc>
          <w:tcPr>
            <w:tcW w:w="851" w:type="pc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资金使用合规性和安全性:</w:t>
            </w:r>
            <w:r>
              <w:rPr>
                <w:rFonts w:hint="eastAsia" w:ascii="宋体" w:hAnsi="宋体" w:cs="宋体"/>
                <w:color w:val="000000"/>
                <w:kern w:val="0"/>
                <w:sz w:val="18"/>
                <w:szCs w:val="18"/>
              </w:rPr>
              <w:t>部门（单位）使用预算资金是否符合相关的预算财务管理制度的规定，是否符合相关规定的开支范围，用以反映考核部门（单位）预算资金的规范运行和安全运行情况。</w:t>
            </w:r>
          </w:p>
        </w:tc>
        <w:tc>
          <w:tcPr>
            <w:tcW w:w="1711" w:type="pct"/>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tblPrEx>
          <w:tblCellMar>
            <w:top w:w="0" w:type="dxa"/>
            <w:left w:w="108" w:type="dxa"/>
            <w:bottom w:w="0" w:type="dxa"/>
            <w:right w:w="108" w:type="dxa"/>
          </w:tblCellMar>
        </w:tblPrEx>
        <w:trPr>
          <w:trHeight w:val="1145" w:hRule="atLeast"/>
        </w:trPr>
        <w:tc>
          <w:tcPr>
            <w:tcW w:w="287"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35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301" w:type="pct"/>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会计基础信息完善性</w:t>
            </w:r>
          </w:p>
        </w:tc>
        <w:tc>
          <w:tcPr>
            <w:tcW w:w="450" w:type="pct"/>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会计基础信息真实、完整、准确　</w:t>
            </w:r>
          </w:p>
        </w:tc>
        <w:tc>
          <w:tcPr>
            <w:tcW w:w="449" w:type="pct"/>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规范　</w:t>
            </w:r>
          </w:p>
        </w:tc>
        <w:tc>
          <w:tcPr>
            <w:tcW w:w="250" w:type="pct"/>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350" w:type="pct"/>
            <w:tcBorders>
              <w:top w:val="nil"/>
              <w:left w:val="nil"/>
              <w:bottom w:val="single" w:color="auto" w:sz="4" w:space="0"/>
              <w:right w:val="nil"/>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　</w:t>
            </w:r>
          </w:p>
        </w:tc>
        <w:tc>
          <w:tcPr>
            <w:tcW w:w="851" w:type="pct"/>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会计基础信息完善性:</w:t>
            </w:r>
            <w:r>
              <w:rPr>
                <w:rFonts w:hint="eastAsia" w:ascii="宋体" w:hAnsi="宋体" w:cs="宋体"/>
                <w:color w:val="000000"/>
                <w:kern w:val="0"/>
                <w:sz w:val="18"/>
                <w:szCs w:val="18"/>
              </w:rPr>
              <w:t>部门（单位）会计基础信息情况。</w:t>
            </w:r>
          </w:p>
        </w:tc>
        <w:tc>
          <w:tcPr>
            <w:tcW w:w="1711" w:type="pct"/>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①基础数据信息和会计信息资料是否真实；②基础数据信息和会计信息资料是否完整；③基础数据信息和会计信息资料是否准确。每有一项不合格扣0.5分，扣完为止。</w:t>
            </w:r>
          </w:p>
        </w:tc>
      </w:tr>
      <w:tr>
        <w:tblPrEx>
          <w:tblCellMar>
            <w:top w:w="0" w:type="dxa"/>
            <w:left w:w="108" w:type="dxa"/>
            <w:bottom w:w="0" w:type="dxa"/>
            <w:right w:w="108" w:type="dxa"/>
          </w:tblCellMar>
        </w:tblPrEx>
        <w:trPr>
          <w:trHeight w:val="2065" w:hRule="atLeast"/>
        </w:trPr>
        <w:tc>
          <w:tcPr>
            <w:tcW w:w="287"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35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资产</w:t>
            </w:r>
          </w:p>
          <w:p>
            <w:pPr>
              <w:widowControl/>
              <w:jc w:val="center"/>
              <w:rPr>
                <w:rFonts w:ascii="宋体" w:hAnsi="宋体" w:cs="宋体"/>
                <w:color w:val="000000"/>
                <w:kern w:val="0"/>
                <w:sz w:val="20"/>
                <w:szCs w:val="20"/>
              </w:rPr>
            </w:pPr>
            <w:r>
              <w:rPr>
                <w:rFonts w:hint="eastAsia" w:ascii="宋体" w:hAnsi="宋体" w:cs="宋体"/>
                <w:color w:val="000000"/>
                <w:kern w:val="0"/>
                <w:sz w:val="20"/>
                <w:szCs w:val="20"/>
              </w:rPr>
              <w:t>管理</w:t>
            </w:r>
          </w:p>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0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资产管理规范性</w:t>
            </w:r>
          </w:p>
        </w:tc>
        <w:tc>
          <w:tcPr>
            <w:tcW w:w="45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资产制度健全，管理规范</w:t>
            </w:r>
          </w:p>
        </w:tc>
        <w:tc>
          <w:tcPr>
            <w:tcW w:w="449"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规范</w:t>
            </w:r>
          </w:p>
        </w:tc>
        <w:tc>
          <w:tcPr>
            <w:tcW w:w="25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5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　</w:t>
            </w:r>
          </w:p>
        </w:tc>
        <w:tc>
          <w:tcPr>
            <w:tcW w:w="851" w:type="pc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资产管理规范性:</w:t>
            </w:r>
            <w:r>
              <w:rPr>
                <w:rFonts w:hint="eastAsia" w:ascii="宋体" w:hAnsi="宋体" w:cs="宋体"/>
                <w:color w:val="000000"/>
                <w:kern w:val="0"/>
                <w:sz w:val="18"/>
                <w:szCs w:val="18"/>
              </w:rPr>
              <w:t>部门（单位）的资产是否保持安全完整，资产配置是否合理，资产使用和资产处理是否规范，用以反映和考核部门（单位）资产管理的整体水平。</w:t>
            </w:r>
          </w:p>
        </w:tc>
        <w:tc>
          <w:tcPr>
            <w:tcW w:w="1711" w:type="pc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tblPrEx>
          <w:tblCellMar>
            <w:top w:w="0" w:type="dxa"/>
            <w:left w:w="108" w:type="dxa"/>
            <w:bottom w:w="0" w:type="dxa"/>
            <w:right w:w="108" w:type="dxa"/>
          </w:tblCellMar>
        </w:tblPrEx>
        <w:trPr>
          <w:trHeight w:val="1361" w:hRule="atLeast"/>
        </w:trPr>
        <w:tc>
          <w:tcPr>
            <w:tcW w:w="287"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351"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绩效</w:t>
            </w:r>
          </w:p>
          <w:p>
            <w:pPr>
              <w:widowControl/>
              <w:jc w:val="center"/>
              <w:rPr>
                <w:rFonts w:ascii="宋体" w:hAnsi="宋体" w:cs="宋体"/>
                <w:color w:val="000000"/>
                <w:kern w:val="0"/>
                <w:sz w:val="20"/>
                <w:szCs w:val="20"/>
              </w:rPr>
            </w:pPr>
            <w:r>
              <w:rPr>
                <w:rFonts w:hint="eastAsia" w:ascii="宋体" w:hAnsi="宋体" w:cs="宋体"/>
                <w:color w:val="000000"/>
                <w:kern w:val="0"/>
                <w:sz w:val="20"/>
                <w:szCs w:val="20"/>
              </w:rPr>
              <w:t>管理</w:t>
            </w:r>
          </w:p>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01"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绩效管理情况</w:t>
            </w:r>
          </w:p>
        </w:tc>
        <w:tc>
          <w:tcPr>
            <w:tcW w:w="45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绩效管理规范，未发生目标偏离</w:t>
            </w:r>
          </w:p>
        </w:tc>
        <w:tc>
          <w:tcPr>
            <w:tcW w:w="449"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规范</w:t>
            </w:r>
          </w:p>
        </w:tc>
        <w:tc>
          <w:tcPr>
            <w:tcW w:w="25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50" w:type="pct"/>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　</w:t>
            </w:r>
          </w:p>
        </w:tc>
        <w:tc>
          <w:tcPr>
            <w:tcW w:w="851" w:type="pct"/>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b/>
                <w:bCs/>
                <w:color w:val="000000"/>
                <w:kern w:val="0"/>
                <w:sz w:val="18"/>
                <w:szCs w:val="18"/>
              </w:rPr>
              <w:t>绩效管理情况:</w:t>
            </w:r>
            <w:r>
              <w:rPr>
                <w:rFonts w:hint="eastAsia" w:ascii="宋体" w:hAnsi="宋体" w:cs="宋体"/>
                <w:color w:val="000000"/>
                <w:kern w:val="0"/>
                <w:sz w:val="18"/>
                <w:szCs w:val="18"/>
              </w:rPr>
              <w:t>考核部门（单位）在绩效管理信息的汇总和应用情况。</w:t>
            </w:r>
          </w:p>
        </w:tc>
        <w:tc>
          <w:tcPr>
            <w:tcW w:w="1711" w:type="pct"/>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①部门（单位）是否及时对绩效信息进行汇总分析整理；②部门（单位）是否对绩效目标偏离情况及时进行矫正。每有一项不合格扣2分。</w:t>
            </w:r>
          </w:p>
        </w:tc>
      </w:tr>
      <w:tr>
        <w:tblPrEx>
          <w:tblCellMar>
            <w:top w:w="0" w:type="dxa"/>
            <w:left w:w="108" w:type="dxa"/>
            <w:bottom w:w="0" w:type="dxa"/>
            <w:right w:w="108" w:type="dxa"/>
          </w:tblCellMar>
        </w:tblPrEx>
        <w:trPr>
          <w:trHeight w:val="624" w:hRule="atLeast"/>
        </w:trPr>
        <w:tc>
          <w:tcPr>
            <w:tcW w:w="287"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351"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　</w:t>
            </w:r>
          </w:p>
        </w:tc>
        <w:tc>
          <w:tcPr>
            <w:tcW w:w="751" w:type="pct"/>
            <w:gridSpan w:val="2"/>
            <w:tcBorders>
              <w:top w:val="single" w:color="auto" w:sz="4" w:space="0"/>
              <w:left w:val="nil"/>
              <w:bottom w:val="single" w:color="auto" w:sz="4" w:space="0"/>
              <w:right w:val="single" w:color="000000"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2020年</w:t>
            </w:r>
          </w:p>
        </w:tc>
        <w:tc>
          <w:tcPr>
            <w:tcW w:w="449"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2021年</w:t>
            </w:r>
          </w:p>
        </w:tc>
        <w:tc>
          <w:tcPr>
            <w:tcW w:w="25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350" w:type="pct"/>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85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1711" w:type="pct"/>
            <w:tcBorders>
              <w:top w:val="single" w:color="auto" w:sz="4" w:space="0"/>
              <w:left w:val="nil"/>
              <w:bottom w:val="single" w:color="auto" w:sz="4" w:space="0"/>
              <w:right w:val="single" w:color="auto" w:sz="4" w:space="0"/>
            </w:tcBorders>
            <w:vAlign w:val="center"/>
          </w:tcPr>
          <w:p>
            <w:pPr>
              <w:widowControl/>
              <w:jc w:val="center"/>
              <w:rPr>
                <w:rFonts w:eastAsia="Times New Roman"/>
                <w:kern w:val="0"/>
                <w:sz w:val="20"/>
                <w:szCs w:val="20"/>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CellMar>
            <w:top w:w="0" w:type="dxa"/>
            <w:left w:w="108" w:type="dxa"/>
            <w:bottom w:w="0" w:type="dxa"/>
            <w:right w:w="108" w:type="dxa"/>
          </w:tblCellMar>
        </w:tblPrEx>
        <w:trPr>
          <w:trHeight w:val="1752" w:hRule="atLeast"/>
        </w:trPr>
        <w:tc>
          <w:tcPr>
            <w:tcW w:w="287"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351" w:type="pct"/>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结转</w:t>
            </w:r>
          </w:p>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结余</w:t>
            </w:r>
          </w:p>
          <w:p>
            <w:pPr>
              <w:widowControl/>
              <w:jc w:val="center"/>
              <w:rPr>
                <w:rFonts w:ascii="宋体" w:hAnsi="宋体" w:cs="宋体"/>
                <w:color w:val="000000"/>
                <w:kern w:val="0"/>
                <w:sz w:val="20"/>
                <w:szCs w:val="20"/>
              </w:rPr>
            </w:pPr>
            <w:r>
              <w:rPr>
                <w:rFonts w:hint="eastAsia" w:ascii="宋体" w:hAnsi="宋体" w:cs="宋体"/>
                <w:color w:val="000000"/>
                <w:kern w:val="0"/>
                <w:sz w:val="20"/>
                <w:szCs w:val="20"/>
              </w:rPr>
              <w:t>率</w:t>
            </w:r>
          </w:p>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751" w:type="pct"/>
            <w:gridSpan w:val="2"/>
            <w:tcBorders>
              <w:top w:val="single" w:color="auto" w:sz="4" w:space="0"/>
              <w:left w:val="nil"/>
              <w:bottom w:val="single" w:color="auto" w:sz="4" w:space="0"/>
              <w:right w:val="single" w:color="000000" w:sz="4" w:space="0"/>
            </w:tcBorders>
            <w:vAlign w:val="center"/>
          </w:tcPr>
          <w:p>
            <w:pPr>
              <w:widowControl/>
              <w:jc w:val="center"/>
              <w:rPr>
                <w:rFonts w:ascii="宋体" w:hAnsi="宋体" w:cs="宋体"/>
                <w:color w:val="000000"/>
                <w:kern w:val="0"/>
                <w:sz w:val="20"/>
                <w:szCs w:val="20"/>
                <w:highlight w:val="yellow"/>
              </w:rPr>
            </w:pPr>
            <w:r>
              <w:rPr>
                <w:rFonts w:ascii="宋体" w:hAnsi="宋体" w:cs="宋体"/>
                <w:color w:val="000000"/>
                <w:kern w:val="0"/>
                <w:sz w:val="20"/>
                <w:szCs w:val="20"/>
              </w:rPr>
              <w:t>36.96</w:t>
            </w:r>
            <w:r>
              <w:rPr>
                <w:rFonts w:hint="eastAsia" w:ascii="宋体" w:hAnsi="宋体" w:cs="宋体"/>
                <w:color w:val="000000"/>
                <w:kern w:val="0"/>
                <w:sz w:val="20"/>
                <w:szCs w:val="20"/>
              </w:rPr>
              <w:t>%</w:t>
            </w:r>
          </w:p>
        </w:tc>
        <w:tc>
          <w:tcPr>
            <w:tcW w:w="449" w:type="pct"/>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yellow"/>
              </w:rPr>
            </w:pPr>
            <w:r>
              <w:rPr>
                <w:rFonts w:hint="eastAsia" w:ascii="宋体" w:hAnsi="宋体" w:cs="宋体"/>
                <w:color w:val="000000"/>
                <w:kern w:val="0"/>
                <w:sz w:val="20"/>
                <w:szCs w:val="20"/>
              </w:rPr>
              <w:t>34.22%</w:t>
            </w:r>
          </w:p>
        </w:tc>
        <w:tc>
          <w:tcPr>
            <w:tcW w:w="250" w:type="pct"/>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highlight w:val="yellow"/>
              </w:rPr>
            </w:pPr>
            <w:r>
              <w:rPr>
                <w:rFonts w:hint="eastAsia" w:ascii="宋体" w:hAnsi="宋体" w:cs="宋体"/>
                <w:color w:val="000000"/>
                <w:kern w:val="0"/>
                <w:sz w:val="20"/>
                <w:szCs w:val="20"/>
              </w:rPr>
              <w:t>4</w:t>
            </w:r>
          </w:p>
        </w:tc>
        <w:tc>
          <w:tcPr>
            <w:tcW w:w="350" w:type="pct"/>
            <w:tcBorders>
              <w:top w:val="nil"/>
              <w:left w:val="nil"/>
              <w:bottom w:val="single" w:color="auto" w:sz="4" w:space="0"/>
              <w:right w:val="nil"/>
            </w:tcBorders>
            <w:vAlign w:val="center"/>
          </w:tcPr>
          <w:p>
            <w:pPr>
              <w:widowControl/>
              <w:jc w:val="center"/>
              <w:rPr>
                <w:rFonts w:ascii="宋体" w:hAnsi="宋体" w:cs="宋体"/>
                <w:color w:val="000000"/>
                <w:kern w:val="0"/>
                <w:sz w:val="20"/>
                <w:szCs w:val="20"/>
                <w:highlight w:val="yellow"/>
              </w:rPr>
            </w:pPr>
            <w:r>
              <w:rPr>
                <w:rFonts w:hint="eastAsia" w:ascii="宋体" w:hAnsi="宋体" w:cs="宋体"/>
                <w:color w:val="000000"/>
                <w:kern w:val="0"/>
                <w:sz w:val="20"/>
                <w:szCs w:val="20"/>
              </w:rPr>
              <w:t>4　</w:t>
            </w:r>
          </w:p>
        </w:tc>
        <w:tc>
          <w:tcPr>
            <w:tcW w:w="851" w:type="pct"/>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rPr>
              <w:t>结转结余率=结转结余总额/支出预算数×100%。</w:t>
            </w:r>
          </w:p>
          <w:p>
            <w:pPr>
              <w:widowControl/>
              <w:jc w:val="left"/>
              <w:rPr>
                <w:rFonts w:ascii="宋体" w:hAnsi="宋体" w:cs="宋体"/>
                <w:color w:val="000000"/>
                <w:kern w:val="0"/>
                <w:sz w:val="18"/>
                <w:szCs w:val="18"/>
              </w:rPr>
            </w:pPr>
            <w:r>
              <w:rPr>
                <w:rFonts w:hint="eastAsia" w:ascii="宋体" w:hAnsi="宋体" w:cs="宋体"/>
                <w:color w:val="000000"/>
                <w:kern w:val="0"/>
                <w:sz w:val="18"/>
                <w:szCs w:val="18"/>
              </w:rPr>
              <w:t>结转结余总额：部门（单位）本年度的结转资金与结余资金之和。</w:t>
            </w:r>
          </w:p>
        </w:tc>
        <w:tc>
          <w:tcPr>
            <w:tcW w:w="1711" w:type="pct"/>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tblPrEx>
          <w:tblCellMar>
            <w:top w:w="0" w:type="dxa"/>
            <w:left w:w="108" w:type="dxa"/>
            <w:bottom w:w="0" w:type="dxa"/>
            <w:right w:w="108" w:type="dxa"/>
          </w:tblCellMar>
        </w:tblPrEx>
        <w:trPr>
          <w:trHeight w:val="1111" w:hRule="atLeast"/>
        </w:trPr>
        <w:tc>
          <w:tcPr>
            <w:tcW w:w="287"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351" w:type="pct"/>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部门预决算差异率</w:t>
            </w:r>
          </w:p>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751" w:type="pct"/>
            <w:gridSpan w:val="2"/>
            <w:tcBorders>
              <w:top w:val="single" w:color="auto" w:sz="4" w:space="0"/>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449" w:type="pct"/>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46.51%</w:t>
            </w:r>
          </w:p>
        </w:tc>
        <w:tc>
          <w:tcPr>
            <w:tcW w:w="250" w:type="pct"/>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50" w:type="pct"/>
            <w:tcBorders>
              <w:top w:val="nil"/>
              <w:left w:val="nil"/>
              <w:bottom w:val="single" w:color="auto" w:sz="4" w:space="0"/>
              <w:right w:val="nil"/>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r>
              <w:rPr>
                <w:rFonts w:ascii="宋体" w:hAnsi="宋体" w:cs="宋体"/>
                <w:color w:val="000000"/>
                <w:kern w:val="0"/>
                <w:sz w:val="20"/>
                <w:szCs w:val="20"/>
              </w:rPr>
              <w:t>27</w:t>
            </w:r>
          </w:p>
        </w:tc>
        <w:tc>
          <w:tcPr>
            <w:tcW w:w="851" w:type="pct"/>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通过年度部门决算与年初部门预算对比，对部门的年度支出情况进行考核，衡量部门预算的约束力。</w:t>
            </w:r>
          </w:p>
        </w:tc>
        <w:tc>
          <w:tcPr>
            <w:tcW w:w="1711" w:type="pct"/>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部门预决算差异率高于市级平均差异率（28.3%）的，每高出10%（含），扣0.4分，扣完为止。</w:t>
            </w:r>
          </w:p>
        </w:tc>
      </w:tr>
      <w:tr>
        <w:tblPrEx>
          <w:tblCellMar>
            <w:top w:w="0" w:type="dxa"/>
            <w:left w:w="108" w:type="dxa"/>
            <w:bottom w:w="0" w:type="dxa"/>
            <w:right w:w="108" w:type="dxa"/>
          </w:tblCellMar>
        </w:tblPrEx>
        <w:trPr>
          <w:trHeight w:val="404" w:hRule="atLeast"/>
        </w:trPr>
        <w:tc>
          <w:tcPr>
            <w:tcW w:w="1838" w:type="pct"/>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b/>
                <w:color w:val="000000"/>
                <w:kern w:val="0"/>
                <w:sz w:val="20"/>
                <w:szCs w:val="20"/>
              </w:rPr>
            </w:pPr>
            <w:r>
              <w:rPr>
                <w:rFonts w:hint="eastAsia" w:cs="宋体" w:asciiTheme="minorEastAsia" w:hAnsiTheme="minorEastAsia" w:eastAsiaTheme="minorEastAsia"/>
                <w:b/>
                <w:color w:val="000000"/>
                <w:kern w:val="0"/>
                <w:sz w:val="20"/>
                <w:szCs w:val="20"/>
              </w:rPr>
              <w:t>合计</w:t>
            </w:r>
          </w:p>
        </w:tc>
        <w:tc>
          <w:tcPr>
            <w:tcW w:w="250" w:type="pct"/>
            <w:tcBorders>
              <w:top w:val="nil"/>
              <w:left w:val="nil"/>
              <w:bottom w:val="single" w:color="auto" w:sz="4" w:space="0"/>
              <w:right w:val="single" w:color="auto" w:sz="4" w:space="0"/>
            </w:tcBorders>
            <w:vAlign w:val="center"/>
          </w:tcPr>
          <w:p>
            <w:pPr>
              <w:widowControl/>
              <w:jc w:val="center"/>
              <w:rPr>
                <w:rFonts w:cs="宋体" w:asciiTheme="minorEastAsia" w:hAnsiTheme="minorEastAsia" w:eastAsiaTheme="minorEastAsia"/>
                <w:b/>
                <w:color w:val="000000"/>
                <w:kern w:val="0"/>
                <w:sz w:val="20"/>
                <w:szCs w:val="20"/>
              </w:rPr>
            </w:pPr>
            <w:r>
              <w:rPr>
                <w:rFonts w:hint="eastAsia" w:cs="宋体" w:asciiTheme="minorEastAsia" w:hAnsiTheme="minorEastAsia" w:eastAsiaTheme="minorEastAsia"/>
                <w:b/>
                <w:color w:val="000000"/>
                <w:kern w:val="0"/>
                <w:sz w:val="20"/>
                <w:szCs w:val="20"/>
              </w:rPr>
              <w:t>100</w:t>
            </w:r>
          </w:p>
        </w:tc>
        <w:tc>
          <w:tcPr>
            <w:tcW w:w="350" w:type="pct"/>
            <w:tcBorders>
              <w:top w:val="nil"/>
              <w:left w:val="nil"/>
              <w:bottom w:val="single" w:color="auto" w:sz="4" w:space="0"/>
              <w:right w:val="nil"/>
            </w:tcBorders>
            <w:vAlign w:val="center"/>
          </w:tcPr>
          <w:p>
            <w:pPr>
              <w:widowControl/>
              <w:jc w:val="center"/>
              <w:rPr>
                <w:rFonts w:cs="宋体" w:asciiTheme="minorEastAsia" w:hAnsiTheme="minorEastAsia" w:eastAsiaTheme="minorEastAsia"/>
                <w:b/>
                <w:color w:val="000000"/>
                <w:kern w:val="0"/>
                <w:sz w:val="20"/>
                <w:szCs w:val="20"/>
              </w:rPr>
            </w:pPr>
            <w:r>
              <w:rPr>
                <w:rFonts w:hint="eastAsia" w:cs="宋体" w:asciiTheme="minorEastAsia" w:hAnsiTheme="minorEastAsia" w:eastAsiaTheme="minorEastAsia"/>
                <w:b/>
                <w:color w:val="000000"/>
                <w:kern w:val="0"/>
                <w:sz w:val="20"/>
                <w:szCs w:val="20"/>
              </w:rPr>
              <w:t>8</w:t>
            </w:r>
            <w:r>
              <w:rPr>
                <w:rFonts w:cs="宋体" w:asciiTheme="minorEastAsia" w:hAnsiTheme="minorEastAsia" w:eastAsiaTheme="minorEastAsia"/>
                <w:b/>
                <w:color w:val="000000"/>
                <w:kern w:val="0"/>
                <w:sz w:val="20"/>
                <w:szCs w:val="20"/>
              </w:rPr>
              <w:t>8</w:t>
            </w:r>
            <w:r>
              <w:rPr>
                <w:rFonts w:hint="eastAsia" w:cs="宋体" w:asciiTheme="minorEastAsia" w:hAnsiTheme="minorEastAsia" w:eastAsiaTheme="minorEastAsia"/>
                <w:b/>
                <w:color w:val="000000"/>
                <w:kern w:val="0"/>
                <w:sz w:val="20"/>
                <w:szCs w:val="20"/>
              </w:rPr>
              <w:t>.</w:t>
            </w:r>
            <w:r>
              <w:rPr>
                <w:rFonts w:cs="宋体" w:asciiTheme="minorEastAsia" w:hAnsiTheme="minorEastAsia" w:eastAsiaTheme="minorEastAsia"/>
                <w:b/>
                <w:color w:val="000000"/>
                <w:kern w:val="0"/>
                <w:sz w:val="20"/>
                <w:szCs w:val="20"/>
              </w:rPr>
              <w:t>43</w:t>
            </w:r>
          </w:p>
        </w:tc>
        <w:tc>
          <w:tcPr>
            <w:tcW w:w="2562" w:type="pct"/>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cs="宋体" w:asciiTheme="minorEastAsia" w:hAnsiTheme="minorEastAsia" w:eastAsiaTheme="minorEastAsia"/>
                <w:b/>
                <w:color w:val="000000"/>
                <w:kern w:val="0"/>
                <w:sz w:val="20"/>
                <w:szCs w:val="20"/>
              </w:rPr>
            </w:pPr>
            <w:r>
              <w:rPr>
                <w:rFonts w:hint="eastAsia" w:cs="宋体" w:asciiTheme="minorEastAsia" w:hAnsiTheme="minorEastAsia" w:eastAsiaTheme="minorEastAsia"/>
                <w:b/>
                <w:color w:val="000000"/>
                <w:kern w:val="0"/>
                <w:sz w:val="20"/>
                <w:szCs w:val="20"/>
              </w:rPr>
              <w:t>　</w:t>
            </w:r>
          </w:p>
        </w:tc>
      </w:tr>
    </w:tbl>
    <w:p>
      <w:pPr>
        <w:ind w:firstLine="640" w:firstLineChars="200"/>
        <w:rPr>
          <w:rFonts w:ascii="仿宋_GB2312" w:eastAsia="仿宋_GB2312"/>
          <w:sz w:val="32"/>
          <w:szCs w:val="32"/>
        </w:rPr>
      </w:pPr>
    </w:p>
    <w:sectPr>
      <w:pgSz w:w="16838" w:h="11906" w:orient="landscape"/>
      <w:pgMar w:top="1797" w:right="1440" w:bottom="1797" w:left="144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sz w:val="28"/>
        <w:szCs w:val="28"/>
      </w:rPr>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13 -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5"/>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13 -</w:t>
                    </w:r>
                    <w:r>
                      <w:rPr>
                        <w:rFonts w:ascii="宋体" w:hAnsi="宋体"/>
                        <w:sz w:val="28"/>
                        <w:szCs w:val="28"/>
                      </w:rPr>
                      <w:fldChar w:fldCharType="end"/>
                    </w:r>
                  </w:p>
                </w:txbxContent>
              </v:textbox>
            </v:shape>
          </w:pict>
        </mc:Fallback>
      </mc:AlternateContent>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742AD7"/>
    <w:multiLevelType w:val="multilevel"/>
    <w:tmpl w:val="5B742AD7"/>
    <w:lvl w:ilvl="0" w:tentative="0">
      <w:start w:val="1"/>
      <w:numFmt w:val="chineseCountingThousand"/>
      <w:suff w:val="nothing"/>
      <w:lvlText w:val="第%1章"/>
      <w:lvlJc w:val="left"/>
      <w:pPr>
        <w:ind w:left="0" w:firstLine="0"/>
      </w:pPr>
    </w:lvl>
    <w:lvl w:ilvl="1" w:tentative="0">
      <w:start w:val="1"/>
      <w:numFmt w:val="none"/>
      <w:suff w:val="nothing"/>
      <w:lvlText w:val=""/>
      <w:lvlJc w:val="left"/>
      <w:pPr>
        <w:ind w:left="0" w:firstLine="0"/>
      </w:pPr>
    </w:lvl>
    <w:lvl w:ilvl="2" w:tentative="0">
      <w:start w:val="1"/>
      <w:numFmt w:val="none"/>
      <w:suff w:val="nothing"/>
      <w:lvlText w:val=""/>
      <w:lvlJc w:val="left"/>
      <w:pPr>
        <w:ind w:left="0" w:firstLine="0"/>
      </w:pPr>
    </w:lvl>
    <w:lvl w:ilvl="3" w:tentative="0">
      <w:start w:val="1"/>
      <w:numFmt w:val="none"/>
      <w:pStyle w:val="2"/>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mODY3ODdkNmNhZTFlNTE3NmNmNzgwNWMzYjNmYmUifQ=="/>
  </w:docVars>
  <w:rsids>
    <w:rsidRoot w:val="50B81F77"/>
    <w:rsid w:val="000343D5"/>
    <w:rsid w:val="00061132"/>
    <w:rsid w:val="00077C5F"/>
    <w:rsid w:val="00080E50"/>
    <w:rsid w:val="00097644"/>
    <w:rsid w:val="000A05CA"/>
    <w:rsid w:val="000C13B2"/>
    <w:rsid w:val="000E5EE7"/>
    <w:rsid w:val="00104BB7"/>
    <w:rsid w:val="001345FE"/>
    <w:rsid w:val="00143F5C"/>
    <w:rsid w:val="00154105"/>
    <w:rsid w:val="00170175"/>
    <w:rsid w:val="00212B44"/>
    <w:rsid w:val="0023203C"/>
    <w:rsid w:val="00240CEB"/>
    <w:rsid w:val="00244D43"/>
    <w:rsid w:val="00245E8F"/>
    <w:rsid w:val="00246DE0"/>
    <w:rsid w:val="00250534"/>
    <w:rsid w:val="00265291"/>
    <w:rsid w:val="002711E6"/>
    <w:rsid w:val="002857DF"/>
    <w:rsid w:val="0029611F"/>
    <w:rsid w:val="002B6C59"/>
    <w:rsid w:val="002D211B"/>
    <w:rsid w:val="002F5126"/>
    <w:rsid w:val="00301AB4"/>
    <w:rsid w:val="003300EC"/>
    <w:rsid w:val="00336085"/>
    <w:rsid w:val="00347A0C"/>
    <w:rsid w:val="0035539D"/>
    <w:rsid w:val="0039116C"/>
    <w:rsid w:val="003B36B0"/>
    <w:rsid w:val="003C105A"/>
    <w:rsid w:val="003D7E32"/>
    <w:rsid w:val="00410A79"/>
    <w:rsid w:val="004200A4"/>
    <w:rsid w:val="00447205"/>
    <w:rsid w:val="004A28B4"/>
    <w:rsid w:val="004B0BD6"/>
    <w:rsid w:val="004E1638"/>
    <w:rsid w:val="004F67AA"/>
    <w:rsid w:val="00551F06"/>
    <w:rsid w:val="005B4E8F"/>
    <w:rsid w:val="005C6962"/>
    <w:rsid w:val="005D12E6"/>
    <w:rsid w:val="005F06CD"/>
    <w:rsid w:val="0060457D"/>
    <w:rsid w:val="006245BC"/>
    <w:rsid w:val="00660D62"/>
    <w:rsid w:val="0066139A"/>
    <w:rsid w:val="00666CE2"/>
    <w:rsid w:val="006851B6"/>
    <w:rsid w:val="00685F43"/>
    <w:rsid w:val="006865E1"/>
    <w:rsid w:val="006C1238"/>
    <w:rsid w:val="006D711A"/>
    <w:rsid w:val="00706E0A"/>
    <w:rsid w:val="00707B7F"/>
    <w:rsid w:val="00725CD3"/>
    <w:rsid w:val="00766626"/>
    <w:rsid w:val="0077196A"/>
    <w:rsid w:val="007C377D"/>
    <w:rsid w:val="007D0DC9"/>
    <w:rsid w:val="007E3539"/>
    <w:rsid w:val="00806527"/>
    <w:rsid w:val="0082167E"/>
    <w:rsid w:val="00852FF7"/>
    <w:rsid w:val="00891324"/>
    <w:rsid w:val="008D1C6B"/>
    <w:rsid w:val="008E5090"/>
    <w:rsid w:val="0093165B"/>
    <w:rsid w:val="00947BAF"/>
    <w:rsid w:val="00965889"/>
    <w:rsid w:val="009677AC"/>
    <w:rsid w:val="009722DD"/>
    <w:rsid w:val="00990030"/>
    <w:rsid w:val="00A15061"/>
    <w:rsid w:val="00A276E1"/>
    <w:rsid w:val="00A3204B"/>
    <w:rsid w:val="00A7016B"/>
    <w:rsid w:val="00AA18CE"/>
    <w:rsid w:val="00AA7ACF"/>
    <w:rsid w:val="00AB59E0"/>
    <w:rsid w:val="00AE6AE0"/>
    <w:rsid w:val="00B22E82"/>
    <w:rsid w:val="00B36E25"/>
    <w:rsid w:val="00B41013"/>
    <w:rsid w:val="00BA7A84"/>
    <w:rsid w:val="00BC3850"/>
    <w:rsid w:val="00BD28AD"/>
    <w:rsid w:val="00BD3100"/>
    <w:rsid w:val="00BE176D"/>
    <w:rsid w:val="00BE2F97"/>
    <w:rsid w:val="00C1272C"/>
    <w:rsid w:val="00C21492"/>
    <w:rsid w:val="00C264B0"/>
    <w:rsid w:val="00C50E07"/>
    <w:rsid w:val="00C530A4"/>
    <w:rsid w:val="00C70971"/>
    <w:rsid w:val="00CD4643"/>
    <w:rsid w:val="00CD70BB"/>
    <w:rsid w:val="00CF522A"/>
    <w:rsid w:val="00D05BB1"/>
    <w:rsid w:val="00D207A2"/>
    <w:rsid w:val="00D7432D"/>
    <w:rsid w:val="00D91C43"/>
    <w:rsid w:val="00E22C82"/>
    <w:rsid w:val="00E335FF"/>
    <w:rsid w:val="00E46E12"/>
    <w:rsid w:val="00E63AE8"/>
    <w:rsid w:val="00EB2CA5"/>
    <w:rsid w:val="00EB715A"/>
    <w:rsid w:val="00EC4ACD"/>
    <w:rsid w:val="00F159AB"/>
    <w:rsid w:val="00F16FE5"/>
    <w:rsid w:val="00F201C2"/>
    <w:rsid w:val="00F34246"/>
    <w:rsid w:val="00F51FA0"/>
    <w:rsid w:val="00F70D5D"/>
    <w:rsid w:val="00F75FE5"/>
    <w:rsid w:val="00FB55E9"/>
    <w:rsid w:val="00FB5CF8"/>
    <w:rsid w:val="00FD1D14"/>
    <w:rsid w:val="00FE4AA5"/>
    <w:rsid w:val="00FF124B"/>
    <w:rsid w:val="01881C61"/>
    <w:rsid w:val="02A16CBD"/>
    <w:rsid w:val="0330303F"/>
    <w:rsid w:val="03E557F1"/>
    <w:rsid w:val="05EC7475"/>
    <w:rsid w:val="060B7F37"/>
    <w:rsid w:val="064447C8"/>
    <w:rsid w:val="0821042B"/>
    <w:rsid w:val="08A56EF9"/>
    <w:rsid w:val="0A5A2327"/>
    <w:rsid w:val="0B845EE1"/>
    <w:rsid w:val="0D8462D2"/>
    <w:rsid w:val="0D984ECC"/>
    <w:rsid w:val="0E664144"/>
    <w:rsid w:val="0F625791"/>
    <w:rsid w:val="0FFB3CB9"/>
    <w:rsid w:val="10AF2C82"/>
    <w:rsid w:val="11151690"/>
    <w:rsid w:val="124F1731"/>
    <w:rsid w:val="15AF5132"/>
    <w:rsid w:val="15B34F99"/>
    <w:rsid w:val="16D96D94"/>
    <w:rsid w:val="195F2692"/>
    <w:rsid w:val="1B4A1EFB"/>
    <w:rsid w:val="1B894534"/>
    <w:rsid w:val="1BC1139B"/>
    <w:rsid w:val="1CBA0FA6"/>
    <w:rsid w:val="1D2049D2"/>
    <w:rsid w:val="1E8B615F"/>
    <w:rsid w:val="1EB71A80"/>
    <w:rsid w:val="1F77153E"/>
    <w:rsid w:val="1F926C26"/>
    <w:rsid w:val="21515666"/>
    <w:rsid w:val="217575A6"/>
    <w:rsid w:val="21C3177B"/>
    <w:rsid w:val="235B35F1"/>
    <w:rsid w:val="246F652F"/>
    <w:rsid w:val="276E6F72"/>
    <w:rsid w:val="28453634"/>
    <w:rsid w:val="2A63024B"/>
    <w:rsid w:val="2B877489"/>
    <w:rsid w:val="2D113431"/>
    <w:rsid w:val="2E9D1E16"/>
    <w:rsid w:val="2EFA7FF7"/>
    <w:rsid w:val="2F2844FF"/>
    <w:rsid w:val="2FF264CA"/>
    <w:rsid w:val="31963EAA"/>
    <w:rsid w:val="31CF41A3"/>
    <w:rsid w:val="323C07B1"/>
    <w:rsid w:val="32680122"/>
    <w:rsid w:val="331A0154"/>
    <w:rsid w:val="3381680B"/>
    <w:rsid w:val="342860EE"/>
    <w:rsid w:val="35810AB0"/>
    <w:rsid w:val="35F853A3"/>
    <w:rsid w:val="36FD1717"/>
    <w:rsid w:val="386572B7"/>
    <w:rsid w:val="39783C80"/>
    <w:rsid w:val="3C0276E9"/>
    <w:rsid w:val="3D260FCF"/>
    <w:rsid w:val="3DD671C7"/>
    <w:rsid w:val="400B3158"/>
    <w:rsid w:val="40D24DE9"/>
    <w:rsid w:val="42A35D7B"/>
    <w:rsid w:val="42A82053"/>
    <w:rsid w:val="44AB315B"/>
    <w:rsid w:val="456E7D4F"/>
    <w:rsid w:val="45943BE9"/>
    <w:rsid w:val="471D19C3"/>
    <w:rsid w:val="482164EA"/>
    <w:rsid w:val="491C5E3D"/>
    <w:rsid w:val="4936721E"/>
    <w:rsid w:val="4C7B3413"/>
    <w:rsid w:val="4C96280B"/>
    <w:rsid w:val="4CA77E00"/>
    <w:rsid w:val="4F275BC9"/>
    <w:rsid w:val="505D700F"/>
    <w:rsid w:val="507C59AC"/>
    <w:rsid w:val="50B81F77"/>
    <w:rsid w:val="520E7E19"/>
    <w:rsid w:val="55564A1D"/>
    <w:rsid w:val="56104CB4"/>
    <w:rsid w:val="57172DEE"/>
    <w:rsid w:val="57EE37CB"/>
    <w:rsid w:val="596908C2"/>
    <w:rsid w:val="5B596A04"/>
    <w:rsid w:val="5BFE17A4"/>
    <w:rsid w:val="5C1850F2"/>
    <w:rsid w:val="5C2A1E57"/>
    <w:rsid w:val="5CF633A1"/>
    <w:rsid w:val="5E341674"/>
    <w:rsid w:val="60A307F7"/>
    <w:rsid w:val="62B72874"/>
    <w:rsid w:val="651E0E4B"/>
    <w:rsid w:val="6635713E"/>
    <w:rsid w:val="671E1113"/>
    <w:rsid w:val="675D1C3B"/>
    <w:rsid w:val="67AA53C7"/>
    <w:rsid w:val="6940454A"/>
    <w:rsid w:val="69C02731"/>
    <w:rsid w:val="6AC33EA4"/>
    <w:rsid w:val="6C362DBD"/>
    <w:rsid w:val="6C5353B7"/>
    <w:rsid w:val="6FC6089A"/>
    <w:rsid w:val="70A1163F"/>
    <w:rsid w:val="730A75B3"/>
    <w:rsid w:val="755157DC"/>
    <w:rsid w:val="7718641E"/>
    <w:rsid w:val="7A2A50F4"/>
    <w:rsid w:val="7A7A3098"/>
    <w:rsid w:val="7C2B2981"/>
    <w:rsid w:val="7CBB531D"/>
    <w:rsid w:val="7CC77E2B"/>
    <w:rsid w:val="7EC11FCF"/>
    <w:rsid w:val="7F890545"/>
    <w:rsid w:val="7FC87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2">
    <w:name w:val="heading 4"/>
    <w:basedOn w:val="1"/>
    <w:next w:val="1"/>
    <w:qFormat/>
    <w:uiPriority w:val="0"/>
    <w:pPr>
      <w:keepNext/>
      <w:keepLines/>
      <w:numPr>
        <w:ilvl w:val="3"/>
        <w:numId w:val="1"/>
      </w:numPr>
      <w:spacing w:before="280" w:after="290" w:line="374" w:lineRule="auto"/>
      <w:outlineLvl w:val="3"/>
    </w:pPr>
    <w:rPr>
      <w:rFonts w:ascii="Arial" w:hAnsi="Arial" w:eastAsia="黑体"/>
      <w:b/>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lock Text"/>
    <w:basedOn w:val="1"/>
    <w:qFormat/>
    <w:uiPriority w:val="0"/>
    <w:pPr>
      <w:spacing w:after="120"/>
      <w:ind w:left="1440" w:leftChars="700" w:right="1440" w:rightChars="700"/>
    </w:pPr>
  </w:style>
  <w:style w:type="paragraph" w:styleId="5">
    <w:name w:val="footer"/>
    <w:basedOn w:val="1"/>
    <w:qFormat/>
    <w:uiPriority w:val="99"/>
    <w:pPr>
      <w:tabs>
        <w:tab w:val="center" w:pos="4153"/>
        <w:tab w:val="right" w:pos="8306"/>
      </w:tabs>
      <w:snapToGrid w:val="0"/>
      <w:jc w:val="left"/>
    </w:pPr>
    <w:rPr>
      <w:sz w:val="18"/>
      <w:szCs w:val="20"/>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kern w:val="0"/>
      <w:sz w:val="24"/>
    </w:rPr>
  </w:style>
  <w:style w:type="character" w:customStyle="1" w:styleId="10">
    <w:name w:val="页眉 字符"/>
    <w:basedOn w:val="9"/>
    <w:link w:val="6"/>
    <w:qFormat/>
    <w:uiPriority w:val="0"/>
    <w:rPr>
      <w:rFonts w:ascii="Times New Roman" w:hAnsi="Times New Roman" w:eastAsia="宋体" w:cs="Times New Roman"/>
      <w:kern w:val="2"/>
      <w:sz w:val="18"/>
      <w:szCs w:val="18"/>
    </w:rPr>
  </w:style>
  <w:style w:type="paragraph" w:styleId="11">
    <w:name w:val="List Paragraph"/>
    <w:basedOn w:val="1"/>
    <w:qFormat/>
    <w:uiPriority w:val="99"/>
    <w:pPr>
      <w:ind w:firstLine="420" w:firstLineChars="200"/>
    </w:pPr>
  </w:style>
  <w:style w:type="paragraph" w:customStyle="1" w:styleId="12">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452176-91D7-4D03-B333-10E5F8299C47}">
  <ds:schemaRefs/>
</ds:datastoreItem>
</file>

<file path=docProps/app.xml><?xml version="1.0" encoding="utf-8"?>
<Properties xmlns="http://schemas.openxmlformats.org/officeDocument/2006/extended-properties" xmlns:vt="http://schemas.openxmlformats.org/officeDocument/2006/docPropsVTypes">
  <Template>Normal.dotm</Template>
  <Pages>18</Pages>
  <Words>7949</Words>
  <Characters>8553</Characters>
  <Lines>63</Lines>
  <Paragraphs>17</Paragraphs>
  <TotalTime>98</TotalTime>
  <ScaleCrop>false</ScaleCrop>
  <LinksUpToDate>false</LinksUpToDate>
  <CharactersWithSpaces>8584</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2022-04-01T03:56:00Z</dcterms:created>
  <dc:creator>肆月</dc:creator>
  <cp:lastModifiedBy>婵咩咩</cp:lastModifiedBy>
  <dcterms:modified xsi:type="dcterms:W3CDTF">2022-09-09T06:28:51Z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AFD733C9BF3247649E77AF5CE1109C34</vt:lpwstr>
  </property>
</Properties>
</file>