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62E1" w:rsidRDefault="00BF62E1" w:rsidP="00BF62E1">
      <w:pPr>
        <w:spacing w:line="560" w:lineRule="exact"/>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北京市人民检察院第二分院</w:t>
      </w:r>
    </w:p>
    <w:p w:rsidR="00BF62E1" w:rsidRDefault="00BF62E1" w:rsidP="00BF62E1">
      <w:pPr>
        <w:spacing w:line="560" w:lineRule="exact"/>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2021年度“安保安检费用”项目</w:t>
      </w:r>
    </w:p>
    <w:p w:rsidR="00BF62E1" w:rsidRDefault="00BF62E1" w:rsidP="00BF62E1">
      <w:pPr>
        <w:spacing w:line="560" w:lineRule="exact"/>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绩效评价报告</w:t>
      </w:r>
    </w:p>
    <w:p w:rsidR="00BF62E1" w:rsidRDefault="00BF62E1" w:rsidP="00776465">
      <w:pPr>
        <w:spacing w:afterLines="50"/>
        <w:jc w:val="center"/>
        <w:rPr>
          <w:rFonts w:ascii="黑体" w:eastAsia="黑体" w:hAnsi="黑体"/>
          <w:sz w:val="20"/>
          <w:szCs w:val="16"/>
        </w:rPr>
      </w:pPr>
    </w:p>
    <w:p w:rsidR="00BF62E1" w:rsidRDefault="00BF62E1" w:rsidP="00BF62E1">
      <w:pPr>
        <w:spacing w:line="560" w:lineRule="exact"/>
        <w:rPr>
          <w:rFonts w:ascii="仿宋_GB2312" w:hAnsi="仿宋_GB2312" w:cs="仿宋_GB2312"/>
          <w:szCs w:val="32"/>
        </w:rPr>
      </w:pPr>
      <w:r>
        <w:rPr>
          <w:rFonts w:ascii="仿宋_GB2312" w:hint="eastAsia"/>
          <w:szCs w:val="32"/>
        </w:rPr>
        <w:t xml:space="preserve">    </w:t>
      </w:r>
      <w:r>
        <w:rPr>
          <w:rFonts w:ascii="仿宋_GB2312" w:hAnsi="仿宋_GB2312" w:cs="仿宋_GB2312" w:hint="eastAsia"/>
          <w:kern w:val="0"/>
          <w:szCs w:val="32"/>
        </w:rPr>
        <w:t>为进一步推进预算绩效管理工作，提升财政资金使用效率和部门绩效管理水平，根据《中共北京市委北京市人民政府关于全面实施预算绩效管理的实施意见》(京发〔2019〕12号)、《北京市财政局关于开展2022年全面预算绩效管理工作的通知》（京财绩效〔2022〕669号）、《北京市预算绩效管理办法》(京财绩效〔2019〕2129号)和《北京市项目支出绩效评价管理办法》(京财绩效〔2020〕2146号)等制度规范文件工作安排</w:t>
      </w:r>
      <w:r>
        <w:rPr>
          <w:rFonts w:ascii="仿宋_GB2312" w:hAnsi="仿宋_GB2312" w:cs="仿宋_GB2312" w:hint="eastAsia"/>
          <w:szCs w:val="32"/>
        </w:rPr>
        <w:t>，北京政元会计师事务所（普通合伙）接受委托（以下简称“政元事务所”），对北京市人民检察院第二分院（以下简称“二分院”）2021年度“安保安检费用”项目（以下简称“该项目”）的绩效情况实施绩效评价，形成本绩效评价报告。</w:t>
      </w:r>
    </w:p>
    <w:p w:rsidR="00BF62E1" w:rsidRDefault="00BF62E1" w:rsidP="00BF62E1">
      <w:pPr>
        <w:pStyle w:val="1"/>
        <w:autoSpaceDE/>
        <w:autoSpaceDN/>
        <w:adjustRightInd/>
        <w:spacing w:line="560" w:lineRule="exact"/>
        <w:ind w:firstLine="641"/>
        <w:jc w:val="both"/>
        <w:rPr>
          <w:rFonts w:ascii="黑体" w:eastAsia="黑体" w:hAnsi="黑体" w:cs="黑体"/>
          <w:sz w:val="32"/>
          <w:szCs w:val="32"/>
        </w:rPr>
      </w:pPr>
      <w:bookmarkStart w:id="0" w:name="_Toc19022"/>
      <w:bookmarkStart w:id="1" w:name="_Toc9162"/>
      <w:bookmarkStart w:id="2" w:name="_Toc30805"/>
      <w:bookmarkStart w:id="3" w:name="_Toc9860"/>
      <w:bookmarkStart w:id="4" w:name="_Toc24741"/>
      <w:bookmarkStart w:id="5" w:name="_Toc10849"/>
      <w:bookmarkStart w:id="6" w:name="_Toc32674"/>
      <w:bookmarkStart w:id="7" w:name="_Toc16530"/>
      <w:bookmarkStart w:id="8" w:name="_Toc6710"/>
      <w:bookmarkStart w:id="9" w:name="_Toc169183181"/>
      <w:r>
        <w:rPr>
          <w:rFonts w:ascii="黑体" w:eastAsia="黑体" w:hAnsi="黑体" w:cs="黑体" w:hint="eastAsia"/>
          <w:sz w:val="32"/>
          <w:szCs w:val="32"/>
        </w:rPr>
        <w:t>一、</w:t>
      </w:r>
      <w:bookmarkEnd w:id="0"/>
      <w:bookmarkEnd w:id="1"/>
      <w:bookmarkEnd w:id="2"/>
      <w:bookmarkEnd w:id="3"/>
      <w:bookmarkEnd w:id="4"/>
      <w:bookmarkEnd w:id="5"/>
      <w:bookmarkEnd w:id="6"/>
      <w:r>
        <w:rPr>
          <w:rFonts w:ascii="黑体" w:eastAsia="黑体" w:hAnsi="黑体" w:cs="黑体" w:hint="eastAsia"/>
          <w:sz w:val="32"/>
          <w:szCs w:val="32"/>
          <w:lang w:val="en-US"/>
        </w:rPr>
        <w:t>基本情况</w:t>
      </w:r>
      <w:bookmarkEnd w:id="7"/>
      <w:bookmarkEnd w:id="8"/>
    </w:p>
    <w:p w:rsidR="00BF62E1" w:rsidRDefault="00BF62E1" w:rsidP="00BF62E1">
      <w:pPr>
        <w:pStyle w:val="20"/>
        <w:keepNext w:val="0"/>
        <w:keepLines w:val="0"/>
        <w:spacing w:before="0" w:after="0" w:line="560" w:lineRule="exact"/>
        <w:ind w:firstLineChars="200" w:firstLine="640"/>
        <w:rPr>
          <w:rFonts w:ascii="楷体" w:eastAsia="楷体" w:hAnsi="楷体" w:cs="楷体"/>
          <w:b w:val="0"/>
          <w:bCs w:val="0"/>
        </w:rPr>
      </w:pPr>
      <w:bookmarkStart w:id="10" w:name="_Toc16595"/>
      <w:bookmarkStart w:id="11" w:name="_Toc25721"/>
      <w:bookmarkStart w:id="12" w:name="_Toc21427"/>
      <w:bookmarkStart w:id="13" w:name="_Toc22631"/>
      <w:bookmarkStart w:id="14" w:name="_Toc20055"/>
      <w:bookmarkStart w:id="15" w:name="_Toc9700"/>
      <w:bookmarkStart w:id="16" w:name="_Toc7302"/>
      <w:bookmarkStart w:id="17" w:name="_Toc25838"/>
      <w:r>
        <w:rPr>
          <w:rFonts w:ascii="楷体" w:eastAsia="楷体" w:hAnsi="楷体" w:cs="楷体" w:hint="eastAsia"/>
          <w:b w:val="0"/>
          <w:bCs w:val="0"/>
        </w:rPr>
        <w:t>（一）项目概况</w:t>
      </w:r>
      <w:bookmarkEnd w:id="10"/>
      <w:bookmarkEnd w:id="11"/>
      <w:bookmarkEnd w:id="12"/>
      <w:bookmarkEnd w:id="13"/>
      <w:bookmarkEnd w:id="14"/>
      <w:bookmarkEnd w:id="15"/>
      <w:bookmarkEnd w:id="16"/>
      <w:bookmarkEnd w:id="17"/>
    </w:p>
    <w:p w:rsidR="00BF62E1" w:rsidRDefault="00BF62E1" w:rsidP="00BF62E1">
      <w:pPr>
        <w:pStyle w:val="3"/>
        <w:keepNext w:val="0"/>
        <w:keepLines w:val="0"/>
        <w:spacing w:before="0" w:after="0" w:line="560" w:lineRule="exact"/>
        <w:ind w:firstLineChars="200" w:firstLine="640"/>
        <w:rPr>
          <w:rFonts w:ascii="仿宋_GB2312" w:hAnsi="仿宋_GB2312" w:cs="仿宋_GB2312"/>
          <w:b w:val="0"/>
          <w:bCs w:val="0"/>
        </w:rPr>
      </w:pPr>
      <w:bookmarkStart w:id="18" w:name="_Toc25607"/>
      <w:bookmarkStart w:id="19" w:name="_Toc4420"/>
      <w:bookmarkStart w:id="20" w:name="_Toc12315"/>
      <w:bookmarkStart w:id="21" w:name="_Toc8198"/>
      <w:bookmarkStart w:id="22" w:name="_Toc13579"/>
      <w:bookmarkStart w:id="23" w:name="_Toc12424"/>
      <w:bookmarkStart w:id="24" w:name="_Toc11433"/>
      <w:bookmarkStart w:id="25" w:name="_Toc13674"/>
      <w:bookmarkStart w:id="26" w:name="_Toc26868"/>
      <w:r>
        <w:rPr>
          <w:rFonts w:ascii="仿宋_GB2312" w:hAnsi="仿宋_GB2312" w:cs="仿宋_GB2312" w:hint="eastAsia"/>
          <w:b w:val="0"/>
          <w:bCs w:val="0"/>
        </w:rPr>
        <w:t>1.项目背景</w:t>
      </w:r>
      <w:bookmarkEnd w:id="18"/>
      <w:bookmarkEnd w:id="19"/>
    </w:p>
    <w:bookmarkEnd w:id="20"/>
    <w:p w:rsidR="00BF62E1" w:rsidRDefault="00BF62E1" w:rsidP="00BF62E1">
      <w:pPr>
        <w:spacing w:line="560" w:lineRule="exact"/>
        <w:ind w:firstLineChars="200" w:firstLine="640"/>
        <w:rPr>
          <w:rFonts w:ascii="仿宋_GB2312" w:hAnsi="仿宋_GB2312" w:cs="仿宋_GB2312"/>
          <w:szCs w:val="32"/>
        </w:rPr>
      </w:pPr>
      <w:r>
        <w:rPr>
          <w:rFonts w:ascii="仿宋_GB2312" w:hAnsi="Cambria" w:hint="eastAsia"/>
          <w:szCs w:val="32"/>
        </w:rPr>
        <w:t>二分院座落于丰台区紫芳路18号，办公区土地使用面积13352.26平方米，建筑面积27842.50平方米，现有两个大门出入办公区，控申大厅信访接待区1个 ，职务犯罪侦查办案工作区1个。</w:t>
      </w:r>
      <w:r>
        <w:rPr>
          <w:rFonts w:ascii="仿宋_GB2312" w:hAnsi="仿宋_GB2312" w:cs="仿宋_GB2312" w:hint="eastAsia"/>
          <w:szCs w:val="32"/>
        </w:rPr>
        <w:t>自2003年5月建院以来，二分院的执勤保卫安检任务</w:t>
      </w:r>
      <w:r>
        <w:rPr>
          <w:rFonts w:ascii="仿宋_GB2312" w:hAnsi="仿宋_GB2312" w:cs="仿宋_GB2312" w:hint="eastAsia"/>
          <w:szCs w:val="32"/>
        </w:rPr>
        <w:lastRenderedPageBreak/>
        <w:t>一直由北京武警总队二师派驻官兵履行。2017年2月，依据国发字第13号文件和武警部队执勤用兵范围的相关要求，北京武警总队二师不再履行二分院执勤保卫安检任务，二分院的机关门岗执勤、安全检查、信访接待引导、秩序维护、滞留人员劝返、处置违法上访突发事件、消防应急处置等任务交由二分院自行负责。</w:t>
      </w:r>
    </w:p>
    <w:p w:rsidR="00BF62E1" w:rsidRDefault="00BF62E1" w:rsidP="00BF62E1">
      <w:pPr>
        <w:spacing w:line="560" w:lineRule="exact"/>
        <w:ind w:firstLineChars="200" w:firstLine="640"/>
        <w:rPr>
          <w:rFonts w:ascii="仿宋_GB2312" w:hAnsi="仿宋_GB2312" w:cs="仿宋_GB2312"/>
          <w:szCs w:val="32"/>
        </w:rPr>
      </w:pPr>
      <w:r>
        <w:rPr>
          <w:rFonts w:ascii="仿宋_GB2312" w:hAnsi="仿宋_GB2312" w:cs="仿宋_GB2312" w:hint="eastAsia"/>
          <w:szCs w:val="32"/>
        </w:rPr>
        <w:t xml:space="preserve">根据北京市财政局批复，武警部队撤勤后，各预算单位聘请保安人员经费由市财政统一保障，专款专用。从2017年起，二分院每年申请财政资金作为“安保安检费用”项目资金，用于配备专业安保公司的安保人员担负执勤保卫安检任务，维护二分院正常办公秩序，做好安全防护工作，保障各项检察工作的顺利开展。 </w:t>
      </w:r>
    </w:p>
    <w:p w:rsidR="00BF62E1" w:rsidRDefault="00BF62E1" w:rsidP="00BF62E1">
      <w:pPr>
        <w:pStyle w:val="3"/>
        <w:keepNext w:val="0"/>
        <w:keepLines w:val="0"/>
        <w:spacing w:before="0" w:after="0" w:line="560" w:lineRule="exact"/>
        <w:ind w:firstLineChars="200" w:firstLine="640"/>
        <w:rPr>
          <w:rFonts w:ascii="仿宋_GB2312" w:hAnsi="仿宋_GB2312" w:cs="仿宋_GB2312"/>
          <w:b w:val="0"/>
          <w:bCs w:val="0"/>
        </w:rPr>
      </w:pPr>
      <w:bookmarkStart w:id="27" w:name="_Toc6964"/>
      <w:bookmarkStart w:id="28" w:name="_Toc31082"/>
      <w:r>
        <w:rPr>
          <w:rFonts w:ascii="仿宋_GB2312" w:hAnsi="仿宋_GB2312" w:cs="仿宋_GB2312" w:hint="eastAsia"/>
          <w:b w:val="0"/>
          <w:bCs w:val="0"/>
        </w:rPr>
        <w:t>2.主要内容</w:t>
      </w:r>
      <w:bookmarkEnd w:id="27"/>
      <w:bookmarkEnd w:id="28"/>
    </w:p>
    <w:bookmarkEnd w:id="21"/>
    <w:bookmarkEnd w:id="22"/>
    <w:bookmarkEnd w:id="23"/>
    <w:bookmarkEnd w:id="24"/>
    <w:bookmarkEnd w:id="25"/>
    <w:bookmarkEnd w:id="26"/>
    <w:p w:rsidR="00BF62E1" w:rsidRDefault="00BF62E1" w:rsidP="00BF62E1">
      <w:pPr>
        <w:spacing w:line="560" w:lineRule="exact"/>
        <w:ind w:firstLine="640"/>
        <w:rPr>
          <w:rFonts w:ascii="仿宋_GB2312" w:hAnsi="仿宋_GB2312" w:cs="仿宋_GB2312"/>
          <w:szCs w:val="32"/>
        </w:rPr>
      </w:pPr>
      <w:r>
        <w:rPr>
          <w:rFonts w:ascii="仿宋_GB2312" w:hAnsi="仿宋_GB2312" w:cs="仿宋_GB2312" w:hint="eastAsia"/>
          <w:szCs w:val="32"/>
        </w:rPr>
        <w:t>2021年，根据二分院根据安全防护工作需要，</w:t>
      </w:r>
      <w:r>
        <w:rPr>
          <w:rFonts w:ascii="仿宋_GB2312" w:hAnsi="仿宋_GB2312" w:cs="仿宋_GB2312" w:hint="eastAsia"/>
          <w:bCs/>
          <w:szCs w:val="32"/>
        </w:rPr>
        <w:t>主要完成机关门岗执勤、安全检查、信访接待引导、秩序维护、滞留人员劝返、处置违法上访突发事件、消防应急处置等任务，故根据岗位需求，</w:t>
      </w:r>
      <w:r>
        <w:rPr>
          <w:rFonts w:ascii="仿宋_GB2312" w:hAnsi="仿宋_GB2312" w:cs="仿宋_GB2312" w:hint="eastAsia"/>
          <w:szCs w:val="32"/>
        </w:rPr>
        <w:t>提出了应配置38名安保人员</w:t>
      </w:r>
      <w:r>
        <w:rPr>
          <w:rFonts w:ascii="仿宋_GB2312" w:hAnsi="仿宋_GB2312" w:cs="仿宋_GB2312" w:hint="eastAsia"/>
          <w:bCs/>
          <w:szCs w:val="32"/>
        </w:rPr>
        <w:t>维护二分院正常办公秩序。</w:t>
      </w:r>
    </w:p>
    <w:p w:rsidR="00BF62E1" w:rsidRDefault="00BF62E1" w:rsidP="00BF62E1">
      <w:pPr>
        <w:spacing w:line="560" w:lineRule="exact"/>
        <w:ind w:leftChars="200" w:left="640"/>
        <w:rPr>
          <w:rFonts w:ascii="仿宋_GB2312" w:hAnsi="仿宋_GB2312" w:cs="仿宋_GB2312"/>
          <w:szCs w:val="32"/>
        </w:rPr>
      </w:pPr>
      <w:r>
        <w:rPr>
          <w:rFonts w:ascii="仿宋_GB2312" w:hAnsi="仿宋_GB2312" w:cs="仿宋_GB2312" w:hint="eastAsia"/>
          <w:szCs w:val="32"/>
        </w:rPr>
        <w:t>3.项目实施情况</w:t>
      </w:r>
    </w:p>
    <w:p w:rsidR="00BF62E1" w:rsidRDefault="00BF62E1" w:rsidP="00BF62E1">
      <w:pPr>
        <w:spacing w:line="560" w:lineRule="exact"/>
        <w:ind w:firstLineChars="200" w:firstLine="640"/>
        <w:rPr>
          <w:rFonts w:ascii="仿宋_GB2312" w:hAnsi="仿宋_GB2312" w:cs="仿宋_GB2312"/>
          <w:szCs w:val="32"/>
        </w:rPr>
      </w:pPr>
      <w:r>
        <w:rPr>
          <w:rFonts w:ascii="仿宋_GB2312" w:hAnsi="仿宋_GB2312" w:cs="仿宋_GB2312" w:hint="eastAsia"/>
          <w:szCs w:val="32"/>
        </w:rPr>
        <w:t>二分院2020年12月通过公开招投标方式，确定戎威远保安服务（北京）有限公司（以下简称“戎威远公司”）成为该项目的服务商。</w:t>
      </w:r>
    </w:p>
    <w:p w:rsidR="00BF62E1" w:rsidRDefault="00BF62E1" w:rsidP="00BF62E1">
      <w:pPr>
        <w:spacing w:line="560" w:lineRule="exact"/>
        <w:ind w:firstLineChars="200" w:firstLine="640"/>
        <w:rPr>
          <w:rFonts w:ascii="仿宋_GB2312" w:hAnsi="仿宋_GB2312" w:cs="仿宋_GB2312"/>
          <w:szCs w:val="32"/>
        </w:rPr>
      </w:pPr>
      <w:r>
        <w:rPr>
          <w:rFonts w:ascii="仿宋_GB2312" w:hAnsi="仿宋_GB2312" w:cs="仿宋_GB2312" w:hint="eastAsia"/>
          <w:szCs w:val="32"/>
        </w:rPr>
        <w:t>2021年，该</w:t>
      </w:r>
      <w:r>
        <w:rPr>
          <w:rFonts w:ascii="仿宋_GB2312" w:hAnsi="仿宋_GB2312" w:cs="仿宋_GB2312"/>
          <w:szCs w:val="32"/>
        </w:rPr>
        <w:t>公司驻二分院保安队按照行政事务管理部的工</w:t>
      </w:r>
      <w:r>
        <w:rPr>
          <w:rFonts w:ascii="仿宋_GB2312" w:hAnsi="仿宋_GB2312" w:cs="仿宋_GB2312"/>
          <w:szCs w:val="32"/>
        </w:rPr>
        <w:lastRenderedPageBreak/>
        <w:t>作要求，</w:t>
      </w:r>
      <w:r>
        <w:rPr>
          <w:rFonts w:ascii="仿宋_GB2312" w:hAnsi="仿宋_GB2312" w:cs="仿宋_GB2312" w:hint="eastAsia"/>
          <w:szCs w:val="32"/>
        </w:rPr>
        <w:t>二分院</w:t>
      </w:r>
      <w:r>
        <w:rPr>
          <w:rFonts w:ascii="仿宋_GB2312" w:hAnsi="仿宋_GB2312" w:cs="仿宋_GB2312"/>
          <w:szCs w:val="32"/>
        </w:rPr>
        <w:t>按照“预防为主，防治结合，保障重点，安全第一”总原则，</w:t>
      </w:r>
      <w:r>
        <w:rPr>
          <w:rFonts w:ascii="仿宋_GB2312" w:hAnsi="仿宋_GB2312" w:cs="仿宋_GB2312" w:hint="eastAsia"/>
          <w:szCs w:val="32"/>
        </w:rPr>
        <w:t>要求安保公司应</w:t>
      </w:r>
      <w:r>
        <w:rPr>
          <w:rFonts w:ascii="仿宋_GB2312" w:hAnsi="仿宋_GB2312" w:cs="仿宋_GB2312"/>
          <w:szCs w:val="32"/>
        </w:rPr>
        <w:t>坚持“军人品质、行业典范”的工作总目标，加强安防安检工作规范化管理，严格教育培训保安队伍，完成驻二分院安</w:t>
      </w:r>
      <w:r>
        <w:rPr>
          <w:rFonts w:ascii="仿宋_GB2312" w:hAnsi="仿宋_GB2312" w:cs="仿宋_GB2312" w:hint="eastAsia"/>
          <w:szCs w:val="32"/>
        </w:rPr>
        <w:t>保</w:t>
      </w:r>
      <w:r>
        <w:rPr>
          <w:rFonts w:ascii="仿宋_GB2312" w:hAnsi="仿宋_GB2312" w:cs="仿宋_GB2312"/>
          <w:szCs w:val="32"/>
        </w:rPr>
        <w:t>安检任务，保证检务大厅申诉接待工作的正常秩序，</w:t>
      </w:r>
      <w:r>
        <w:rPr>
          <w:rFonts w:ascii="仿宋_GB2312" w:hAnsi="仿宋_GB2312" w:cs="仿宋_GB2312" w:hint="eastAsia"/>
          <w:szCs w:val="32"/>
        </w:rPr>
        <w:t>维护</w:t>
      </w:r>
      <w:r>
        <w:rPr>
          <w:rFonts w:ascii="仿宋_GB2312" w:hAnsi="仿宋_GB2312" w:cs="仿宋_GB2312"/>
          <w:szCs w:val="32"/>
        </w:rPr>
        <w:t>院区的安全稳定，实现全年安全无事故的总体目标。</w:t>
      </w:r>
    </w:p>
    <w:p w:rsidR="00BF62E1" w:rsidRDefault="00776465" w:rsidP="00BF62E1">
      <w:pPr>
        <w:spacing w:line="560" w:lineRule="exact"/>
        <w:ind w:firstLineChars="200" w:firstLine="640"/>
        <w:rPr>
          <w:rFonts w:ascii="仿宋_GB2312" w:hAnsi="仿宋_GB2312" w:cs="仿宋_GB2312"/>
          <w:szCs w:val="32"/>
        </w:rPr>
      </w:pPr>
      <w:r>
        <w:rPr>
          <w:rFonts w:ascii="仿宋_GB2312" w:hAnsi="仿宋_GB2312" w:cs="仿宋_GB2312" w:hint="eastAsia"/>
          <w:szCs w:val="32"/>
        </w:rPr>
        <w:t>4</w:t>
      </w:r>
      <w:r w:rsidR="00BF62E1">
        <w:rPr>
          <w:rFonts w:ascii="仿宋_GB2312" w:hAnsi="仿宋_GB2312" w:cs="仿宋_GB2312" w:hint="eastAsia"/>
          <w:szCs w:val="32"/>
        </w:rPr>
        <w:t>.资金投入和使用情况</w:t>
      </w:r>
    </w:p>
    <w:p w:rsidR="00BF62E1" w:rsidRDefault="00BF62E1" w:rsidP="00BF62E1">
      <w:pPr>
        <w:spacing w:line="560" w:lineRule="exact"/>
        <w:ind w:firstLineChars="200" w:firstLine="640"/>
        <w:rPr>
          <w:rFonts w:ascii="仿宋_GB2312" w:hAnsi="仿宋_GB2312" w:cs="仿宋_GB2312"/>
          <w:szCs w:val="32"/>
        </w:rPr>
      </w:pPr>
      <w:r>
        <w:rPr>
          <w:rFonts w:ascii="仿宋_GB2312" w:hAnsi="仿宋_GB2312" w:cs="仿宋_GB2312" w:hint="eastAsia"/>
          <w:szCs w:val="32"/>
        </w:rPr>
        <w:t>2021年1月，市财政局批复该项目预算196.08万元，该项目实际支出196.03万元，预算执行率99.98%%。</w:t>
      </w:r>
    </w:p>
    <w:p w:rsidR="00BF62E1" w:rsidRDefault="00BF62E1" w:rsidP="00BF62E1">
      <w:pPr>
        <w:pStyle w:val="20"/>
        <w:keepNext w:val="0"/>
        <w:keepLines w:val="0"/>
        <w:spacing w:before="0" w:after="0" w:line="560" w:lineRule="exact"/>
        <w:ind w:firstLineChars="200" w:firstLine="640"/>
        <w:rPr>
          <w:rFonts w:ascii="楷体" w:eastAsia="楷体" w:hAnsi="楷体" w:cs="楷体"/>
          <w:b w:val="0"/>
          <w:bCs w:val="0"/>
          <w:lang w:val="en-US"/>
        </w:rPr>
      </w:pPr>
      <w:bookmarkStart w:id="29" w:name="_Toc23771"/>
      <w:bookmarkStart w:id="30" w:name="_Toc19738"/>
      <w:bookmarkStart w:id="31" w:name="_Toc30665"/>
      <w:bookmarkStart w:id="32" w:name="_Toc11322"/>
      <w:bookmarkStart w:id="33" w:name="_Toc8613"/>
      <w:bookmarkStart w:id="34" w:name="_Toc3398"/>
      <w:r>
        <w:rPr>
          <w:rFonts w:ascii="楷体" w:eastAsia="楷体" w:hAnsi="楷体" w:cs="楷体" w:hint="eastAsia"/>
          <w:b w:val="0"/>
          <w:bCs w:val="0"/>
        </w:rPr>
        <w:t>（</w:t>
      </w:r>
      <w:r>
        <w:rPr>
          <w:rFonts w:ascii="楷体" w:eastAsia="楷体" w:hAnsi="楷体" w:cs="楷体" w:hint="eastAsia"/>
          <w:b w:val="0"/>
          <w:bCs w:val="0"/>
          <w:lang w:val="en-US"/>
        </w:rPr>
        <w:t>二</w:t>
      </w:r>
      <w:r>
        <w:rPr>
          <w:rFonts w:ascii="楷体" w:eastAsia="楷体" w:hAnsi="楷体" w:cs="楷体" w:hint="eastAsia"/>
          <w:b w:val="0"/>
          <w:bCs w:val="0"/>
        </w:rPr>
        <w:t>）</w:t>
      </w:r>
      <w:bookmarkEnd w:id="29"/>
      <w:bookmarkEnd w:id="30"/>
      <w:bookmarkEnd w:id="31"/>
      <w:r>
        <w:rPr>
          <w:rFonts w:ascii="楷体" w:eastAsia="楷体" w:hAnsi="楷体" w:cs="楷体" w:hint="eastAsia"/>
          <w:b w:val="0"/>
          <w:bCs w:val="0"/>
          <w:lang w:val="en-US"/>
        </w:rPr>
        <w:t>项目绩效目标</w:t>
      </w:r>
      <w:bookmarkEnd w:id="32"/>
      <w:bookmarkEnd w:id="33"/>
      <w:bookmarkEnd w:id="34"/>
    </w:p>
    <w:p w:rsidR="00BF62E1" w:rsidRDefault="00BF62E1" w:rsidP="00BF62E1">
      <w:pPr>
        <w:spacing w:line="560" w:lineRule="exact"/>
        <w:ind w:firstLineChars="200" w:firstLine="640"/>
        <w:outlineLvl w:val="2"/>
        <w:rPr>
          <w:rFonts w:ascii="仿宋_GB2312" w:hAnsi="仿宋_GB2312" w:cs="仿宋_GB2312"/>
          <w:bCs/>
          <w:szCs w:val="32"/>
        </w:rPr>
      </w:pPr>
      <w:bookmarkStart w:id="35" w:name="_Toc20091"/>
      <w:bookmarkStart w:id="36" w:name="_Toc3161"/>
      <w:bookmarkStart w:id="37" w:name="_Toc9176"/>
      <w:bookmarkStart w:id="38" w:name="_Toc3824"/>
      <w:bookmarkStart w:id="39" w:name="_Toc9264"/>
      <w:bookmarkStart w:id="40" w:name="_Toc21443"/>
      <w:bookmarkStart w:id="41" w:name="_Toc19633"/>
      <w:bookmarkStart w:id="42" w:name="_Toc10159"/>
      <w:r>
        <w:rPr>
          <w:rFonts w:ascii="仿宋_GB2312" w:hAnsi="仿宋_GB2312" w:cs="仿宋_GB2312" w:hint="eastAsia"/>
          <w:bCs/>
          <w:szCs w:val="32"/>
        </w:rPr>
        <w:t>1.总体目标</w:t>
      </w:r>
      <w:bookmarkEnd w:id="35"/>
      <w:bookmarkEnd w:id="36"/>
    </w:p>
    <w:p w:rsidR="00BF62E1" w:rsidRDefault="00BF62E1" w:rsidP="00BF62E1">
      <w:pPr>
        <w:adjustRightInd w:val="0"/>
        <w:spacing w:line="560" w:lineRule="exact"/>
        <w:ind w:firstLineChars="200" w:firstLine="640"/>
        <w:rPr>
          <w:rFonts w:ascii="仿宋_GB2312" w:hAnsi="仿宋_GB2312" w:cs="仿宋_GB2312"/>
          <w:bCs/>
          <w:szCs w:val="32"/>
        </w:rPr>
      </w:pPr>
      <w:r>
        <w:rPr>
          <w:rFonts w:ascii="仿宋_GB2312" w:hAnsi="仿宋_GB2312" w:cs="仿宋_GB2312" w:hint="eastAsia"/>
          <w:bCs/>
          <w:szCs w:val="32"/>
        </w:rPr>
        <w:t>该项目总目标是，通过安保安检工作，维护市二分院正常办公秩序，完成机关门岗执勤、安全检查、信访接待引导、秩序维护、滞留人员劝返、处置违法上访突发事件、消防应急处置等任务，保安人员在值勤安检过程应积极协助检察机关预防、减少违法犯罪，在安全检查、秩序维护、应急处理等方面起到积极作用。</w:t>
      </w:r>
    </w:p>
    <w:p w:rsidR="00BF62E1" w:rsidRDefault="00BF62E1" w:rsidP="00BF62E1">
      <w:pPr>
        <w:adjustRightInd w:val="0"/>
        <w:spacing w:line="560" w:lineRule="exact"/>
        <w:ind w:firstLineChars="200" w:firstLine="640"/>
        <w:outlineLvl w:val="2"/>
        <w:rPr>
          <w:rFonts w:ascii="仿宋_GB2312" w:hAnsi="仿宋_GB2312" w:cs="仿宋_GB2312"/>
          <w:bCs/>
          <w:szCs w:val="32"/>
        </w:rPr>
      </w:pPr>
      <w:bookmarkStart w:id="43" w:name="_Toc3154"/>
      <w:bookmarkStart w:id="44" w:name="_Toc12142"/>
      <w:r>
        <w:rPr>
          <w:rFonts w:ascii="仿宋_GB2312" w:hAnsi="仿宋_GB2312" w:cs="仿宋_GB2312" w:hint="eastAsia"/>
          <w:bCs/>
          <w:szCs w:val="32"/>
        </w:rPr>
        <w:t>2.</w:t>
      </w:r>
      <w:bookmarkStart w:id="45" w:name="_Toc9726"/>
      <w:r>
        <w:rPr>
          <w:rFonts w:ascii="仿宋_GB2312" w:hAnsi="仿宋_GB2312" w:cs="仿宋_GB2312" w:hint="eastAsia"/>
          <w:bCs/>
          <w:szCs w:val="32"/>
        </w:rPr>
        <w:t>阶段性目标</w:t>
      </w:r>
      <w:bookmarkEnd w:id="43"/>
      <w:bookmarkEnd w:id="44"/>
    </w:p>
    <w:p w:rsidR="00BF62E1" w:rsidRDefault="00BF62E1" w:rsidP="00BF62E1">
      <w:pPr>
        <w:adjustRightInd w:val="0"/>
        <w:spacing w:line="560" w:lineRule="exact"/>
        <w:ind w:firstLineChars="200" w:firstLine="640"/>
        <w:rPr>
          <w:rFonts w:ascii="仿宋_GB2312" w:hAnsi="仿宋_GB2312" w:cs="仿宋_GB2312"/>
          <w:bCs/>
          <w:szCs w:val="32"/>
        </w:rPr>
      </w:pPr>
      <w:r>
        <w:rPr>
          <w:rFonts w:ascii="仿宋_GB2312" w:hAnsi="仿宋_GB2312" w:cs="仿宋_GB2312" w:hint="eastAsia"/>
          <w:bCs/>
          <w:szCs w:val="32"/>
        </w:rPr>
        <w:t>2021年，二分院配备38名安保安检人员，设置保安管理岗、守卫巡逻岗、应急处置岗、技术防范岗等岗位,工作时间是24小时轮班。安保安检人员符合行业质量标准；落实安全检查和应急事件处理，降低违法犯罪行为发生的机率，保障各项检察工作顺利开展；项目预算控制在196.08万元以内，项目全年执行，年</w:t>
      </w:r>
      <w:r>
        <w:rPr>
          <w:rFonts w:ascii="仿宋_GB2312" w:hAnsi="仿宋_GB2312" w:cs="仿宋_GB2312" w:hint="eastAsia"/>
          <w:bCs/>
          <w:szCs w:val="32"/>
        </w:rPr>
        <w:lastRenderedPageBreak/>
        <w:t>底完成服务工作；全院工作人员满意度较高。</w:t>
      </w:r>
    </w:p>
    <w:p w:rsidR="00BF62E1" w:rsidRDefault="00BF62E1" w:rsidP="00BF62E1">
      <w:pPr>
        <w:pStyle w:val="1"/>
        <w:autoSpaceDE/>
        <w:autoSpaceDN/>
        <w:adjustRightInd/>
        <w:spacing w:line="560" w:lineRule="exact"/>
        <w:ind w:firstLine="641"/>
        <w:jc w:val="both"/>
        <w:rPr>
          <w:rFonts w:ascii="黑体" w:eastAsia="黑体" w:hAnsi="黑体" w:cs="黑体"/>
          <w:sz w:val="32"/>
          <w:szCs w:val="32"/>
          <w:lang w:val="en-US"/>
        </w:rPr>
      </w:pPr>
      <w:bookmarkStart w:id="46" w:name="_Toc23960"/>
      <w:bookmarkStart w:id="47" w:name="_Toc3599"/>
      <w:r>
        <w:rPr>
          <w:rFonts w:ascii="黑体" w:eastAsia="黑体" w:hAnsi="黑体" w:cs="黑体" w:hint="eastAsia"/>
          <w:sz w:val="32"/>
          <w:szCs w:val="32"/>
        </w:rPr>
        <w:t>二、</w:t>
      </w:r>
      <w:bookmarkEnd w:id="9"/>
      <w:bookmarkEnd w:id="37"/>
      <w:bookmarkEnd w:id="38"/>
      <w:bookmarkEnd w:id="39"/>
      <w:bookmarkEnd w:id="40"/>
      <w:bookmarkEnd w:id="41"/>
      <w:bookmarkEnd w:id="42"/>
      <w:bookmarkEnd w:id="45"/>
      <w:r>
        <w:rPr>
          <w:rFonts w:ascii="黑体" w:eastAsia="黑体" w:hAnsi="黑体" w:cs="黑体" w:hint="eastAsia"/>
          <w:sz w:val="32"/>
          <w:szCs w:val="32"/>
          <w:lang w:val="en-US"/>
        </w:rPr>
        <w:t>绩效评价工作开展情况</w:t>
      </w:r>
      <w:bookmarkEnd w:id="46"/>
      <w:bookmarkEnd w:id="47"/>
    </w:p>
    <w:p w:rsidR="00BF62E1" w:rsidRDefault="00BF62E1" w:rsidP="00BF62E1">
      <w:pPr>
        <w:pStyle w:val="20"/>
        <w:keepNext w:val="0"/>
        <w:keepLines w:val="0"/>
        <w:spacing w:before="0" w:after="0" w:line="560" w:lineRule="exact"/>
        <w:ind w:firstLineChars="200" w:firstLine="640"/>
        <w:rPr>
          <w:rFonts w:ascii="楷体" w:eastAsia="楷体" w:hAnsi="楷体" w:cs="楷体"/>
          <w:b w:val="0"/>
          <w:bCs w:val="0"/>
          <w:lang w:val="en-US"/>
        </w:rPr>
      </w:pPr>
      <w:bookmarkStart w:id="48" w:name="_Toc5103"/>
      <w:bookmarkStart w:id="49" w:name="_Toc19881"/>
      <w:bookmarkStart w:id="50" w:name="_Toc20345"/>
      <w:bookmarkStart w:id="51" w:name="_Toc12160"/>
      <w:bookmarkStart w:id="52" w:name="_Toc23875"/>
      <w:bookmarkStart w:id="53" w:name="_Toc2196"/>
      <w:bookmarkStart w:id="54" w:name="_Toc488"/>
      <w:bookmarkStart w:id="55" w:name="_Toc24623"/>
      <w:bookmarkStart w:id="56" w:name="_Toc18391"/>
      <w:bookmarkStart w:id="57" w:name="_Toc169183188"/>
      <w:r>
        <w:rPr>
          <w:rFonts w:ascii="楷体" w:eastAsia="楷体" w:hAnsi="楷体" w:cs="楷体" w:hint="eastAsia"/>
          <w:b w:val="0"/>
          <w:bCs w:val="0"/>
        </w:rPr>
        <w:t>（一）</w:t>
      </w:r>
      <w:bookmarkEnd w:id="48"/>
      <w:bookmarkEnd w:id="49"/>
      <w:bookmarkEnd w:id="50"/>
      <w:bookmarkEnd w:id="51"/>
      <w:bookmarkEnd w:id="52"/>
      <w:bookmarkEnd w:id="53"/>
      <w:r>
        <w:rPr>
          <w:rFonts w:ascii="楷体" w:eastAsia="楷体" w:hAnsi="楷体" w:cs="楷体" w:hint="eastAsia"/>
          <w:b w:val="0"/>
          <w:bCs w:val="0"/>
          <w:lang w:val="en-US"/>
        </w:rPr>
        <w:t>绩效评价目的</w:t>
      </w:r>
      <w:bookmarkEnd w:id="54"/>
      <w:bookmarkEnd w:id="55"/>
      <w:bookmarkEnd w:id="56"/>
      <w:r w:rsidR="00F800E4">
        <w:rPr>
          <w:rFonts w:ascii="楷体" w:eastAsia="楷体" w:hAnsi="楷体" w:cs="楷体" w:hint="eastAsia"/>
          <w:b w:val="0"/>
          <w:bCs w:val="0"/>
          <w:lang w:val="en-US"/>
        </w:rPr>
        <w:t>、</w:t>
      </w:r>
      <w:r w:rsidR="00F757EE">
        <w:rPr>
          <w:rFonts w:ascii="楷体" w:eastAsia="楷体" w:hAnsi="楷体" w:cs="楷体" w:hint="eastAsia"/>
          <w:b w:val="0"/>
          <w:bCs w:val="0"/>
          <w:lang w:val="en-US"/>
        </w:rPr>
        <w:t>对象和</w:t>
      </w:r>
      <w:r w:rsidR="00F800E4" w:rsidRPr="00F800E4">
        <w:rPr>
          <w:rFonts w:ascii="楷体" w:eastAsia="楷体" w:hAnsi="楷体" w:cs="楷体" w:hint="eastAsia"/>
          <w:b w:val="0"/>
          <w:bCs w:val="0"/>
          <w:lang w:val="en-US"/>
        </w:rPr>
        <w:t>范围</w:t>
      </w:r>
    </w:p>
    <w:p w:rsidR="00BF62E1" w:rsidRDefault="00BF62E1" w:rsidP="00BF62E1">
      <w:pPr>
        <w:spacing w:line="560" w:lineRule="exact"/>
        <w:ind w:firstLineChars="200" w:firstLine="640"/>
        <w:outlineLvl w:val="1"/>
        <w:rPr>
          <w:rFonts w:ascii="楷体" w:eastAsia="楷体" w:hAnsi="楷体" w:cs="楷体"/>
          <w:szCs w:val="32"/>
        </w:rPr>
      </w:pPr>
      <w:r>
        <w:rPr>
          <w:rFonts w:hint="eastAsia"/>
        </w:rPr>
        <w:t>为落实北京市财政局绩效自评工作的要求，对二分院</w:t>
      </w:r>
      <w:r>
        <w:rPr>
          <w:rFonts w:hint="eastAsia"/>
        </w:rPr>
        <w:t>2021</w:t>
      </w:r>
      <w:r>
        <w:rPr>
          <w:rFonts w:hint="eastAsia"/>
        </w:rPr>
        <w:t>年安保安检项目执行情况进行绩效评价。</w:t>
      </w:r>
      <w:r>
        <w:rPr>
          <w:rFonts w:ascii="仿宋_GB2312" w:hAnsi="仿宋_GB2312" w:cs="仿宋_GB2312" w:hint="eastAsia"/>
          <w:szCs w:val="32"/>
        </w:rPr>
        <w:t>通过对该项目进项绩效评价，衡量和考核二分院对该项目使用财政资金的绩效实现情况，了解、分析和检验资金使用是否达到预期目标，资金管理是否规范，资金使用是否有效，通过总结经验分析问题，</w:t>
      </w:r>
      <w:r>
        <w:rPr>
          <w:rFonts w:hint="eastAsia"/>
        </w:rPr>
        <w:t>改进工作，进一步加强项目管理，</w:t>
      </w:r>
      <w:r>
        <w:rPr>
          <w:rFonts w:ascii="仿宋_GB2312" w:hAnsi="仿宋_GB2312" w:cs="仿宋_GB2312" w:hint="eastAsia"/>
          <w:szCs w:val="32"/>
        </w:rPr>
        <w:t>提高财政资金使用效益</w:t>
      </w:r>
      <w:bookmarkStart w:id="58" w:name="_Toc29649"/>
      <w:r>
        <w:rPr>
          <w:rFonts w:hint="eastAsia"/>
        </w:rPr>
        <w:t>，为下一步预算资金安排提供重要参考。</w:t>
      </w:r>
      <w:bookmarkStart w:id="59" w:name="_Toc2168"/>
      <w:bookmarkStart w:id="60" w:name="_Toc27009"/>
    </w:p>
    <w:bookmarkEnd w:id="58"/>
    <w:bookmarkEnd w:id="59"/>
    <w:bookmarkEnd w:id="60"/>
    <w:p w:rsidR="00BF62E1" w:rsidRDefault="00BF62E1" w:rsidP="00BF62E1">
      <w:pPr>
        <w:spacing w:line="560" w:lineRule="exact"/>
        <w:ind w:firstLineChars="200" w:firstLine="640"/>
        <w:rPr>
          <w:rFonts w:ascii="仿宋_GB2312" w:hAnsi="仿宋_GB2312" w:cs="仿宋_GB2312"/>
          <w:kern w:val="0"/>
          <w:szCs w:val="32"/>
        </w:rPr>
      </w:pPr>
      <w:r>
        <w:rPr>
          <w:rFonts w:ascii="仿宋_GB2312" w:hAnsi="仿宋_GB2312" w:cs="仿宋_GB2312" w:hint="eastAsia"/>
          <w:kern w:val="0"/>
          <w:szCs w:val="32"/>
        </w:rPr>
        <w:t>评价对象为对二分院2021年度“安保安检费用”项目，预算资金</w:t>
      </w:r>
      <w:r>
        <w:rPr>
          <w:rFonts w:ascii="仿宋_GB2312" w:hAnsi="仿宋_GB2312" w:cs="仿宋_GB2312" w:hint="eastAsia"/>
          <w:szCs w:val="32"/>
        </w:rPr>
        <w:t>196.08</w:t>
      </w:r>
      <w:r>
        <w:rPr>
          <w:rFonts w:ascii="仿宋_GB2312" w:hAnsi="仿宋_GB2312" w:cs="仿宋_GB2312" w:hint="eastAsia"/>
          <w:kern w:val="0"/>
          <w:szCs w:val="32"/>
        </w:rPr>
        <w:t>万元。</w:t>
      </w:r>
    </w:p>
    <w:p w:rsidR="00BF62E1" w:rsidRDefault="00F757EE" w:rsidP="00F757EE">
      <w:pPr>
        <w:spacing w:line="560" w:lineRule="exact"/>
        <w:ind w:firstLineChars="200" w:firstLine="640"/>
        <w:outlineLvl w:val="1"/>
        <w:rPr>
          <w:rFonts w:ascii="楷体" w:eastAsia="楷体" w:hAnsi="楷体" w:cs="楷体"/>
          <w:szCs w:val="32"/>
        </w:rPr>
      </w:pPr>
      <w:bookmarkStart w:id="61" w:name="_Toc14737"/>
      <w:bookmarkStart w:id="62" w:name="_Toc15999"/>
      <w:bookmarkStart w:id="63" w:name="_Toc7754"/>
      <w:r>
        <w:rPr>
          <w:rFonts w:ascii="楷体" w:eastAsia="楷体" w:hAnsi="楷体" w:cs="楷体" w:hint="eastAsia"/>
          <w:szCs w:val="32"/>
        </w:rPr>
        <w:t>（二</w:t>
      </w:r>
      <w:r w:rsidR="00BF62E1">
        <w:rPr>
          <w:rFonts w:ascii="楷体" w:eastAsia="楷体" w:hAnsi="楷体" w:cs="楷体" w:hint="eastAsia"/>
          <w:szCs w:val="32"/>
        </w:rPr>
        <w:t>）</w:t>
      </w:r>
      <w:r>
        <w:rPr>
          <w:rFonts w:ascii="楷体" w:eastAsia="楷体" w:hAnsi="楷体" w:cs="楷体" w:hint="eastAsia"/>
          <w:szCs w:val="32"/>
        </w:rPr>
        <w:t>绩效评价原则、绩效评价指标体系、评价方法</w:t>
      </w:r>
      <w:bookmarkEnd w:id="61"/>
      <w:bookmarkEnd w:id="62"/>
      <w:bookmarkEnd w:id="63"/>
    </w:p>
    <w:p w:rsidR="00F757EE" w:rsidRDefault="00F757EE" w:rsidP="00F757EE">
      <w:pPr>
        <w:spacing w:line="560" w:lineRule="exact"/>
        <w:ind w:firstLineChars="200" w:firstLine="640"/>
        <w:rPr>
          <w:rFonts w:ascii="仿宋_GB2312" w:hAnsi="仿宋_GB2312" w:cs="仿宋_GB2312"/>
          <w:kern w:val="0"/>
          <w:szCs w:val="32"/>
        </w:rPr>
      </w:pPr>
      <w:r>
        <w:rPr>
          <w:rFonts w:ascii="仿宋_GB2312" w:hAnsi="仿宋_GB2312" w:cs="仿宋_GB2312" w:hint="eastAsia"/>
          <w:kern w:val="0"/>
          <w:szCs w:val="32"/>
        </w:rPr>
        <w:t>按照科学规范、绩效相关、政策相符、依据充分、独立评价等原则，根据《北京市预算绩效管理办法》(京财绩效[2019]2129号)、《北京市项目支出绩效评价管理办法》(京财绩效[2020]2146号)等相关文件规定，依据项目单位提交的绩效报告和其他相关材料，评价机构对该项目进行了绩效评价。</w:t>
      </w:r>
    </w:p>
    <w:p w:rsidR="00BF62E1" w:rsidRDefault="00BF62E1" w:rsidP="00BF62E1">
      <w:pPr>
        <w:spacing w:line="560" w:lineRule="exact"/>
        <w:ind w:firstLineChars="200" w:firstLine="640"/>
        <w:rPr>
          <w:rFonts w:ascii="仿宋_GB2312" w:hAnsi="仿宋_GB2312" w:cs="仿宋_GB2312"/>
          <w:kern w:val="0"/>
          <w:szCs w:val="32"/>
        </w:rPr>
      </w:pPr>
      <w:r>
        <w:rPr>
          <w:rFonts w:ascii="仿宋_GB2312" w:hAnsi="仿宋_GB2312" w:cs="仿宋_GB2312" w:hint="eastAsia"/>
          <w:kern w:val="0"/>
          <w:szCs w:val="32"/>
        </w:rPr>
        <w:t>绩效评价指标体系主要包括项目决策、项目过程、项目产出、项目效益4个方面，满分100分。一是决策指标(30分)，主要评价项目立项、绩效目标、资金投入等内容；二是过程指标(25分)，主要评价资金管理和组织实施等内容；三是产出指标(20</w:t>
      </w:r>
      <w:r>
        <w:rPr>
          <w:rFonts w:ascii="仿宋_GB2312" w:hAnsi="仿宋_GB2312" w:cs="仿宋_GB2312" w:hint="eastAsia"/>
          <w:kern w:val="0"/>
          <w:szCs w:val="32"/>
        </w:rPr>
        <w:lastRenderedPageBreak/>
        <w:t>分)，主要评价项目产出数量、产出质量、产出时效和产出成本等内容；四是效益指标（25分），主要评价项目实施效益和本院全体职工干警满意度等内容。具体内容见下表：</w:t>
      </w:r>
    </w:p>
    <w:p w:rsidR="00BF62E1" w:rsidRDefault="00BF62E1" w:rsidP="00BF62E1">
      <w:pPr>
        <w:spacing w:line="560" w:lineRule="exact"/>
        <w:ind w:firstLineChars="200" w:firstLine="562"/>
        <w:jc w:val="center"/>
        <w:rPr>
          <w:rFonts w:ascii="宋体" w:eastAsia="宋体" w:hAnsi="宋体" w:cs="宋体"/>
          <w:b/>
          <w:bCs/>
          <w:kern w:val="0"/>
          <w:sz w:val="28"/>
          <w:szCs w:val="28"/>
        </w:rPr>
      </w:pPr>
      <w:r>
        <w:rPr>
          <w:rFonts w:ascii="宋体" w:eastAsia="宋体" w:hAnsi="宋体" w:cs="宋体" w:hint="eastAsia"/>
          <w:b/>
          <w:bCs/>
          <w:kern w:val="0"/>
          <w:sz w:val="28"/>
          <w:szCs w:val="28"/>
        </w:rPr>
        <w:t>2021年度“安保安检费用”项目绩效评价指标体系表</w:t>
      </w:r>
    </w:p>
    <w:tbl>
      <w:tblPr>
        <w:tblW w:w="4997" w:type="pct"/>
        <w:tblBorders>
          <w:top w:val="double" w:sz="4" w:space="0" w:color="000000"/>
          <w:bottom w:val="double" w:sz="4" w:space="0" w:color="000000"/>
          <w:insideH w:val="single" w:sz="4" w:space="0" w:color="000000"/>
          <w:insideV w:val="single" w:sz="4" w:space="0" w:color="000000"/>
        </w:tblBorders>
        <w:tblLayout w:type="fixed"/>
        <w:tblLook w:val="0000"/>
      </w:tblPr>
      <w:tblGrid>
        <w:gridCol w:w="945"/>
        <w:gridCol w:w="1523"/>
        <w:gridCol w:w="1516"/>
        <w:gridCol w:w="647"/>
        <w:gridCol w:w="4425"/>
      </w:tblGrid>
      <w:tr w:rsidR="00BF62E1" w:rsidTr="00F757EE">
        <w:trPr>
          <w:trHeight w:val="362"/>
          <w:tblHeader/>
        </w:trPr>
        <w:tc>
          <w:tcPr>
            <w:tcW w:w="522" w:type="pct"/>
            <w:tcBorders>
              <w:tl2br w:val="nil"/>
              <w:tr2bl w:val="nil"/>
            </w:tcBorders>
            <w:vAlign w:val="center"/>
          </w:tcPr>
          <w:p w:rsidR="00BF62E1" w:rsidRDefault="00BF62E1" w:rsidP="002F76B7">
            <w:pPr>
              <w:widowControl/>
              <w:jc w:val="center"/>
              <w:textAlignment w:val="center"/>
              <w:rPr>
                <w:rFonts w:ascii="宋体" w:eastAsia="宋体" w:hAnsi="宋体" w:cs="宋体"/>
                <w:b/>
                <w:bCs/>
                <w:color w:val="000000"/>
                <w:sz w:val="18"/>
                <w:szCs w:val="18"/>
              </w:rPr>
            </w:pPr>
            <w:r>
              <w:rPr>
                <w:rFonts w:ascii="宋体" w:eastAsia="宋体" w:hAnsi="宋体" w:cs="宋体" w:hint="eastAsia"/>
                <w:b/>
                <w:bCs/>
                <w:color w:val="000000"/>
                <w:kern w:val="0"/>
                <w:sz w:val="18"/>
                <w:szCs w:val="18"/>
              </w:rPr>
              <w:t>一级</w:t>
            </w:r>
          </w:p>
        </w:tc>
        <w:tc>
          <w:tcPr>
            <w:tcW w:w="841" w:type="pct"/>
            <w:tcBorders>
              <w:tl2br w:val="nil"/>
              <w:tr2bl w:val="nil"/>
            </w:tcBorders>
            <w:vAlign w:val="center"/>
          </w:tcPr>
          <w:p w:rsidR="00BF62E1" w:rsidRDefault="00BF62E1" w:rsidP="002F76B7">
            <w:pPr>
              <w:widowControl/>
              <w:jc w:val="center"/>
              <w:textAlignment w:val="center"/>
              <w:rPr>
                <w:rFonts w:ascii="宋体" w:eastAsia="宋体" w:hAnsi="宋体" w:cs="宋体"/>
                <w:b/>
                <w:bCs/>
                <w:color w:val="000000"/>
                <w:sz w:val="18"/>
                <w:szCs w:val="18"/>
              </w:rPr>
            </w:pPr>
            <w:r>
              <w:rPr>
                <w:rFonts w:ascii="宋体" w:eastAsia="宋体" w:hAnsi="宋体" w:cs="宋体" w:hint="eastAsia"/>
                <w:b/>
                <w:bCs/>
                <w:color w:val="000000"/>
                <w:kern w:val="0"/>
                <w:sz w:val="18"/>
                <w:szCs w:val="18"/>
              </w:rPr>
              <w:t>二级</w:t>
            </w:r>
          </w:p>
        </w:tc>
        <w:tc>
          <w:tcPr>
            <w:tcW w:w="836" w:type="pct"/>
            <w:tcBorders>
              <w:tl2br w:val="nil"/>
              <w:tr2bl w:val="nil"/>
            </w:tcBorders>
            <w:vAlign w:val="center"/>
          </w:tcPr>
          <w:p w:rsidR="00BF62E1" w:rsidRDefault="00BF62E1" w:rsidP="002F76B7">
            <w:pPr>
              <w:widowControl/>
              <w:jc w:val="center"/>
              <w:textAlignment w:val="center"/>
              <w:rPr>
                <w:rFonts w:ascii="宋体" w:eastAsia="宋体" w:hAnsi="宋体" w:cs="宋体"/>
                <w:b/>
                <w:bCs/>
                <w:color w:val="000000"/>
                <w:sz w:val="18"/>
                <w:szCs w:val="18"/>
              </w:rPr>
            </w:pPr>
            <w:r>
              <w:rPr>
                <w:rFonts w:ascii="宋体" w:eastAsia="宋体" w:hAnsi="宋体" w:cs="宋体" w:hint="eastAsia"/>
                <w:b/>
                <w:bCs/>
                <w:color w:val="000000"/>
                <w:kern w:val="0"/>
                <w:sz w:val="18"/>
                <w:szCs w:val="18"/>
              </w:rPr>
              <w:t>三级</w:t>
            </w:r>
          </w:p>
        </w:tc>
        <w:tc>
          <w:tcPr>
            <w:tcW w:w="357" w:type="pct"/>
            <w:tcBorders>
              <w:tl2br w:val="nil"/>
              <w:tr2bl w:val="nil"/>
            </w:tcBorders>
            <w:vAlign w:val="center"/>
          </w:tcPr>
          <w:p w:rsidR="00BF62E1" w:rsidRDefault="00BF62E1" w:rsidP="002F76B7">
            <w:pPr>
              <w:widowControl/>
              <w:jc w:val="center"/>
              <w:textAlignment w:val="center"/>
              <w:rPr>
                <w:rFonts w:ascii="宋体" w:eastAsia="宋体" w:hAnsi="宋体" w:cs="宋体"/>
                <w:b/>
                <w:bCs/>
                <w:color w:val="000000"/>
                <w:sz w:val="18"/>
                <w:szCs w:val="18"/>
              </w:rPr>
            </w:pPr>
            <w:r>
              <w:rPr>
                <w:rFonts w:ascii="宋体" w:eastAsia="宋体" w:hAnsi="宋体" w:cs="宋体" w:hint="eastAsia"/>
                <w:b/>
                <w:bCs/>
                <w:color w:val="000000"/>
                <w:kern w:val="0"/>
                <w:sz w:val="18"/>
                <w:szCs w:val="18"/>
              </w:rPr>
              <w:t>分值</w:t>
            </w:r>
          </w:p>
        </w:tc>
        <w:tc>
          <w:tcPr>
            <w:tcW w:w="2443" w:type="pct"/>
            <w:tcBorders>
              <w:tl2br w:val="nil"/>
              <w:tr2bl w:val="nil"/>
            </w:tcBorders>
            <w:vAlign w:val="center"/>
          </w:tcPr>
          <w:p w:rsidR="00BF62E1" w:rsidRDefault="00BF62E1" w:rsidP="002F76B7">
            <w:pPr>
              <w:widowControl/>
              <w:jc w:val="center"/>
              <w:textAlignment w:val="center"/>
              <w:rPr>
                <w:rFonts w:ascii="宋体" w:eastAsia="宋体" w:hAnsi="宋体" w:cs="宋体"/>
                <w:b/>
                <w:bCs/>
                <w:color w:val="000000"/>
                <w:sz w:val="18"/>
                <w:szCs w:val="18"/>
              </w:rPr>
            </w:pPr>
            <w:r>
              <w:rPr>
                <w:rFonts w:ascii="宋体" w:eastAsia="宋体" w:hAnsi="宋体" w:cs="宋体" w:hint="eastAsia"/>
                <w:b/>
                <w:bCs/>
                <w:color w:val="000000"/>
                <w:kern w:val="0"/>
                <w:sz w:val="18"/>
                <w:szCs w:val="18"/>
              </w:rPr>
              <w:t>指标解释</w:t>
            </w:r>
          </w:p>
        </w:tc>
      </w:tr>
      <w:tr w:rsidR="00BF62E1" w:rsidTr="00F757EE">
        <w:trPr>
          <w:trHeight w:val="242"/>
        </w:trPr>
        <w:tc>
          <w:tcPr>
            <w:tcW w:w="522" w:type="pct"/>
            <w:vMerge w:val="restart"/>
            <w:tcBorders>
              <w:tl2br w:val="nil"/>
              <w:tr2bl w:val="nil"/>
            </w:tcBorders>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项目决策（30分）</w:t>
            </w:r>
          </w:p>
        </w:tc>
        <w:tc>
          <w:tcPr>
            <w:tcW w:w="841" w:type="pct"/>
            <w:vMerge w:val="restart"/>
            <w:tcBorders>
              <w:tl2br w:val="nil"/>
              <w:tr2bl w:val="nil"/>
            </w:tcBorders>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项目立项（10分）</w:t>
            </w:r>
          </w:p>
        </w:tc>
        <w:tc>
          <w:tcPr>
            <w:tcW w:w="836" w:type="pct"/>
            <w:tcBorders>
              <w:tl2br w:val="nil"/>
              <w:tr2bl w:val="nil"/>
            </w:tcBorders>
            <w:vAlign w:val="center"/>
          </w:tcPr>
          <w:p w:rsidR="00BF62E1" w:rsidRDefault="00BF62E1" w:rsidP="002F76B7">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立项依据充分性</w:t>
            </w:r>
          </w:p>
        </w:tc>
        <w:tc>
          <w:tcPr>
            <w:tcW w:w="357" w:type="pct"/>
            <w:tcBorders>
              <w:tl2br w:val="nil"/>
              <w:tr2bl w:val="nil"/>
            </w:tcBorders>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5</w:t>
            </w:r>
          </w:p>
        </w:tc>
        <w:tc>
          <w:tcPr>
            <w:tcW w:w="2443" w:type="pct"/>
            <w:tcBorders>
              <w:tl2br w:val="nil"/>
              <w:tr2bl w:val="nil"/>
            </w:tcBorders>
            <w:vAlign w:val="center"/>
          </w:tcPr>
          <w:p w:rsidR="00BF62E1" w:rsidRDefault="00BF62E1" w:rsidP="002F76B7">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项目立项是否与部门职责范围相符，属于部门履职所需。</w:t>
            </w:r>
          </w:p>
        </w:tc>
      </w:tr>
      <w:tr w:rsidR="00BF62E1" w:rsidTr="00F757EE">
        <w:trPr>
          <w:trHeight w:val="590"/>
        </w:trPr>
        <w:tc>
          <w:tcPr>
            <w:tcW w:w="522" w:type="pct"/>
            <w:vMerge/>
            <w:tcBorders>
              <w:tl2br w:val="nil"/>
              <w:tr2bl w:val="nil"/>
            </w:tcBorders>
            <w:vAlign w:val="center"/>
          </w:tcPr>
          <w:p w:rsidR="00BF62E1" w:rsidRDefault="00BF62E1" w:rsidP="002F76B7">
            <w:pPr>
              <w:jc w:val="center"/>
              <w:rPr>
                <w:rFonts w:ascii="宋体" w:eastAsia="宋体" w:hAnsi="宋体" w:cs="宋体"/>
                <w:color w:val="000000"/>
                <w:sz w:val="18"/>
                <w:szCs w:val="18"/>
              </w:rPr>
            </w:pPr>
          </w:p>
        </w:tc>
        <w:tc>
          <w:tcPr>
            <w:tcW w:w="841" w:type="pct"/>
            <w:vMerge/>
            <w:tcBorders>
              <w:tl2br w:val="nil"/>
              <w:tr2bl w:val="nil"/>
            </w:tcBorders>
            <w:vAlign w:val="center"/>
          </w:tcPr>
          <w:p w:rsidR="00BF62E1" w:rsidRDefault="00BF62E1" w:rsidP="002F76B7">
            <w:pPr>
              <w:jc w:val="center"/>
              <w:rPr>
                <w:rFonts w:ascii="宋体" w:eastAsia="宋体" w:hAnsi="宋体" w:cs="宋体"/>
                <w:color w:val="000000"/>
                <w:sz w:val="18"/>
                <w:szCs w:val="18"/>
              </w:rPr>
            </w:pPr>
          </w:p>
        </w:tc>
        <w:tc>
          <w:tcPr>
            <w:tcW w:w="836" w:type="pct"/>
            <w:tcBorders>
              <w:tl2br w:val="nil"/>
              <w:tr2bl w:val="nil"/>
            </w:tcBorders>
            <w:vAlign w:val="center"/>
          </w:tcPr>
          <w:p w:rsidR="00BF62E1" w:rsidRDefault="00BF62E1" w:rsidP="002F76B7">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立项程序规范性</w:t>
            </w:r>
          </w:p>
        </w:tc>
        <w:tc>
          <w:tcPr>
            <w:tcW w:w="357" w:type="pct"/>
            <w:tcBorders>
              <w:tl2br w:val="nil"/>
              <w:tr2bl w:val="nil"/>
            </w:tcBorders>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5</w:t>
            </w:r>
          </w:p>
        </w:tc>
        <w:tc>
          <w:tcPr>
            <w:tcW w:w="2443" w:type="pct"/>
            <w:tcBorders>
              <w:tl2br w:val="nil"/>
              <w:tr2bl w:val="nil"/>
            </w:tcBorders>
            <w:vAlign w:val="center"/>
          </w:tcPr>
          <w:p w:rsidR="00BF62E1" w:rsidRDefault="00BF62E1" w:rsidP="002F76B7">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项目是否按照规定的程序申请设立；审批文件、材料是否符合相关要求；事前是否已经过必要的可行性研究、集体决策。</w:t>
            </w:r>
          </w:p>
        </w:tc>
      </w:tr>
      <w:tr w:rsidR="00BF62E1" w:rsidTr="00F757EE">
        <w:trPr>
          <w:trHeight w:val="772"/>
        </w:trPr>
        <w:tc>
          <w:tcPr>
            <w:tcW w:w="522" w:type="pct"/>
            <w:vMerge/>
            <w:tcBorders>
              <w:tl2br w:val="nil"/>
              <w:tr2bl w:val="nil"/>
            </w:tcBorders>
            <w:vAlign w:val="center"/>
          </w:tcPr>
          <w:p w:rsidR="00BF62E1" w:rsidRDefault="00BF62E1" w:rsidP="002F76B7">
            <w:pPr>
              <w:jc w:val="center"/>
              <w:rPr>
                <w:rFonts w:ascii="宋体" w:eastAsia="宋体" w:hAnsi="宋体" w:cs="宋体"/>
                <w:color w:val="000000"/>
                <w:sz w:val="18"/>
                <w:szCs w:val="18"/>
              </w:rPr>
            </w:pPr>
          </w:p>
        </w:tc>
        <w:tc>
          <w:tcPr>
            <w:tcW w:w="841" w:type="pct"/>
            <w:vMerge w:val="restart"/>
            <w:tcBorders>
              <w:tl2br w:val="nil"/>
              <w:tr2bl w:val="nil"/>
            </w:tcBorders>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绩效目标（10分）</w:t>
            </w:r>
          </w:p>
        </w:tc>
        <w:tc>
          <w:tcPr>
            <w:tcW w:w="836" w:type="pct"/>
            <w:tcBorders>
              <w:tl2br w:val="nil"/>
              <w:tr2bl w:val="nil"/>
            </w:tcBorders>
            <w:vAlign w:val="center"/>
          </w:tcPr>
          <w:p w:rsidR="00BF62E1" w:rsidRDefault="00BF62E1" w:rsidP="002F76B7">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绩效目标合理性</w:t>
            </w:r>
          </w:p>
        </w:tc>
        <w:tc>
          <w:tcPr>
            <w:tcW w:w="357" w:type="pct"/>
            <w:tcBorders>
              <w:tl2br w:val="nil"/>
              <w:tr2bl w:val="nil"/>
            </w:tcBorders>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5</w:t>
            </w:r>
          </w:p>
        </w:tc>
        <w:tc>
          <w:tcPr>
            <w:tcW w:w="2443" w:type="pct"/>
            <w:tcBorders>
              <w:tl2br w:val="nil"/>
              <w:tr2bl w:val="nil"/>
            </w:tcBorders>
            <w:vAlign w:val="center"/>
          </w:tcPr>
          <w:p w:rsidR="00BF62E1" w:rsidRDefault="00BF62E1" w:rsidP="002F76B7">
            <w:pPr>
              <w:widowControl/>
              <w:jc w:val="left"/>
              <w:textAlignment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①项目是否有绩效目标；</w:t>
            </w:r>
            <w:r>
              <w:rPr>
                <w:rFonts w:ascii="宋体" w:eastAsia="宋体" w:hAnsi="宋体" w:cs="宋体" w:hint="eastAsia"/>
                <w:color w:val="000000"/>
                <w:kern w:val="0"/>
                <w:sz w:val="18"/>
                <w:szCs w:val="18"/>
              </w:rPr>
              <w:br/>
              <w:t>②项目绩效目标与实际工作内容是否具有相关性；</w:t>
            </w:r>
          </w:p>
          <w:p w:rsidR="00BF62E1" w:rsidRDefault="00BF62E1" w:rsidP="002F76B7">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③项目预期产出效益和效果是否符合正常的业绩水平</w:t>
            </w:r>
            <w:r>
              <w:rPr>
                <w:rFonts w:ascii="宋体" w:eastAsia="宋体" w:hAnsi="宋体" w:cs="宋体" w:hint="eastAsia"/>
                <w:color w:val="000000"/>
                <w:kern w:val="0"/>
                <w:sz w:val="18"/>
                <w:szCs w:val="18"/>
              </w:rPr>
              <w:br/>
              <w:t>④是否与预算确定的项目投资额或资金量相匹配。</w:t>
            </w:r>
          </w:p>
        </w:tc>
      </w:tr>
      <w:tr w:rsidR="00BF62E1" w:rsidTr="00F757EE">
        <w:trPr>
          <w:trHeight w:val="486"/>
        </w:trPr>
        <w:tc>
          <w:tcPr>
            <w:tcW w:w="522" w:type="pct"/>
            <w:vMerge/>
            <w:tcBorders>
              <w:tl2br w:val="nil"/>
              <w:tr2bl w:val="nil"/>
            </w:tcBorders>
            <w:vAlign w:val="center"/>
          </w:tcPr>
          <w:p w:rsidR="00BF62E1" w:rsidRDefault="00BF62E1" w:rsidP="002F76B7">
            <w:pPr>
              <w:jc w:val="center"/>
              <w:rPr>
                <w:rFonts w:ascii="宋体" w:eastAsia="宋体" w:hAnsi="宋体" w:cs="宋体"/>
                <w:color w:val="000000"/>
                <w:sz w:val="18"/>
                <w:szCs w:val="18"/>
              </w:rPr>
            </w:pPr>
          </w:p>
        </w:tc>
        <w:tc>
          <w:tcPr>
            <w:tcW w:w="841" w:type="pct"/>
            <w:vMerge/>
            <w:tcBorders>
              <w:tl2br w:val="nil"/>
              <w:tr2bl w:val="nil"/>
            </w:tcBorders>
            <w:vAlign w:val="center"/>
          </w:tcPr>
          <w:p w:rsidR="00BF62E1" w:rsidRDefault="00BF62E1" w:rsidP="002F76B7">
            <w:pPr>
              <w:jc w:val="center"/>
              <w:rPr>
                <w:rFonts w:ascii="宋体" w:eastAsia="宋体" w:hAnsi="宋体" w:cs="宋体"/>
                <w:color w:val="000000"/>
                <w:sz w:val="18"/>
                <w:szCs w:val="18"/>
              </w:rPr>
            </w:pPr>
          </w:p>
        </w:tc>
        <w:tc>
          <w:tcPr>
            <w:tcW w:w="836" w:type="pct"/>
            <w:tcBorders>
              <w:tl2br w:val="nil"/>
              <w:tr2bl w:val="nil"/>
            </w:tcBorders>
            <w:vAlign w:val="center"/>
          </w:tcPr>
          <w:p w:rsidR="00BF62E1" w:rsidRDefault="00BF62E1" w:rsidP="002F76B7">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绩效指标明确性</w:t>
            </w:r>
          </w:p>
        </w:tc>
        <w:tc>
          <w:tcPr>
            <w:tcW w:w="357" w:type="pct"/>
            <w:tcBorders>
              <w:tl2br w:val="nil"/>
              <w:tr2bl w:val="nil"/>
            </w:tcBorders>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5</w:t>
            </w:r>
          </w:p>
        </w:tc>
        <w:tc>
          <w:tcPr>
            <w:tcW w:w="2443" w:type="pct"/>
            <w:tcBorders>
              <w:tl2br w:val="nil"/>
              <w:tr2bl w:val="nil"/>
            </w:tcBorders>
            <w:vAlign w:val="center"/>
          </w:tcPr>
          <w:p w:rsidR="00BF62E1" w:rsidRDefault="00BF62E1" w:rsidP="002F76B7">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①是否将项目绩效目标细化分解为具体的绩效指标;</w:t>
            </w:r>
            <w:r>
              <w:rPr>
                <w:rFonts w:ascii="宋体" w:eastAsia="宋体" w:hAnsi="宋体" w:cs="宋体" w:hint="eastAsia"/>
                <w:color w:val="000000"/>
                <w:kern w:val="0"/>
                <w:sz w:val="18"/>
                <w:szCs w:val="18"/>
              </w:rPr>
              <w:br/>
              <w:t>②是否通过清晰、可衡量的指标值予以体现；</w:t>
            </w:r>
            <w:r>
              <w:rPr>
                <w:rFonts w:ascii="宋体" w:eastAsia="宋体" w:hAnsi="宋体" w:cs="宋体" w:hint="eastAsia"/>
                <w:color w:val="000000"/>
                <w:kern w:val="0"/>
                <w:sz w:val="18"/>
                <w:szCs w:val="18"/>
              </w:rPr>
              <w:br/>
              <w:t>③是否与项目目标任务数或计划数相对应。</w:t>
            </w:r>
          </w:p>
        </w:tc>
      </w:tr>
      <w:tr w:rsidR="00BF62E1" w:rsidTr="00F757EE">
        <w:trPr>
          <w:trHeight w:val="782"/>
        </w:trPr>
        <w:tc>
          <w:tcPr>
            <w:tcW w:w="522" w:type="pct"/>
            <w:vMerge/>
            <w:tcBorders>
              <w:tl2br w:val="nil"/>
              <w:tr2bl w:val="nil"/>
            </w:tcBorders>
            <w:vAlign w:val="center"/>
          </w:tcPr>
          <w:p w:rsidR="00BF62E1" w:rsidRDefault="00BF62E1" w:rsidP="002F76B7">
            <w:pPr>
              <w:jc w:val="center"/>
              <w:rPr>
                <w:rFonts w:ascii="宋体" w:eastAsia="宋体" w:hAnsi="宋体" w:cs="宋体"/>
                <w:color w:val="000000"/>
                <w:sz w:val="18"/>
                <w:szCs w:val="18"/>
              </w:rPr>
            </w:pPr>
          </w:p>
        </w:tc>
        <w:tc>
          <w:tcPr>
            <w:tcW w:w="841" w:type="pct"/>
            <w:vMerge w:val="restart"/>
            <w:tcBorders>
              <w:tl2br w:val="nil"/>
              <w:tr2bl w:val="nil"/>
            </w:tcBorders>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资金投入（10分）</w:t>
            </w:r>
          </w:p>
        </w:tc>
        <w:tc>
          <w:tcPr>
            <w:tcW w:w="836" w:type="pct"/>
            <w:tcBorders>
              <w:tl2br w:val="nil"/>
              <w:tr2bl w:val="nil"/>
            </w:tcBorders>
            <w:vAlign w:val="center"/>
          </w:tcPr>
          <w:p w:rsidR="00BF62E1" w:rsidRDefault="00BF62E1" w:rsidP="002F76B7">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预算编制科学性</w:t>
            </w:r>
          </w:p>
        </w:tc>
        <w:tc>
          <w:tcPr>
            <w:tcW w:w="357" w:type="pct"/>
            <w:tcBorders>
              <w:tl2br w:val="nil"/>
              <w:tr2bl w:val="nil"/>
            </w:tcBorders>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5</w:t>
            </w:r>
          </w:p>
        </w:tc>
        <w:tc>
          <w:tcPr>
            <w:tcW w:w="2443" w:type="pct"/>
            <w:tcBorders>
              <w:tl2br w:val="nil"/>
              <w:tr2bl w:val="nil"/>
            </w:tcBorders>
            <w:vAlign w:val="center"/>
          </w:tcPr>
          <w:p w:rsidR="00BF62E1" w:rsidRDefault="00BF62E1" w:rsidP="002F76B7">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①预算编制是否经过科学论证；</w:t>
            </w:r>
            <w:r>
              <w:rPr>
                <w:rFonts w:ascii="宋体" w:eastAsia="宋体" w:hAnsi="宋体" w:cs="宋体" w:hint="eastAsia"/>
                <w:color w:val="000000"/>
                <w:kern w:val="0"/>
                <w:sz w:val="18"/>
                <w:szCs w:val="18"/>
              </w:rPr>
              <w:br/>
              <w:t>②预算内容与项目内容是否匹配；</w:t>
            </w:r>
            <w:r>
              <w:rPr>
                <w:rFonts w:ascii="宋体" w:eastAsia="宋体" w:hAnsi="宋体" w:cs="宋体" w:hint="eastAsia"/>
                <w:color w:val="000000"/>
                <w:kern w:val="0"/>
                <w:sz w:val="18"/>
                <w:szCs w:val="18"/>
              </w:rPr>
              <w:br/>
              <w:t>③预算额度测算依据是否充分，是否按照标准编制；④预算确定的项目投资额或资金量是否与工作任务相匹配。</w:t>
            </w:r>
          </w:p>
        </w:tc>
      </w:tr>
      <w:tr w:rsidR="00BF62E1" w:rsidTr="00F757EE">
        <w:trPr>
          <w:trHeight w:val="182"/>
        </w:trPr>
        <w:tc>
          <w:tcPr>
            <w:tcW w:w="522" w:type="pct"/>
            <w:vMerge/>
            <w:tcBorders>
              <w:tl2br w:val="nil"/>
              <w:tr2bl w:val="nil"/>
            </w:tcBorders>
            <w:vAlign w:val="center"/>
          </w:tcPr>
          <w:p w:rsidR="00BF62E1" w:rsidRDefault="00BF62E1" w:rsidP="002F76B7">
            <w:pPr>
              <w:jc w:val="center"/>
              <w:rPr>
                <w:rFonts w:ascii="宋体" w:eastAsia="宋体" w:hAnsi="宋体" w:cs="宋体"/>
                <w:color w:val="000000"/>
                <w:sz w:val="18"/>
                <w:szCs w:val="18"/>
              </w:rPr>
            </w:pPr>
          </w:p>
        </w:tc>
        <w:tc>
          <w:tcPr>
            <w:tcW w:w="841" w:type="pct"/>
            <w:vMerge/>
            <w:tcBorders>
              <w:tl2br w:val="nil"/>
              <w:tr2bl w:val="nil"/>
            </w:tcBorders>
            <w:vAlign w:val="center"/>
          </w:tcPr>
          <w:p w:rsidR="00BF62E1" w:rsidRDefault="00BF62E1" w:rsidP="002F76B7">
            <w:pPr>
              <w:jc w:val="center"/>
              <w:rPr>
                <w:rFonts w:ascii="宋体" w:eastAsia="宋体" w:hAnsi="宋体" w:cs="宋体"/>
                <w:color w:val="000000"/>
                <w:sz w:val="18"/>
                <w:szCs w:val="18"/>
              </w:rPr>
            </w:pPr>
          </w:p>
        </w:tc>
        <w:tc>
          <w:tcPr>
            <w:tcW w:w="836" w:type="pct"/>
            <w:tcBorders>
              <w:tl2br w:val="nil"/>
              <w:tr2bl w:val="nil"/>
            </w:tcBorders>
            <w:vAlign w:val="center"/>
          </w:tcPr>
          <w:p w:rsidR="00BF62E1" w:rsidRDefault="00BF62E1" w:rsidP="002F76B7">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资金分配合理性</w:t>
            </w:r>
          </w:p>
        </w:tc>
        <w:tc>
          <w:tcPr>
            <w:tcW w:w="357" w:type="pct"/>
            <w:tcBorders>
              <w:tl2br w:val="nil"/>
              <w:tr2bl w:val="nil"/>
            </w:tcBorders>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5</w:t>
            </w:r>
          </w:p>
        </w:tc>
        <w:tc>
          <w:tcPr>
            <w:tcW w:w="2443" w:type="pct"/>
            <w:tcBorders>
              <w:tl2br w:val="nil"/>
              <w:tr2bl w:val="nil"/>
            </w:tcBorders>
            <w:vAlign w:val="center"/>
          </w:tcPr>
          <w:p w:rsidR="00BF62E1" w:rsidRDefault="00BF62E1" w:rsidP="002F76B7">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①预算资金分配依据是否充分；</w:t>
            </w:r>
            <w:r>
              <w:rPr>
                <w:rFonts w:ascii="宋体" w:eastAsia="宋体" w:hAnsi="宋体" w:cs="宋体" w:hint="eastAsia"/>
                <w:color w:val="000000"/>
                <w:kern w:val="0"/>
                <w:sz w:val="18"/>
                <w:szCs w:val="18"/>
              </w:rPr>
              <w:br/>
              <w:t>②资金分配额度是否合理，与项目单位或地方实际是否相适应。</w:t>
            </w:r>
          </w:p>
        </w:tc>
      </w:tr>
      <w:tr w:rsidR="00BF62E1" w:rsidTr="00F757EE">
        <w:trPr>
          <w:trHeight w:val="90"/>
        </w:trPr>
        <w:tc>
          <w:tcPr>
            <w:tcW w:w="522" w:type="pct"/>
            <w:vMerge w:val="restart"/>
            <w:tcBorders>
              <w:tl2br w:val="nil"/>
              <w:tr2bl w:val="nil"/>
            </w:tcBorders>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项目过程（25分）</w:t>
            </w:r>
          </w:p>
        </w:tc>
        <w:tc>
          <w:tcPr>
            <w:tcW w:w="841" w:type="pct"/>
            <w:vMerge w:val="restart"/>
            <w:tcBorders>
              <w:tl2br w:val="nil"/>
              <w:tr2bl w:val="nil"/>
            </w:tcBorders>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资金管理（15分）</w:t>
            </w:r>
          </w:p>
        </w:tc>
        <w:tc>
          <w:tcPr>
            <w:tcW w:w="836" w:type="pct"/>
            <w:tcBorders>
              <w:tl2br w:val="nil"/>
              <w:tr2bl w:val="nil"/>
            </w:tcBorders>
            <w:vAlign w:val="center"/>
          </w:tcPr>
          <w:p w:rsidR="00BF62E1" w:rsidRDefault="00BF62E1" w:rsidP="002F76B7">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资金到位率</w:t>
            </w:r>
          </w:p>
        </w:tc>
        <w:tc>
          <w:tcPr>
            <w:tcW w:w="357" w:type="pct"/>
            <w:tcBorders>
              <w:tl2br w:val="nil"/>
              <w:tr2bl w:val="nil"/>
            </w:tcBorders>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5</w:t>
            </w:r>
          </w:p>
        </w:tc>
        <w:tc>
          <w:tcPr>
            <w:tcW w:w="2443" w:type="pct"/>
            <w:tcBorders>
              <w:tl2br w:val="nil"/>
              <w:tr2bl w:val="nil"/>
            </w:tcBorders>
            <w:vAlign w:val="center"/>
          </w:tcPr>
          <w:p w:rsidR="00BF62E1" w:rsidRDefault="00BF62E1" w:rsidP="002F76B7">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资金到位率=(实际到位资金/预算资金)×100%实际到位资金：</w:t>
            </w:r>
          </w:p>
        </w:tc>
      </w:tr>
      <w:tr w:rsidR="00BF62E1" w:rsidTr="00F757EE">
        <w:trPr>
          <w:trHeight w:val="314"/>
        </w:trPr>
        <w:tc>
          <w:tcPr>
            <w:tcW w:w="522" w:type="pct"/>
            <w:vMerge/>
            <w:tcBorders>
              <w:tl2br w:val="nil"/>
              <w:tr2bl w:val="nil"/>
            </w:tcBorders>
            <w:vAlign w:val="center"/>
          </w:tcPr>
          <w:p w:rsidR="00BF62E1" w:rsidRDefault="00BF62E1" w:rsidP="002F76B7">
            <w:pPr>
              <w:jc w:val="center"/>
              <w:rPr>
                <w:rFonts w:ascii="宋体" w:eastAsia="宋体" w:hAnsi="宋体" w:cs="宋体"/>
                <w:color w:val="000000"/>
                <w:sz w:val="18"/>
                <w:szCs w:val="18"/>
              </w:rPr>
            </w:pPr>
          </w:p>
        </w:tc>
        <w:tc>
          <w:tcPr>
            <w:tcW w:w="841" w:type="pct"/>
            <w:vMerge/>
            <w:tcBorders>
              <w:tl2br w:val="nil"/>
              <w:tr2bl w:val="nil"/>
            </w:tcBorders>
            <w:vAlign w:val="center"/>
          </w:tcPr>
          <w:p w:rsidR="00BF62E1" w:rsidRDefault="00BF62E1" w:rsidP="002F76B7">
            <w:pPr>
              <w:jc w:val="center"/>
              <w:rPr>
                <w:rFonts w:ascii="宋体" w:eastAsia="宋体" w:hAnsi="宋体" w:cs="宋体"/>
                <w:color w:val="000000"/>
                <w:sz w:val="18"/>
                <w:szCs w:val="18"/>
              </w:rPr>
            </w:pPr>
          </w:p>
        </w:tc>
        <w:tc>
          <w:tcPr>
            <w:tcW w:w="836" w:type="pct"/>
            <w:tcBorders>
              <w:tl2br w:val="nil"/>
              <w:tr2bl w:val="nil"/>
            </w:tcBorders>
            <w:vAlign w:val="center"/>
          </w:tcPr>
          <w:p w:rsidR="00BF62E1" w:rsidRDefault="00BF62E1" w:rsidP="002F76B7">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预算执行率</w:t>
            </w:r>
          </w:p>
        </w:tc>
        <w:tc>
          <w:tcPr>
            <w:tcW w:w="357" w:type="pct"/>
            <w:tcBorders>
              <w:tl2br w:val="nil"/>
              <w:tr2bl w:val="nil"/>
            </w:tcBorders>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5</w:t>
            </w:r>
          </w:p>
        </w:tc>
        <w:tc>
          <w:tcPr>
            <w:tcW w:w="2443" w:type="pct"/>
            <w:tcBorders>
              <w:tl2br w:val="nil"/>
              <w:tr2bl w:val="nil"/>
            </w:tcBorders>
            <w:vAlign w:val="center"/>
          </w:tcPr>
          <w:p w:rsidR="00BF62E1" w:rsidRDefault="00BF62E1" w:rsidP="002F76B7">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预算执行率=(实际支出资金/实际到位资金)x 100%。。</w:t>
            </w:r>
          </w:p>
        </w:tc>
      </w:tr>
      <w:tr w:rsidR="00BF62E1" w:rsidTr="00F757EE">
        <w:trPr>
          <w:trHeight w:val="1440"/>
        </w:trPr>
        <w:tc>
          <w:tcPr>
            <w:tcW w:w="522" w:type="pct"/>
            <w:vMerge/>
            <w:tcBorders>
              <w:tl2br w:val="nil"/>
              <w:tr2bl w:val="nil"/>
            </w:tcBorders>
            <w:vAlign w:val="center"/>
          </w:tcPr>
          <w:p w:rsidR="00BF62E1" w:rsidRDefault="00BF62E1" w:rsidP="002F76B7">
            <w:pPr>
              <w:jc w:val="center"/>
              <w:rPr>
                <w:rFonts w:ascii="宋体" w:eastAsia="宋体" w:hAnsi="宋体" w:cs="宋体"/>
                <w:color w:val="000000"/>
                <w:sz w:val="18"/>
                <w:szCs w:val="18"/>
              </w:rPr>
            </w:pPr>
          </w:p>
        </w:tc>
        <w:tc>
          <w:tcPr>
            <w:tcW w:w="841" w:type="pct"/>
            <w:vMerge/>
            <w:tcBorders>
              <w:tl2br w:val="nil"/>
              <w:tr2bl w:val="nil"/>
            </w:tcBorders>
            <w:vAlign w:val="center"/>
          </w:tcPr>
          <w:p w:rsidR="00BF62E1" w:rsidRDefault="00BF62E1" w:rsidP="002F76B7">
            <w:pPr>
              <w:jc w:val="center"/>
              <w:rPr>
                <w:rFonts w:ascii="宋体" w:eastAsia="宋体" w:hAnsi="宋体" w:cs="宋体"/>
                <w:color w:val="000000"/>
                <w:sz w:val="18"/>
                <w:szCs w:val="18"/>
              </w:rPr>
            </w:pPr>
          </w:p>
        </w:tc>
        <w:tc>
          <w:tcPr>
            <w:tcW w:w="836" w:type="pct"/>
            <w:tcBorders>
              <w:tl2br w:val="nil"/>
              <w:tr2bl w:val="nil"/>
            </w:tcBorders>
            <w:vAlign w:val="center"/>
          </w:tcPr>
          <w:p w:rsidR="00BF62E1" w:rsidRDefault="00BF62E1" w:rsidP="002F76B7">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资金使用合规性</w:t>
            </w:r>
          </w:p>
        </w:tc>
        <w:tc>
          <w:tcPr>
            <w:tcW w:w="357" w:type="pct"/>
            <w:tcBorders>
              <w:tl2br w:val="nil"/>
              <w:tr2bl w:val="nil"/>
            </w:tcBorders>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5</w:t>
            </w:r>
          </w:p>
        </w:tc>
        <w:tc>
          <w:tcPr>
            <w:tcW w:w="2443" w:type="pct"/>
            <w:tcBorders>
              <w:tl2br w:val="nil"/>
              <w:tr2bl w:val="nil"/>
            </w:tcBorders>
            <w:vAlign w:val="center"/>
          </w:tcPr>
          <w:p w:rsidR="00BF62E1" w:rsidRDefault="00BF62E1" w:rsidP="002F76B7">
            <w:pPr>
              <w:widowControl/>
              <w:jc w:val="left"/>
              <w:textAlignment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①是否符合国家财经法规和财务管理制度以及有关专项资金管理办法的规定；</w:t>
            </w:r>
            <w:r>
              <w:rPr>
                <w:rFonts w:ascii="宋体" w:eastAsia="宋体" w:hAnsi="宋体" w:cs="宋体" w:hint="eastAsia"/>
                <w:color w:val="000000"/>
                <w:kern w:val="0"/>
                <w:sz w:val="18"/>
                <w:szCs w:val="18"/>
              </w:rPr>
              <w:br/>
              <w:t>②资金的拨付是否有完整的审批程序和手续；</w:t>
            </w:r>
          </w:p>
          <w:p w:rsidR="00BF62E1" w:rsidRDefault="00BF62E1" w:rsidP="002F76B7">
            <w:pPr>
              <w:widowControl/>
              <w:jc w:val="left"/>
              <w:textAlignment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③是否符合项目预算批复或合同规定的用途；</w:t>
            </w:r>
          </w:p>
          <w:p w:rsidR="00BF62E1" w:rsidRDefault="00BF62E1" w:rsidP="002F76B7">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④是否存在截留、挤占、挪用、虚列支出等情况</w:t>
            </w:r>
          </w:p>
        </w:tc>
      </w:tr>
      <w:tr w:rsidR="00BF62E1" w:rsidTr="00F757EE">
        <w:trPr>
          <w:trHeight w:val="720"/>
        </w:trPr>
        <w:tc>
          <w:tcPr>
            <w:tcW w:w="522" w:type="pct"/>
            <w:vMerge/>
            <w:tcBorders>
              <w:tl2br w:val="nil"/>
              <w:tr2bl w:val="nil"/>
            </w:tcBorders>
            <w:vAlign w:val="center"/>
          </w:tcPr>
          <w:p w:rsidR="00BF62E1" w:rsidRDefault="00BF62E1" w:rsidP="002F76B7">
            <w:pPr>
              <w:jc w:val="center"/>
              <w:rPr>
                <w:rFonts w:ascii="宋体" w:eastAsia="宋体" w:hAnsi="宋体" w:cs="宋体"/>
                <w:color w:val="000000"/>
                <w:sz w:val="18"/>
                <w:szCs w:val="18"/>
              </w:rPr>
            </w:pPr>
          </w:p>
        </w:tc>
        <w:tc>
          <w:tcPr>
            <w:tcW w:w="841" w:type="pct"/>
            <w:vMerge w:val="restart"/>
            <w:tcBorders>
              <w:tl2br w:val="nil"/>
              <w:tr2bl w:val="nil"/>
            </w:tcBorders>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组织实施（10分）</w:t>
            </w:r>
          </w:p>
        </w:tc>
        <w:tc>
          <w:tcPr>
            <w:tcW w:w="836" w:type="pct"/>
            <w:tcBorders>
              <w:tl2br w:val="nil"/>
              <w:tr2bl w:val="nil"/>
            </w:tcBorders>
            <w:vAlign w:val="center"/>
          </w:tcPr>
          <w:p w:rsidR="00BF62E1" w:rsidRDefault="00BF62E1" w:rsidP="002F76B7">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管理制度健全性</w:t>
            </w:r>
          </w:p>
        </w:tc>
        <w:tc>
          <w:tcPr>
            <w:tcW w:w="357" w:type="pct"/>
            <w:tcBorders>
              <w:tl2br w:val="nil"/>
              <w:tr2bl w:val="nil"/>
            </w:tcBorders>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5</w:t>
            </w:r>
          </w:p>
        </w:tc>
        <w:tc>
          <w:tcPr>
            <w:tcW w:w="2443" w:type="pct"/>
            <w:tcBorders>
              <w:tl2br w:val="nil"/>
              <w:tr2bl w:val="nil"/>
            </w:tcBorders>
            <w:vAlign w:val="center"/>
          </w:tcPr>
          <w:p w:rsidR="00BF62E1" w:rsidRDefault="00BF62E1" w:rsidP="002F76B7">
            <w:pPr>
              <w:widowControl/>
              <w:jc w:val="left"/>
              <w:textAlignment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①是否已制定或具有相应的财务和业务管理制度；</w:t>
            </w:r>
          </w:p>
          <w:p w:rsidR="00BF62E1" w:rsidRDefault="00BF62E1" w:rsidP="002F76B7">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②财务和业务管理制度是否合法、合规、完整。</w:t>
            </w:r>
          </w:p>
        </w:tc>
      </w:tr>
      <w:tr w:rsidR="00BF62E1" w:rsidTr="00F757EE">
        <w:trPr>
          <w:trHeight w:val="1440"/>
        </w:trPr>
        <w:tc>
          <w:tcPr>
            <w:tcW w:w="522" w:type="pct"/>
            <w:vMerge/>
            <w:tcBorders>
              <w:tl2br w:val="nil"/>
              <w:tr2bl w:val="nil"/>
            </w:tcBorders>
            <w:vAlign w:val="center"/>
          </w:tcPr>
          <w:p w:rsidR="00BF62E1" w:rsidRDefault="00BF62E1" w:rsidP="002F76B7">
            <w:pPr>
              <w:jc w:val="center"/>
              <w:rPr>
                <w:rFonts w:ascii="宋体" w:eastAsia="宋体" w:hAnsi="宋体" w:cs="宋体"/>
                <w:color w:val="000000"/>
                <w:sz w:val="18"/>
                <w:szCs w:val="18"/>
              </w:rPr>
            </w:pPr>
          </w:p>
        </w:tc>
        <w:tc>
          <w:tcPr>
            <w:tcW w:w="841" w:type="pct"/>
            <w:vMerge/>
            <w:tcBorders>
              <w:tl2br w:val="nil"/>
              <w:tr2bl w:val="nil"/>
            </w:tcBorders>
            <w:vAlign w:val="center"/>
          </w:tcPr>
          <w:p w:rsidR="00BF62E1" w:rsidRDefault="00BF62E1" w:rsidP="002F76B7">
            <w:pPr>
              <w:jc w:val="center"/>
              <w:rPr>
                <w:rFonts w:ascii="宋体" w:eastAsia="宋体" w:hAnsi="宋体" w:cs="宋体"/>
                <w:color w:val="000000"/>
                <w:sz w:val="18"/>
                <w:szCs w:val="18"/>
              </w:rPr>
            </w:pPr>
          </w:p>
        </w:tc>
        <w:tc>
          <w:tcPr>
            <w:tcW w:w="836" w:type="pct"/>
            <w:tcBorders>
              <w:tl2br w:val="nil"/>
              <w:tr2bl w:val="nil"/>
            </w:tcBorders>
            <w:vAlign w:val="center"/>
          </w:tcPr>
          <w:p w:rsidR="00BF62E1" w:rsidRDefault="00BF62E1" w:rsidP="002F76B7">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制度实施有效性</w:t>
            </w:r>
          </w:p>
        </w:tc>
        <w:tc>
          <w:tcPr>
            <w:tcW w:w="357" w:type="pct"/>
            <w:tcBorders>
              <w:tl2br w:val="nil"/>
              <w:tr2bl w:val="nil"/>
            </w:tcBorders>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5</w:t>
            </w:r>
          </w:p>
        </w:tc>
        <w:tc>
          <w:tcPr>
            <w:tcW w:w="2443" w:type="pct"/>
            <w:tcBorders>
              <w:tl2br w:val="nil"/>
              <w:tr2bl w:val="nil"/>
            </w:tcBorders>
            <w:vAlign w:val="center"/>
          </w:tcPr>
          <w:p w:rsidR="00BF62E1" w:rsidRDefault="00BF62E1" w:rsidP="002F76B7">
            <w:pPr>
              <w:widowControl/>
              <w:jc w:val="left"/>
              <w:textAlignment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①是否遵守相关法律法规和相关管理规定；</w:t>
            </w:r>
          </w:p>
          <w:p w:rsidR="00BF62E1" w:rsidRDefault="00BF62E1" w:rsidP="002F76B7">
            <w:pPr>
              <w:widowControl/>
              <w:jc w:val="left"/>
              <w:textAlignment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②项目调整及支出调整手续是否完备；</w:t>
            </w:r>
          </w:p>
          <w:p w:rsidR="00BF62E1" w:rsidRDefault="00BF62E1" w:rsidP="002F76B7">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③项目合同书、验收报告等资料是否齐全并及时归档；</w:t>
            </w:r>
            <w:r>
              <w:rPr>
                <w:rFonts w:ascii="宋体" w:eastAsia="宋体" w:hAnsi="宋体" w:cs="宋体" w:hint="eastAsia"/>
                <w:color w:val="000000"/>
                <w:kern w:val="0"/>
                <w:sz w:val="18"/>
                <w:szCs w:val="18"/>
              </w:rPr>
              <w:br/>
              <w:t>④项目实施的人员条件、场地设备、信息支撑等是否落实到位。</w:t>
            </w:r>
          </w:p>
        </w:tc>
      </w:tr>
      <w:tr w:rsidR="00BF62E1" w:rsidTr="00F757EE">
        <w:trPr>
          <w:trHeight w:val="90"/>
        </w:trPr>
        <w:tc>
          <w:tcPr>
            <w:tcW w:w="522" w:type="pct"/>
            <w:vMerge w:val="restart"/>
            <w:tcBorders>
              <w:tl2br w:val="nil"/>
              <w:tr2bl w:val="nil"/>
            </w:tcBorders>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项目产出（20分）</w:t>
            </w:r>
          </w:p>
        </w:tc>
        <w:tc>
          <w:tcPr>
            <w:tcW w:w="841" w:type="pct"/>
            <w:tcBorders>
              <w:tl2br w:val="nil"/>
              <w:tr2bl w:val="nil"/>
            </w:tcBorders>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产出数量（5分）</w:t>
            </w:r>
          </w:p>
        </w:tc>
        <w:tc>
          <w:tcPr>
            <w:tcW w:w="836" w:type="pct"/>
            <w:tcBorders>
              <w:tl2br w:val="nil"/>
              <w:tr2bl w:val="nil"/>
            </w:tcBorders>
            <w:vAlign w:val="center"/>
          </w:tcPr>
          <w:p w:rsidR="00BF62E1" w:rsidRDefault="00BF62E1" w:rsidP="002F76B7">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实际完成率</w:t>
            </w:r>
          </w:p>
        </w:tc>
        <w:tc>
          <w:tcPr>
            <w:tcW w:w="357" w:type="pct"/>
            <w:tcBorders>
              <w:tl2br w:val="nil"/>
              <w:tr2bl w:val="nil"/>
            </w:tcBorders>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5</w:t>
            </w:r>
          </w:p>
        </w:tc>
        <w:tc>
          <w:tcPr>
            <w:tcW w:w="2443" w:type="pct"/>
            <w:tcBorders>
              <w:tl2br w:val="nil"/>
              <w:tr2bl w:val="nil"/>
            </w:tcBorders>
            <w:vAlign w:val="center"/>
          </w:tcPr>
          <w:p w:rsidR="00BF62E1" w:rsidRDefault="00BF62E1" w:rsidP="002F76B7">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项目产出数量指标。</w:t>
            </w:r>
          </w:p>
        </w:tc>
      </w:tr>
      <w:tr w:rsidR="00BF62E1" w:rsidTr="00F757EE">
        <w:trPr>
          <w:trHeight w:val="90"/>
        </w:trPr>
        <w:tc>
          <w:tcPr>
            <w:tcW w:w="522" w:type="pct"/>
            <w:vMerge/>
            <w:tcBorders>
              <w:tl2br w:val="nil"/>
              <w:tr2bl w:val="nil"/>
            </w:tcBorders>
            <w:vAlign w:val="center"/>
          </w:tcPr>
          <w:p w:rsidR="00BF62E1" w:rsidRDefault="00BF62E1" w:rsidP="002F76B7">
            <w:pPr>
              <w:jc w:val="center"/>
              <w:rPr>
                <w:rFonts w:ascii="宋体" w:eastAsia="宋体" w:hAnsi="宋体" w:cs="宋体"/>
                <w:color w:val="000000"/>
                <w:sz w:val="18"/>
                <w:szCs w:val="18"/>
              </w:rPr>
            </w:pPr>
          </w:p>
        </w:tc>
        <w:tc>
          <w:tcPr>
            <w:tcW w:w="841" w:type="pct"/>
            <w:tcBorders>
              <w:tl2br w:val="nil"/>
              <w:tr2bl w:val="nil"/>
            </w:tcBorders>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产出质量（5分）</w:t>
            </w:r>
          </w:p>
        </w:tc>
        <w:tc>
          <w:tcPr>
            <w:tcW w:w="836" w:type="pct"/>
            <w:tcBorders>
              <w:tl2br w:val="nil"/>
              <w:tr2bl w:val="nil"/>
            </w:tcBorders>
            <w:vAlign w:val="center"/>
          </w:tcPr>
          <w:p w:rsidR="00BF62E1" w:rsidRDefault="00BF62E1" w:rsidP="002F76B7">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质量达标率</w:t>
            </w:r>
          </w:p>
        </w:tc>
        <w:tc>
          <w:tcPr>
            <w:tcW w:w="357" w:type="pct"/>
            <w:tcBorders>
              <w:tl2br w:val="nil"/>
              <w:tr2bl w:val="nil"/>
            </w:tcBorders>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5</w:t>
            </w:r>
          </w:p>
        </w:tc>
        <w:tc>
          <w:tcPr>
            <w:tcW w:w="2443" w:type="pct"/>
            <w:tcBorders>
              <w:tl2br w:val="nil"/>
              <w:tr2bl w:val="nil"/>
            </w:tcBorders>
            <w:vAlign w:val="center"/>
          </w:tcPr>
          <w:p w:rsidR="00BF62E1" w:rsidRDefault="00BF62E1" w:rsidP="002F76B7">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项目产出质量指标。</w:t>
            </w:r>
          </w:p>
        </w:tc>
      </w:tr>
      <w:tr w:rsidR="00BF62E1" w:rsidTr="00F757EE">
        <w:trPr>
          <w:trHeight w:val="90"/>
        </w:trPr>
        <w:tc>
          <w:tcPr>
            <w:tcW w:w="522" w:type="pct"/>
            <w:vMerge/>
            <w:tcBorders>
              <w:tl2br w:val="nil"/>
              <w:tr2bl w:val="nil"/>
            </w:tcBorders>
            <w:vAlign w:val="center"/>
          </w:tcPr>
          <w:p w:rsidR="00BF62E1" w:rsidRDefault="00BF62E1" w:rsidP="002F76B7">
            <w:pPr>
              <w:jc w:val="center"/>
              <w:rPr>
                <w:rFonts w:ascii="宋体" w:eastAsia="宋体" w:hAnsi="宋体" w:cs="宋体"/>
                <w:color w:val="000000"/>
                <w:sz w:val="18"/>
                <w:szCs w:val="18"/>
              </w:rPr>
            </w:pPr>
          </w:p>
        </w:tc>
        <w:tc>
          <w:tcPr>
            <w:tcW w:w="841" w:type="pct"/>
            <w:tcBorders>
              <w:tl2br w:val="nil"/>
              <w:tr2bl w:val="nil"/>
            </w:tcBorders>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产出时效（5分）</w:t>
            </w:r>
          </w:p>
        </w:tc>
        <w:tc>
          <w:tcPr>
            <w:tcW w:w="836" w:type="pct"/>
            <w:tcBorders>
              <w:tl2br w:val="nil"/>
              <w:tr2bl w:val="nil"/>
            </w:tcBorders>
            <w:vAlign w:val="center"/>
          </w:tcPr>
          <w:p w:rsidR="00BF62E1" w:rsidRDefault="00BF62E1" w:rsidP="002F76B7">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完成及时性</w:t>
            </w:r>
          </w:p>
        </w:tc>
        <w:tc>
          <w:tcPr>
            <w:tcW w:w="357" w:type="pct"/>
            <w:tcBorders>
              <w:tl2br w:val="nil"/>
              <w:tr2bl w:val="nil"/>
            </w:tcBorders>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5</w:t>
            </w:r>
          </w:p>
        </w:tc>
        <w:tc>
          <w:tcPr>
            <w:tcW w:w="2443" w:type="pct"/>
            <w:tcBorders>
              <w:tl2br w:val="nil"/>
              <w:tr2bl w:val="nil"/>
            </w:tcBorders>
            <w:vAlign w:val="center"/>
          </w:tcPr>
          <w:p w:rsidR="00BF62E1" w:rsidRDefault="00BF62E1" w:rsidP="002F76B7">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项目按照时间节点完成相关工作。</w:t>
            </w:r>
          </w:p>
        </w:tc>
      </w:tr>
      <w:tr w:rsidR="00BF62E1" w:rsidTr="00F757EE">
        <w:trPr>
          <w:trHeight w:val="90"/>
        </w:trPr>
        <w:tc>
          <w:tcPr>
            <w:tcW w:w="522" w:type="pct"/>
            <w:vMerge/>
            <w:tcBorders>
              <w:tl2br w:val="nil"/>
              <w:tr2bl w:val="nil"/>
            </w:tcBorders>
            <w:vAlign w:val="center"/>
          </w:tcPr>
          <w:p w:rsidR="00BF62E1" w:rsidRDefault="00BF62E1" w:rsidP="002F76B7">
            <w:pPr>
              <w:jc w:val="center"/>
              <w:rPr>
                <w:rFonts w:ascii="宋体" w:eastAsia="宋体" w:hAnsi="宋体" w:cs="宋体"/>
                <w:color w:val="000000"/>
                <w:sz w:val="18"/>
                <w:szCs w:val="18"/>
              </w:rPr>
            </w:pPr>
          </w:p>
        </w:tc>
        <w:tc>
          <w:tcPr>
            <w:tcW w:w="841" w:type="pct"/>
            <w:tcBorders>
              <w:tl2br w:val="nil"/>
              <w:tr2bl w:val="nil"/>
            </w:tcBorders>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产出成本（5分）</w:t>
            </w:r>
          </w:p>
        </w:tc>
        <w:tc>
          <w:tcPr>
            <w:tcW w:w="836" w:type="pct"/>
            <w:tcBorders>
              <w:tl2br w:val="nil"/>
              <w:tr2bl w:val="nil"/>
            </w:tcBorders>
            <w:vAlign w:val="center"/>
          </w:tcPr>
          <w:p w:rsidR="00BF62E1" w:rsidRDefault="00BF62E1" w:rsidP="002F76B7">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成本节约率</w:t>
            </w:r>
          </w:p>
        </w:tc>
        <w:tc>
          <w:tcPr>
            <w:tcW w:w="357" w:type="pct"/>
            <w:tcBorders>
              <w:tl2br w:val="nil"/>
              <w:tr2bl w:val="nil"/>
            </w:tcBorders>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5</w:t>
            </w:r>
          </w:p>
        </w:tc>
        <w:tc>
          <w:tcPr>
            <w:tcW w:w="2443" w:type="pct"/>
            <w:tcBorders>
              <w:tl2br w:val="nil"/>
              <w:tr2bl w:val="nil"/>
            </w:tcBorders>
            <w:vAlign w:val="center"/>
          </w:tcPr>
          <w:p w:rsidR="00BF62E1" w:rsidRDefault="00BF62E1" w:rsidP="002F76B7">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预算控制是否符合成本效益原则。</w:t>
            </w:r>
          </w:p>
        </w:tc>
      </w:tr>
      <w:tr w:rsidR="00BF62E1" w:rsidTr="00F757EE">
        <w:trPr>
          <w:trHeight w:val="90"/>
        </w:trPr>
        <w:tc>
          <w:tcPr>
            <w:tcW w:w="522" w:type="pct"/>
            <w:vMerge w:val="restart"/>
            <w:tcBorders>
              <w:tl2br w:val="nil"/>
              <w:tr2bl w:val="nil"/>
            </w:tcBorders>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项目效益（25分）</w:t>
            </w:r>
          </w:p>
        </w:tc>
        <w:tc>
          <w:tcPr>
            <w:tcW w:w="841" w:type="pct"/>
            <w:vMerge w:val="restart"/>
            <w:tcBorders>
              <w:tl2br w:val="nil"/>
              <w:tr2bl w:val="nil"/>
            </w:tcBorders>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项目效益（25分）</w:t>
            </w:r>
          </w:p>
        </w:tc>
        <w:tc>
          <w:tcPr>
            <w:tcW w:w="836" w:type="pct"/>
            <w:tcBorders>
              <w:tl2br w:val="nil"/>
              <w:tr2bl w:val="nil"/>
            </w:tcBorders>
            <w:vAlign w:val="center"/>
          </w:tcPr>
          <w:p w:rsidR="00BF62E1" w:rsidRDefault="00BF62E1" w:rsidP="002F76B7">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实施效益</w:t>
            </w:r>
          </w:p>
        </w:tc>
        <w:tc>
          <w:tcPr>
            <w:tcW w:w="357" w:type="pct"/>
            <w:tcBorders>
              <w:tl2br w:val="nil"/>
              <w:tr2bl w:val="nil"/>
            </w:tcBorders>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15</w:t>
            </w:r>
          </w:p>
        </w:tc>
        <w:tc>
          <w:tcPr>
            <w:tcW w:w="2443" w:type="pct"/>
            <w:tcBorders>
              <w:tl2br w:val="nil"/>
              <w:tr2bl w:val="nil"/>
            </w:tcBorders>
            <w:vAlign w:val="center"/>
          </w:tcPr>
          <w:p w:rsidR="00BF62E1" w:rsidRDefault="00BF62E1" w:rsidP="002F76B7">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安检安保人员在值勤安检过程中能够积极协助检察机关预防、减少违法犯罪，在安全检查等方面能起到积极作用。</w:t>
            </w:r>
          </w:p>
        </w:tc>
      </w:tr>
      <w:tr w:rsidR="00BF62E1" w:rsidTr="00F757EE">
        <w:trPr>
          <w:trHeight w:val="90"/>
        </w:trPr>
        <w:tc>
          <w:tcPr>
            <w:tcW w:w="522" w:type="pct"/>
            <w:vMerge/>
            <w:tcBorders>
              <w:tl2br w:val="nil"/>
              <w:tr2bl w:val="nil"/>
            </w:tcBorders>
            <w:vAlign w:val="center"/>
          </w:tcPr>
          <w:p w:rsidR="00BF62E1" w:rsidRDefault="00BF62E1" w:rsidP="002F76B7">
            <w:pPr>
              <w:jc w:val="center"/>
              <w:rPr>
                <w:rFonts w:ascii="宋体" w:eastAsia="宋体" w:hAnsi="宋体" w:cs="宋体"/>
                <w:color w:val="000000"/>
                <w:sz w:val="18"/>
                <w:szCs w:val="18"/>
              </w:rPr>
            </w:pPr>
          </w:p>
        </w:tc>
        <w:tc>
          <w:tcPr>
            <w:tcW w:w="841" w:type="pct"/>
            <w:vMerge/>
            <w:tcBorders>
              <w:tl2br w:val="nil"/>
              <w:tr2bl w:val="nil"/>
            </w:tcBorders>
            <w:vAlign w:val="center"/>
          </w:tcPr>
          <w:p w:rsidR="00BF62E1" w:rsidRDefault="00BF62E1" w:rsidP="002F76B7">
            <w:pPr>
              <w:jc w:val="center"/>
              <w:rPr>
                <w:rFonts w:ascii="宋体" w:eastAsia="宋体" w:hAnsi="宋体" w:cs="宋体"/>
                <w:color w:val="000000"/>
                <w:sz w:val="18"/>
                <w:szCs w:val="18"/>
              </w:rPr>
            </w:pPr>
          </w:p>
        </w:tc>
        <w:tc>
          <w:tcPr>
            <w:tcW w:w="836" w:type="pct"/>
            <w:tcBorders>
              <w:tl2br w:val="nil"/>
              <w:tr2bl w:val="nil"/>
            </w:tcBorders>
            <w:vAlign w:val="center"/>
          </w:tcPr>
          <w:p w:rsidR="00BF62E1" w:rsidRDefault="00BF62E1" w:rsidP="002F76B7">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满意度</w:t>
            </w:r>
          </w:p>
        </w:tc>
        <w:tc>
          <w:tcPr>
            <w:tcW w:w="357" w:type="pct"/>
            <w:tcBorders>
              <w:tl2br w:val="nil"/>
              <w:tr2bl w:val="nil"/>
            </w:tcBorders>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10</w:t>
            </w:r>
          </w:p>
        </w:tc>
        <w:tc>
          <w:tcPr>
            <w:tcW w:w="2443" w:type="pct"/>
            <w:tcBorders>
              <w:tl2br w:val="nil"/>
              <w:tr2bl w:val="nil"/>
            </w:tcBorders>
            <w:vAlign w:val="center"/>
          </w:tcPr>
          <w:p w:rsidR="00BF62E1" w:rsidRDefault="00BF62E1" w:rsidP="002F76B7">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院全体人员对安保安检服务工作满意达到95%。</w:t>
            </w:r>
          </w:p>
        </w:tc>
      </w:tr>
      <w:tr w:rsidR="00BF62E1" w:rsidTr="00F757EE">
        <w:trPr>
          <w:trHeight w:val="90"/>
        </w:trPr>
        <w:tc>
          <w:tcPr>
            <w:tcW w:w="2200" w:type="pct"/>
            <w:gridSpan w:val="3"/>
            <w:tcBorders>
              <w:tl2br w:val="nil"/>
              <w:tr2bl w:val="nil"/>
            </w:tcBorders>
            <w:vAlign w:val="center"/>
          </w:tcPr>
          <w:p w:rsidR="00BF62E1" w:rsidRDefault="00BF62E1" w:rsidP="002F76B7">
            <w:pPr>
              <w:widowControl/>
              <w:jc w:val="center"/>
              <w:textAlignment w:val="center"/>
              <w:rPr>
                <w:rFonts w:ascii="宋体" w:eastAsia="宋体" w:hAnsi="宋体" w:cs="宋体"/>
                <w:b/>
                <w:bCs/>
                <w:color w:val="000000"/>
                <w:sz w:val="18"/>
                <w:szCs w:val="18"/>
              </w:rPr>
            </w:pPr>
            <w:r>
              <w:rPr>
                <w:rFonts w:ascii="宋体" w:eastAsia="宋体" w:hAnsi="宋体" w:cs="宋体" w:hint="eastAsia"/>
                <w:b/>
                <w:bCs/>
                <w:color w:val="000000"/>
                <w:kern w:val="0"/>
                <w:sz w:val="18"/>
                <w:szCs w:val="18"/>
              </w:rPr>
              <w:t>合计</w:t>
            </w:r>
          </w:p>
        </w:tc>
        <w:tc>
          <w:tcPr>
            <w:tcW w:w="357" w:type="pct"/>
            <w:tcBorders>
              <w:tl2br w:val="nil"/>
              <w:tr2bl w:val="nil"/>
            </w:tcBorders>
            <w:vAlign w:val="center"/>
          </w:tcPr>
          <w:p w:rsidR="00BF62E1" w:rsidRDefault="00BF62E1" w:rsidP="002F76B7">
            <w:pPr>
              <w:widowControl/>
              <w:jc w:val="center"/>
              <w:textAlignment w:val="center"/>
              <w:rPr>
                <w:rFonts w:ascii="宋体" w:eastAsia="宋体" w:hAnsi="宋体" w:cs="宋体"/>
                <w:b/>
                <w:bCs/>
                <w:color w:val="000000"/>
                <w:sz w:val="18"/>
                <w:szCs w:val="18"/>
              </w:rPr>
            </w:pPr>
            <w:r>
              <w:rPr>
                <w:rFonts w:ascii="宋体" w:eastAsia="宋体" w:hAnsi="宋体" w:cs="宋体" w:hint="eastAsia"/>
                <w:b/>
                <w:bCs/>
                <w:color w:val="000000"/>
                <w:kern w:val="0"/>
                <w:sz w:val="18"/>
                <w:szCs w:val="18"/>
              </w:rPr>
              <w:t>100</w:t>
            </w:r>
          </w:p>
        </w:tc>
        <w:tc>
          <w:tcPr>
            <w:tcW w:w="2443" w:type="pct"/>
            <w:tcBorders>
              <w:tl2br w:val="nil"/>
              <w:tr2bl w:val="nil"/>
            </w:tcBorders>
            <w:vAlign w:val="center"/>
          </w:tcPr>
          <w:p w:rsidR="00BF62E1" w:rsidRDefault="00BF62E1" w:rsidP="002F76B7">
            <w:pPr>
              <w:jc w:val="center"/>
              <w:rPr>
                <w:rFonts w:ascii="宋体" w:eastAsia="宋体" w:hAnsi="宋体" w:cs="宋体"/>
                <w:b/>
                <w:bCs/>
                <w:color w:val="000000"/>
                <w:sz w:val="18"/>
                <w:szCs w:val="18"/>
              </w:rPr>
            </w:pPr>
          </w:p>
        </w:tc>
      </w:tr>
    </w:tbl>
    <w:p w:rsidR="00F757EE" w:rsidRPr="00F757EE" w:rsidRDefault="00F757EE" w:rsidP="00F757EE">
      <w:pPr>
        <w:spacing w:line="560" w:lineRule="exact"/>
        <w:ind w:firstLineChars="200" w:firstLine="640"/>
        <w:rPr>
          <w:rFonts w:ascii="仿宋_GB2312" w:hAnsi="仿宋_GB2312" w:cs="仿宋_GB2312"/>
          <w:kern w:val="0"/>
          <w:szCs w:val="32"/>
        </w:rPr>
      </w:pPr>
      <w:bookmarkStart w:id="64" w:name="_Toc9231"/>
      <w:bookmarkStart w:id="65" w:name="_Toc17742"/>
      <w:r>
        <w:rPr>
          <w:rFonts w:ascii="仿宋_GB2312" w:hAnsi="仿宋_GB2312" w:cs="仿宋_GB2312" w:hint="eastAsia"/>
          <w:kern w:val="0"/>
          <w:szCs w:val="32"/>
        </w:rPr>
        <w:t>本次绩效评价遵循“客观、公正、科学、规范”的原则，结合项目的特点，采用比较法、因素分析法等方法对该项目全面评价。</w:t>
      </w:r>
    </w:p>
    <w:p w:rsidR="00BF62E1" w:rsidRDefault="00F757EE" w:rsidP="00BF62E1">
      <w:pPr>
        <w:spacing w:line="560" w:lineRule="exact"/>
        <w:ind w:firstLineChars="200" w:firstLine="640"/>
        <w:outlineLvl w:val="1"/>
        <w:rPr>
          <w:rFonts w:ascii="楷体" w:eastAsia="楷体" w:hAnsi="楷体" w:cs="楷体"/>
          <w:szCs w:val="32"/>
        </w:rPr>
      </w:pPr>
      <w:r>
        <w:rPr>
          <w:rFonts w:ascii="楷体" w:eastAsia="楷体" w:hAnsi="楷体" w:cs="楷体" w:hint="eastAsia"/>
          <w:szCs w:val="32"/>
        </w:rPr>
        <w:t>（三</w:t>
      </w:r>
      <w:r w:rsidR="00BF62E1">
        <w:rPr>
          <w:rFonts w:ascii="楷体" w:eastAsia="楷体" w:hAnsi="楷体" w:cs="楷体" w:hint="eastAsia"/>
          <w:szCs w:val="32"/>
        </w:rPr>
        <w:t>）绩效评价工作过程</w:t>
      </w:r>
      <w:bookmarkEnd w:id="64"/>
      <w:bookmarkEnd w:id="65"/>
    </w:p>
    <w:p w:rsidR="00BF62E1" w:rsidRDefault="00BF62E1" w:rsidP="00BF62E1">
      <w:pPr>
        <w:spacing w:line="560" w:lineRule="exact"/>
        <w:ind w:firstLineChars="200" w:firstLine="640"/>
        <w:rPr>
          <w:rFonts w:ascii="仿宋_GB2312" w:hAnsi="仿宋_GB2312" w:cs="仿宋_GB2312"/>
          <w:kern w:val="0"/>
          <w:szCs w:val="32"/>
        </w:rPr>
      </w:pPr>
      <w:r>
        <w:rPr>
          <w:rFonts w:ascii="仿宋_GB2312" w:hAnsi="仿宋_GB2312" w:cs="仿宋_GB2312" w:hint="eastAsia"/>
          <w:kern w:val="0"/>
          <w:szCs w:val="32"/>
        </w:rPr>
        <w:t>政元事务所成立绩效评价工作小组，通过现场对项目资料逐一核实，了解项目资金的使用和取得的效益情况，最终根据评价前期入户调研及收集资料情况，结合工作小组的评价意见，完成绩效评价报告撰写。</w:t>
      </w:r>
    </w:p>
    <w:p w:rsidR="00BF62E1" w:rsidRDefault="00BF62E1" w:rsidP="00BF62E1">
      <w:pPr>
        <w:pStyle w:val="1"/>
        <w:spacing w:line="560" w:lineRule="exact"/>
        <w:ind w:firstLineChars="200" w:firstLine="640"/>
        <w:jc w:val="both"/>
        <w:rPr>
          <w:rFonts w:ascii="仿宋_GB2312" w:hAnsi="仿宋_GB2312" w:cs="仿宋_GB2312"/>
          <w:sz w:val="32"/>
          <w:szCs w:val="32"/>
          <w:highlight w:val="yellow"/>
          <w:lang w:val="en-US"/>
        </w:rPr>
      </w:pPr>
      <w:bookmarkStart w:id="66" w:name="_Toc6446"/>
      <w:bookmarkStart w:id="67" w:name="_Toc28098"/>
      <w:bookmarkStart w:id="68" w:name="_Toc9877"/>
      <w:bookmarkStart w:id="69" w:name="_Toc9762"/>
      <w:bookmarkStart w:id="70" w:name="_Toc31605"/>
      <w:bookmarkStart w:id="71" w:name="_Toc11675"/>
      <w:bookmarkStart w:id="72" w:name="_Toc16303"/>
      <w:r>
        <w:rPr>
          <w:rFonts w:ascii="黑体" w:eastAsia="黑体" w:hAnsi="黑体" w:cs="黑体" w:hint="eastAsia"/>
          <w:sz w:val="32"/>
          <w:szCs w:val="32"/>
        </w:rPr>
        <w:t>三、</w:t>
      </w:r>
      <w:r>
        <w:rPr>
          <w:rFonts w:ascii="黑体" w:eastAsia="黑体" w:hAnsi="黑体" w:cs="黑体" w:hint="eastAsia"/>
          <w:sz w:val="32"/>
          <w:szCs w:val="32"/>
          <w:lang w:val="en-US"/>
        </w:rPr>
        <w:t>综合评价情况及评价结论</w:t>
      </w:r>
      <w:bookmarkEnd w:id="66"/>
      <w:bookmarkEnd w:id="67"/>
    </w:p>
    <w:p w:rsidR="00BF62E1" w:rsidRDefault="00BF62E1" w:rsidP="00BF62E1">
      <w:pPr>
        <w:spacing w:line="560" w:lineRule="exact"/>
        <w:ind w:firstLineChars="200" w:firstLine="640"/>
        <w:rPr>
          <w:rFonts w:ascii="仿宋_GB2312" w:hAnsi="仿宋_GB2312" w:cs="仿宋_GB2312"/>
          <w:szCs w:val="32"/>
        </w:rPr>
      </w:pPr>
      <w:r>
        <w:rPr>
          <w:rFonts w:ascii="仿宋_GB2312" w:hAnsi="仿宋_GB2312" w:cs="仿宋_GB2312" w:hint="eastAsia"/>
          <w:bCs/>
          <w:szCs w:val="32"/>
        </w:rPr>
        <w:t>经评价，二分院2021年度“安保安检费用”项目，项目绩效评价综合得分91.99分，其中项目决策27.00分、项目过程24.99分、项目产出20.00分，项目效益20.00分，绩效评定结论为“优秀”。</w:t>
      </w:r>
    </w:p>
    <w:p w:rsidR="00BF62E1" w:rsidRDefault="00BF62E1" w:rsidP="00BF62E1">
      <w:pPr>
        <w:spacing w:line="560" w:lineRule="exact"/>
        <w:jc w:val="center"/>
        <w:rPr>
          <w:rFonts w:ascii="宋体" w:eastAsia="宋体" w:hAnsi="宋体" w:cs="宋体"/>
          <w:b/>
          <w:sz w:val="28"/>
          <w:szCs w:val="28"/>
        </w:rPr>
      </w:pPr>
      <w:r>
        <w:rPr>
          <w:rFonts w:ascii="宋体" w:eastAsia="宋体" w:hAnsi="宋体" w:cs="宋体" w:hint="eastAsia"/>
          <w:b/>
          <w:sz w:val="28"/>
          <w:szCs w:val="28"/>
        </w:rPr>
        <w:t xml:space="preserve"> 2021年度“安保安检费用”项目绩效评价结论一览表</w:t>
      </w:r>
    </w:p>
    <w:tbl>
      <w:tblPr>
        <w:tblW w:w="4998" w:type="pct"/>
        <w:tblBorders>
          <w:top w:val="double" w:sz="4" w:space="0" w:color="auto"/>
          <w:bottom w:val="double" w:sz="4" w:space="0" w:color="auto"/>
          <w:insideH w:val="single" w:sz="4" w:space="0" w:color="auto"/>
          <w:insideV w:val="single" w:sz="4" w:space="0" w:color="auto"/>
        </w:tblBorders>
        <w:shd w:val="clear" w:color="000000" w:fill="auto"/>
        <w:tblLook w:val="0000"/>
      </w:tblPr>
      <w:tblGrid>
        <w:gridCol w:w="3490"/>
        <w:gridCol w:w="2899"/>
        <w:gridCol w:w="2668"/>
      </w:tblGrid>
      <w:tr w:rsidR="00BF62E1" w:rsidTr="002F76B7">
        <w:trPr>
          <w:trHeight w:hRule="exact" w:val="567"/>
        </w:trPr>
        <w:tc>
          <w:tcPr>
            <w:tcW w:w="1926" w:type="pct"/>
            <w:tcBorders>
              <w:tl2br w:val="nil"/>
              <w:tr2bl w:val="nil"/>
            </w:tcBorders>
            <w:shd w:val="clear" w:color="000000" w:fill="auto"/>
            <w:vAlign w:val="center"/>
          </w:tcPr>
          <w:p w:rsidR="00BF62E1" w:rsidRDefault="00BF62E1" w:rsidP="002F76B7">
            <w:pPr>
              <w:widowControl/>
              <w:jc w:val="center"/>
              <w:rPr>
                <w:rFonts w:ascii="宋体" w:eastAsia="宋体" w:hAnsi="宋体" w:cs="宋体"/>
                <w:b/>
                <w:bCs/>
                <w:kern w:val="0"/>
                <w:sz w:val="24"/>
              </w:rPr>
            </w:pPr>
            <w:r>
              <w:rPr>
                <w:rFonts w:ascii="宋体" w:eastAsia="宋体" w:hAnsi="宋体" w:cs="宋体" w:hint="eastAsia"/>
                <w:b/>
                <w:bCs/>
                <w:kern w:val="0"/>
                <w:sz w:val="24"/>
              </w:rPr>
              <w:lastRenderedPageBreak/>
              <w:t>评价内容</w:t>
            </w:r>
          </w:p>
        </w:tc>
        <w:tc>
          <w:tcPr>
            <w:tcW w:w="1600" w:type="pct"/>
            <w:tcBorders>
              <w:tl2br w:val="nil"/>
              <w:tr2bl w:val="nil"/>
            </w:tcBorders>
            <w:shd w:val="clear" w:color="000000" w:fill="auto"/>
            <w:vAlign w:val="center"/>
          </w:tcPr>
          <w:p w:rsidR="00BF62E1" w:rsidRDefault="00BF62E1" w:rsidP="002F76B7">
            <w:pPr>
              <w:widowControl/>
              <w:jc w:val="center"/>
              <w:rPr>
                <w:rFonts w:ascii="宋体" w:eastAsia="宋体" w:hAnsi="宋体" w:cs="宋体"/>
                <w:b/>
                <w:bCs/>
                <w:kern w:val="0"/>
                <w:sz w:val="24"/>
              </w:rPr>
            </w:pPr>
            <w:r>
              <w:rPr>
                <w:rFonts w:ascii="宋体" w:eastAsia="宋体" w:hAnsi="宋体" w:cs="宋体" w:hint="eastAsia"/>
                <w:b/>
                <w:bCs/>
                <w:kern w:val="0"/>
                <w:sz w:val="24"/>
              </w:rPr>
              <w:t>分值</w:t>
            </w:r>
          </w:p>
        </w:tc>
        <w:tc>
          <w:tcPr>
            <w:tcW w:w="1473" w:type="pct"/>
            <w:tcBorders>
              <w:tl2br w:val="nil"/>
              <w:tr2bl w:val="nil"/>
            </w:tcBorders>
            <w:shd w:val="clear" w:color="000000" w:fill="auto"/>
            <w:vAlign w:val="center"/>
          </w:tcPr>
          <w:p w:rsidR="00BF62E1" w:rsidRDefault="00BF62E1" w:rsidP="002F76B7">
            <w:pPr>
              <w:widowControl/>
              <w:jc w:val="center"/>
              <w:rPr>
                <w:rFonts w:ascii="宋体" w:eastAsia="宋体" w:hAnsi="宋体" w:cs="宋体"/>
                <w:b/>
                <w:bCs/>
                <w:kern w:val="0"/>
                <w:sz w:val="24"/>
              </w:rPr>
            </w:pPr>
            <w:r>
              <w:rPr>
                <w:rFonts w:ascii="宋体" w:eastAsia="宋体" w:hAnsi="宋体" w:cs="宋体" w:hint="eastAsia"/>
                <w:b/>
                <w:bCs/>
                <w:kern w:val="0"/>
                <w:sz w:val="24"/>
              </w:rPr>
              <w:t>评价得分</w:t>
            </w:r>
          </w:p>
        </w:tc>
      </w:tr>
      <w:tr w:rsidR="00BF62E1" w:rsidTr="002F76B7">
        <w:trPr>
          <w:trHeight w:hRule="exact" w:val="567"/>
        </w:trPr>
        <w:tc>
          <w:tcPr>
            <w:tcW w:w="1926" w:type="pct"/>
            <w:tcBorders>
              <w:tl2br w:val="nil"/>
              <w:tr2bl w:val="nil"/>
            </w:tcBorders>
            <w:shd w:val="clear" w:color="000000" w:fill="auto"/>
            <w:vAlign w:val="center"/>
          </w:tcPr>
          <w:p w:rsidR="00BF62E1" w:rsidRDefault="00BF62E1" w:rsidP="002F76B7">
            <w:pPr>
              <w:widowControl/>
              <w:jc w:val="center"/>
              <w:rPr>
                <w:rFonts w:ascii="宋体" w:eastAsia="宋体" w:hAnsi="宋体" w:cs="宋体"/>
                <w:kern w:val="0"/>
                <w:sz w:val="24"/>
              </w:rPr>
            </w:pPr>
            <w:r>
              <w:rPr>
                <w:rFonts w:ascii="宋体" w:eastAsia="宋体" w:hAnsi="宋体" w:cs="宋体" w:hint="eastAsia"/>
                <w:kern w:val="0"/>
                <w:sz w:val="24"/>
              </w:rPr>
              <w:t>项目决策</w:t>
            </w:r>
          </w:p>
        </w:tc>
        <w:tc>
          <w:tcPr>
            <w:tcW w:w="1600" w:type="pct"/>
            <w:tcBorders>
              <w:tl2br w:val="nil"/>
              <w:tr2bl w:val="nil"/>
            </w:tcBorders>
            <w:shd w:val="clear" w:color="000000" w:fill="auto"/>
            <w:vAlign w:val="center"/>
          </w:tcPr>
          <w:p w:rsidR="00BF62E1" w:rsidRDefault="00BF62E1" w:rsidP="002F76B7">
            <w:pPr>
              <w:widowControl/>
              <w:jc w:val="center"/>
              <w:rPr>
                <w:rFonts w:ascii="宋体" w:eastAsia="宋体" w:hAnsi="宋体" w:cs="宋体"/>
                <w:kern w:val="0"/>
                <w:sz w:val="24"/>
              </w:rPr>
            </w:pPr>
            <w:r>
              <w:rPr>
                <w:rFonts w:ascii="宋体" w:eastAsia="宋体" w:hAnsi="宋体" w:cs="宋体" w:hint="eastAsia"/>
                <w:kern w:val="0"/>
                <w:sz w:val="24"/>
              </w:rPr>
              <w:t>30.00</w:t>
            </w:r>
          </w:p>
        </w:tc>
        <w:tc>
          <w:tcPr>
            <w:tcW w:w="1473" w:type="pct"/>
            <w:tcBorders>
              <w:tl2br w:val="nil"/>
              <w:tr2bl w:val="nil"/>
            </w:tcBorders>
            <w:shd w:val="clear" w:color="000000" w:fill="auto"/>
            <w:vAlign w:val="center"/>
          </w:tcPr>
          <w:p w:rsidR="00BF62E1" w:rsidRDefault="00BF62E1" w:rsidP="002F76B7">
            <w:pPr>
              <w:widowControl/>
              <w:jc w:val="center"/>
              <w:rPr>
                <w:rFonts w:ascii="宋体" w:eastAsia="宋体" w:hAnsi="宋体" w:cs="宋体"/>
                <w:kern w:val="0"/>
                <w:sz w:val="24"/>
              </w:rPr>
            </w:pPr>
            <w:r>
              <w:rPr>
                <w:rFonts w:ascii="宋体" w:eastAsia="宋体" w:hAnsi="宋体" w:cs="宋体" w:hint="eastAsia"/>
                <w:kern w:val="0"/>
                <w:sz w:val="24"/>
              </w:rPr>
              <w:t>27.00</w:t>
            </w:r>
          </w:p>
        </w:tc>
      </w:tr>
      <w:tr w:rsidR="00BF62E1" w:rsidTr="002F76B7">
        <w:trPr>
          <w:trHeight w:hRule="exact" w:val="567"/>
        </w:trPr>
        <w:tc>
          <w:tcPr>
            <w:tcW w:w="1926" w:type="pct"/>
            <w:tcBorders>
              <w:tl2br w:val="nil"/>
              <w:tr2bl w:val="nil"/>
            </w:tcBorders>
            <w:shd w:val="clear" w:color="000000" w:fill="auto"/>
            <w:vAlign w:val="center"/>
          </w:tcPr>
          <w:p w:rsidR="00BF62E1" w:rsidRDefault="00BF62E1" w:rsidP="002F76B7">
            <w:pPr>
              <w:widowControl/>
              <w:jc w:val="center"/>
              <w:rPr>
                <w:rFonts w:ascii="宋体" w:eastAsia="宋体" w:hAnsi="宋体" w:cs="宋体"/>
                <w:kern w:val="0"/>
                <w:sz w:val="24"/>
              </w:rPr>
            </w:pPr>
            <w:r>
              <w:rPr>
                <w:rFonts w:ascii="宋体" w:eastAsia="宋体" w:hAnsi="宋体" w:cs="宋体" w:hint="eastAsia"/>
                <w:kern w:val="0"/>
                <w:sz w:val="24"/>
              </w:rPr>
              <w:t>项目过程</w:t>
            </w:r>
          </w:p>
        </w:tc>
        <w:tc>
          <w:tcPr>
            <w:tcW w:w="1600" w:type="pct"/>
            <w:tcBorders>
              <w:tl2br w:val="nil"/>
              <w:tr2bl w:val="nil"/>
            </w:tcBorders>
            <w:shd w:val="clear" w:color="000000" w:fill="auto"/>
            <w:vAlign w:val="center"/>
          </w:tcPr>
          <w:p w:rsidR="00BF62E1" w:rsidRDefault="00BF62E1" w:rsidP="002F76B7">
            <w:pPr>
              <w:widowControl/>
              <w:jc w:val="center"/>
              <w:rPr>
                <w:rFonts w:ascii="宋体" w:eastAsia="宋体" w:hAnsi="宋体" w:cs="宋体"/>
                <w:kern w:val="0"/>
                <w:sz w:val="24"/>
              </w:rPr>
            </w:pPr>
            <w:r>
              <w:rPr>
                <w:rFonts w:ascii="宋体" w:eastAsia="宋体" w:hAnsi="宋体" w:cs="宋体" w:hint="eastAsia"/>
                <w:kern w:val="0"/>
                <w:sz w:val="24"/>
              </w:rPr>
              <w:t>25.00</w:t>
            </w:r>
          </w:p>
        </w:tc>
        <w:tc>
          <w:tcPr>
            <w:tcW w:w="1473" w:type="pct"/>
            <w:tcBorders>
              <w:tl2br w:val="nil"/>
              <w:tr2bl w:val="nil"/>
            </w:tcBorders>
            <w:shd w:val="clear" w:color="000000" w:fill="auto"/>
            <w:vAlign w:val="center"/>
          </w:tcPr>
          <w:p w:rsidR="00BF62E1" w:rsidRDefault="00BF62E1" w:rsidP="002F76B7">
            <w:pPr>
              <w:widowControl/>
              <w:jc w:val="center"/>
              <w:rPr>
                <w:rFonts w:ascii="宋体" w:eastAsia="宋体" w:hAnsi="宋体" w:cs="宋体"/>
                <w:kern w:val="0"/>
                <w:sz w:val="24"/>
              </w:rPr>
            </w:pPr>
            <w:r>
              <w:rPr>
                <w:rFonts w:ascii="宋体" w:eastAsia="宋体" w:hAnsi="宋体" w:cs="宋体" w:hint="eastAsia"/>
                <w:kern w:val="0"/>
                <w:sz w:val="24"/>
              </w:rPr>
              <w:t>24.99</w:t>
            </w:r>
          </w:p>
        </w:tc>
      </w:tr>
      <w:tr w:rsidR="00BF62E1" w:rsidTr="002F76B7">
        <w:trPr>
          <w:trHeight w:hRule="exact" w:val="567"/>
        </w:trPr>
        <w:tc>
          <w:tcPr>
            <w:tcW w:w="1926" w:type="pct"/>
            <w:tcBorders>
              <w:tl2br w:val="nil"/>
              <w:tr2bl w:val="nil"/>
            </w:tcBorders>
            <w:shd w:val="clear" w:color="000000" w:fill="auto"/>
            <w:vAlign w:val="center"/>
          </w:tcPr>
          <w:p w:rsidR="00BF62E1" w:rsidRDefault="00BF62E1" w:rsidP="002F76B7">
            <w:pPr>
              <w:widowControl/>
              <w:jc w:val="center"/>
              <w:rPr>
                <w:rFonts w:ascii="宋体" w:eastAsia="宋体" w:hAnsi="宋体" w:cs="宋体"/>
                <w:kern w:val="0"/>
                <w:sz w:val="24"/>
              </w:rPr>
            </w:pPr>
            <w:r>
              <w:rPr>
                <w:rFonts w:ascii="宋体" w:eastAsia="宋体" w:hAnsi="宋体" w:cs="宋体" w:hint="eastAsia"/>
                <w:kern w:val="0"/>
                <w:sz w:val="24"/>
              </w:rPr>
              <w:t>项目产出</w:t>
            </w:r>
          </w:p>
        </w:tc>
        <w:tc>
          <w:tcPr>
            <w:tcW w:w="1600" w:type="pct"/>
            <w:tcBorders>
              <w:tl2br w:val="nil"/>
              <w:tr2bl w:val="nil"/>
            </w:tcBorders>
            <w:shd w:val="clear" w:color="000000" w:fill="auto"/>
            <w:vAlign w:val="center"/>
          </w:tcPr>
          <w:p w:rsidR="00BF62E1" w:rsidRDefault="00BF62E1" w:rsidP="002F76B7">
            <w:pPr>
              <w:widowControl/>
              <w:jc w:val="center"/>
              <w:rPr>
                <w:rFonts w:ascii="宋体" w:eastAsia="宋体" w:hAnsi="宋体" w:cs="宋体"/>
                <w:kern w:val="0"/>
                <w:sz w:val="24"/>
              </w:rPr>
            </w:pPr>
            <w:r>
              <w:rPr>
                <w:rFonts w:ascii="宋体" w:eastAsia="宋体" w:hAnsi="宋体" w:cs="宋体" w:hint="eastAsia"/>
                <w:kern w:val="0"/>
                <w:sz w:val="24"/>
              </w:rPr>
              <w:t>20.00</w:t>
            </w:r>
          </w:p>
        </w:tc>
        <w:tc>
          <w:tcPr>
            <w:tcW w:w="1473" w:type="pct"/>
            <w:tcBorders>
              <w:tl2br w:val="nil"/>
              <w:tr2bl w:val="nil"/>
            </w:tcBorders>
            <w:shd w:val="clear" w:color="000000" w:fill="auto"/>
            <w:vAlign w:val="center"/>
          </w:tcPr>
          <w:p w:rsidR="00BF62E1" w:rsidRDefault="00BF62E1" w:rsidP="002F76B7">
            <w:pPr>
              <w:widowControl/>
              <w:jc w:val="center"/>
              <w:rPr>
                <w:rFonts w:ascii="宋体" w:eastAsia="宋体" w:hAnsi="宋体" w:cs="宋体"/>
                <w:kern w:val="0"/>
                <w:sz w:val="24"/>
              </w:rPr>
            </w:pPr>
            <w:r>
              <w:rPr>
                <w:rFonts w:ascii="宋体" w:eastAsia="宋体" w:hAnsi="宋体" w:cs="宋体" w:hint="eastAsia"/>
                <w:kern w:val="0"/>
                <w:sz w:val="24"/>
              </w:rPr>
              <w:t>20.00</w:t>
            </w:r>
          </w:p>
        </w:tc>
      </w:tr>
      <w:tr w:rsidR="00BF62E1" w:rsidTr="002F76B7">
        <w:trPr>
          <w:trHeight w:hRule="exact" w:val="567"/>
        </w:trPr>
        <w:tc>
          <w:tcPr>
            <w:tcW w:w="1926" w:type="pct"/>
            <w:tcBorders>
              <w:tl2br w:val="nil"/>
              <w:tr2bl w:val="nil"/>
            </w:tcBorders>
            <w:shd w:val="clear" w:color="000000" w:fill="auto"/>
            <w:vAlign w:val="center"/>
          </w:tcPr>
          <w:p w:rsidR="00BF62E1" w:rsidRDefault="00BF62E1" w:rsidP="002F76B7">
            <w:pPr>
              <w:widowControl/>
              <w:jc w:val="center"/>
              <w:rPr>
                <w:rFonts w:ascii="宋体" w:eastAsia="宋体" w:hAnsi="宋体" w:cs="宋体"/>
                <w:kern w:val="0"/>
                <w:sz w:val="24"/>
              </w:rPr>
            </w:pPr>
            <w:r>
              <w:rPr>
                <w:rFonts w:ascii="宋体" w:eastAsia="宋体" w:hAnsi="宋体" w:cs="宋体" w:hint="eastAsia"/>
                <w:bCs/>
                <w:sz w:val="24"/>
              </w:rPr>
              <w:t>项目效益</w:t>
            </w:r>
          </w:p>
        </w:tc>
        <w:tc>
          <w:tcPr>
            <w:tcW w:w="1600" w:type="pct"/>
            <w:tcBorders>
              <w:tl2br w:val="nil"/>
              <w:tr2bl w:val="nil"/>
            </w:tcBorders>
            <w:shd w:val="clear" w:color="000000" w:fill="auto"/>
            <w:vAlign w:val="center"/>
          </w:tcPr>
          <w:p w:rsidR="00BF62E1" w:rsidRDefault="00BF62E1" w:rsidP="002F76B7">
            <w:pPr>
              <w:widowControl/>
              <w:jc w:val="center"/>
              <w:rPr>
                <w:rFonts w:ascii="宋体" w:eastAsia="宋体" w:hAnsi="宋体" w:cs="宋体"/>
                <w:kern w:val="0"/>
                <w:sz w:val="24"/>
              </w:rPr>
            </w:pPr>
            <w:r>
              <w:rPr>
                <w:rFonts w:ascii="宋体" w:eastAsia="宋体" w:hAnsi="宋体" w:cs="宋体" w:hint="eastAsia"/>
                <w:kern w:val="0"/>
                <w:sz w:val="24"/>
              </w:rPr>
              <w:t>25.00</w:t>
            </w:r>
          </w:p>
        </w:tc>
        <w:tc>
          <w:tcPr>
            <w:tcW w:w="1473" w:type="pct"/>
            <w:tcBorders>
              <w:tl2br w:val="nil"/>
              <w:tr2bl w:val="nil"/>
            </w:tcBorders>
            <w:shd w:val="clear" w:color="000000" w:fill="auto"/>
            <w:vAlign w:val="center"/>
          </w:tcPr>
          <w:p w:rsidR="00BF62E1" w:rsidRDefault="00BF62E1" w:rsidP="002F76B7">
            <w:pPr>
              <w:widowControl/>
              <w:jc w:val="center"/>
              <w:rPr>
                <w:rFonts w:ascii="宋体" w:eastAsia="宋体" w:hAnsi="宋体" w:cs="宋体"/>
                <w:kern w:val="0"/>
                <w:sz w:val="24"/>
              </w:rPr>
            </w:pPr>
            <w:r>
              <w:rPr>
                <w:rFonts w:ascii="宋体" w:eastAsia="宋体" w:hAnsi="宋体" w:cs="宋体" w:hint="eastAsia"/>
                <w:kern w:val="0"/>
                <w:sz w:val="24"/>
              </w:rPr>
              <w:t>20.00</w:t>
            </w:r>
          </w:p>
        </w:tc>
      </w:tr>
      <w:tr w:rsidR="00BF62E1" w:rsidTr="002F76B7">
        <w:trPr>
          <w:trHeight w:hRule="exact" w:val="567"/>
        </w:trPr>
        <w:tc>
          <w:tcPr>
            <w:tcW w:w="1926" w:type="pct"/>
            <w:tcBorders>
              <w:tl2br w:val="nil"/>
              <w:tr2bl w:val="nil"/>
            </w:tcBorders>
            <w:shd w:val="clear" w:color="000000" w:fill="auto"/>
            <w:vAlign w:val="center"/>
          </w:tcPr>
          <w:p w:rsidR="00BF62E1" w:rsidRDefault="00BF62E1" w:rsidP="002F76B7">
            <w:pPr>
              <w:widowControl/>
              <w:jc w:val="center"/>
              <w:rPr>
                <w:rFonts w:ascii="宋体" w:eastAsia="宋体" w:hAnsi="宋体" w:cs="宋体"/>
                <w:kern w:val="0"/>
                <w:sz w:val="24"/>
              </w:rPr>
            </w:pPr>
            <w:r>
              <w:rPr>
                <w:rFonts w:ascii="宋体" w:eastAsia="宋体" w:hAnsi="宋体" w:cs="宋体" w:hint="eastAsia"/>
                <w:kern w:val="0"/>
                <w:sz w:val="24"/>
              </w:rPr>
              <w:t>综合得分</w:t>
            </w:r>
          </w:p>
        </w:tc>
        <w:tc>
          <w:tcPr>
            <w:tcW w:w="1600" w:type="pct"/>
            <w:tcBorders>
              <w:tl2br w:val="nil"/>
              <w:tr2bl w:val="nil"/>
            </w:tcBorders>
            <w:shd w:val="clear" w:color="000000" w:fill="auto"/>
            <w:vAlign w:val="center"/>
          </w:tcPr>
          <w:p w:rsidR="00BF62E1" w:rsidRDefault="00BF62E1" w:rsidP="002F76B7">
            <w:pPr>
              <w:widowControl/>
              <w:jc w:val="center"/>
              <w:rPr>
                <w:rFonts w:ascii="宋体" w:eastAsia="宋体" w:hAnsi="宋体" w:cs="宋体"/>
                <w:kern w:val="0"/>
                <w:sz w:val="24"/>
              </w:rPr>
            </w:pPr>
            <w:r>
              <w:rPr>
                <w:rFonts w:ascii="宋体" w:eastAsia="宋体" w:hAnsi="宋体" w:cs="宋体" w:hint="eastAsia"/>
                <w:kern w:val="0"/>
                <w:sz w:val="24"/>
              </w:rPr>
              <w:t>100.00</w:t>
            </w:r>
          </w:p>
        </w:tc>
        <w:tc>
          <w:tcPr>
            <w:tcW w:w="1473" w:type="pct"/>
            <w:tcBorders>
              <w:tl2br w:val="nil"/>
              <w:tr2bl w:val="nil"/>
            </w:tcBorders>
            <w:shd w:val="clear" w:color="000000" w:fill="auto"/>
            <w:vAlign w:val="center"/>
          </w:tcPr>
          <w:p w:rsidR="00BF62E1" w:rsidRDefault="00BF62E1" w:rsidP="002F76B7">
            <w:pPr>
              <w:widowControl/>
              <w:jc w:val="center"/>
              <w:rPr>
                <w:rFonts w:ascii="宋体" w:eastAsia="宋体" w:hAnsi="宋体" w:cs="宋体"/>
                <w:kern w:val="0"/>
                <w:sz w:val="24"/>
              </w:rPr>
            </w:pPr>
            <w:r>
              <w:rPr>
                <w:rFonts w:ascii="宋体" w:eastAsia="宋体" w:hAnsi="宋体" w:cs="宋体" w:hint="eastAsia"/>
                <w:kern w:val="0"/>
                <w:sz w:val="24"/>
              </w:rPr>
              <w:t>91.99</w:t>
            </w:r>
          </w:p>
        </w:tc>
      </w:tr>
      <w:tr w:rsidR="00BF62E1" w:rsidTr="002F76B7">
        <w:trPr>
          <w:trHeight w:hRule="exact" w:val="567"/>
        </w:trPr>
        <w:tc>
          <w:tcPr>
            <w:tcW w:w="1926" w:type="pct"/>
            <w:tcBorders>
              <w:tl2br w:val="nil"/>
              <w:tr2bl w:val="nil"/>
            </w:tcBorders>
            <w:shd w:val="clear" w:color="000000" w:fill="auto"/>
            <w:vAlign w:val="center"/>
          </w:tcPr>
          <w:p w:rsidR="00BF62E1" w:rsidRDefault="00BF62E1" w:rsidP="002F76B7">
            <w:pPr>
              <w:widowControl/>
              <w:jc w:val="center"/>
              <w:rPr>
                <w:rFonts w:ascii="宋体" w:eastAsia="宋体" w:hAnsi="宋体" w:cs="宋体"/>
                <w:kern w:val="0"/>
                <w:sz w:val="24"/>
              </w:rPr>
            </w:pPr>
            <w:r>
              <w:rPr>
                <w:rFonts w:ascii="宋体" w:eastAsia="宋体" w:hAnsi="宋体" w:cs="宋体" w:hint="eastAsia"/>
                <w:kern w:val="0"/>
                <w:sz w:val="24"/>
              </w:rPr>
              <w:t>绩效评定级别</w:t>
            </w:r>
          </w:p>
        </w:tc>
        <w:tc>
          <w:tcPr>
            <w:tcW w:w="3073" w:type="pct"/>
            <w:gridSpan w:val="2"/>
            <w:tcBorders>
              <w:tl2br w:val="nil"/>
              <w:tr2bl w:val="nil"/>
            </w:tcBorders>
            <w:shd w:val="clear" w:color="000000" w:fill="auto"/>
            <w:vAlign w:val="center"/>
          </w:tcPr>
          <w:p w:rsidR="00BF62E1" w:rsidRDefault="00BF62E1" w:rsidP="002F76B7">
            <w:pPr>
              <w:widowControl/>
              <w:jc w:val="center"/>
              <w:rPr>
                <w:rFonts w:ascii="宋体" w:eastAsia="宋体" w:hAnsi="宋体" w:cs="宋体"/>
                <w:kern w:val="0"/>
                <w:sz w:val="24"/>
              </w:rPr>
            </w:pPr>
            <w:r>
              <w:rPr>
                <w:rFonts w:ascii="宋体" w:eastAsia="宋体" w:hAnsi="宋体" w:cs="宋体" w:hint="eastAsia"/>
                <w:kern w:val="0"/>
                <w:sz w:val="24"/>
              </w:rPr>
              <w:t>优秀</w:t>
            </w:r>
          </w:p>
        </w:tc>
      </w:tr>
    </w:tbl>
    <w:p w:rsidR="00BF62E1" w:rsidRDefault="00BF62E1" w:rsidP="00BF62E1">
      <w:pPr>
        <w:pStyle w:val="1"/>
        <w:spacing w:line="560" w:lineRule="exact"/>
        <w:ind w:firstLineChars="200" w:firstLine="640"/>
        <w:jc w:val="both"/>
        <w:rPr>
          <w:rFonts w:ascii="黑体" w:eastAsia="黑体" w:hAnsi="黑体" w:cs="黑体"/>
          <w:sz w:val="32"/>
          <w:szCs w:val="32"/>
        </w:rPr>
      </w:pPr>
      <w:bookmarkStart w:id="73" w:name="_Toc23343"/>
      <w:bookmarkStart w:id="74" w:name="_Toc18659"/>
      <w:r>
        <w:rPr>
          <w:rFonts w:ascii="黑体" w:eastAsia="黑体" w:hAnsi="黑体" w:cs="黑体" w:hint="eastAsia"/>
          <w:sz w:val="32"/>
          <w:szCs w:val="32"/>
          <w:lang w:val="en-US"/>
        </w:rPr>
        <w:t>四</w:t>
      </w:r>
      <w:r>
        <w:rPr>
          <w:rFonts w:ascii="黑体" w:eastAsia="黑体" w:hAnsi="黑体" w:cs="黑体" w:hint="eastAsia"/>
          <w:sz w:val="32"/>
          <w:szCs w:val="32"/>
        </w:rPr>
        <w:t>、绩效评价</w:t>
      </w:r>
      <w:r>
        <w:rPr>
          <w:rFonts w:ascii="黑体" w:eastAsia="黑体" w:hAnsi="黑体" w:cs="黑体" w:hint="eastAsia"/>
          <w:sz w:val="32"/>
          <w:szCs w:val="32"/>
          <w:lang w:val="en-US"/>
        </w:rPr>
        <w:t>指标</w:t>
      </w:r>
      <w:r>
        <w:rPr>
          <w:rFonts w:ascii="黑体" w:eastAsia="黑体" w:hAnsi="黑体" w:cs="黑体" w:hint="eastAsia"/>
          <w:sz w:val="32"/>
          <w:szCs w:val="32"/>
        </w:rPr>
        <w:t>分析</w:t>
      </w:r>
      <w:bookmarkEnd w:id="68"/>
      <w:bookmarkEnd w:id="69"/>
      <w:bookmarkEnd w:id="70"/>
      <w:bookmarkEnd w:id="71"/>
      <w:bookmarkEnd w:id="72"/>
      <w:bookmarkEnd w:id="73"/>
      <w:bookmarkEnd w:id="74"/>
    </w:p>
    <w:p w:rsidR="00BF62E1" w:rsidRDefault="00BF62E1" w:rsidP="00BF62E1">
      <w:pPr>
        <w:pStyle w:val="20"/>
        <w:keepNext w:val="0"/>
        <w:keepLines w:val="0"/>
        <w:spacing w:before="0" w:after="0" w:line="560" w:lineRule="exact"/>
        <w:ind w:firstLineChars="200" w:firstLine="640"/>
        <w:rPr>
          <w:rFonts w:ascii="楷体" w:eastAsia="楷体" w:hAnsi="楷体" w:cs="楷体"/>
          <w:b w:val="0"/>
          <w:bCs w:val="0"/>
          <w:lang w:val="en-US"/>
        </w:rPr>
      </w:pPr>
      <w:bookmarkStart w:id="75" w:name="_Toc25208"/>
      <w:bookmarkStart w:id="76" w:name="_Toc15979"/>
      <w:bookmarkStart w:id="77" w:name="_Toc8759"/>
      <w:bookmarkStart w:id="78" w:name="_Toc18343"/>
      <w:bookmarkStart w:id="79" w:name="_Toc5003"/>
      <w:bookmarkStart w:id="80" w:name="_Toc7993"/>
      <w:bookmarkStart w:id="81" w:name="_Toc20616"/>
      <w:r>
        <w:rPr>
          <w:rFonts w:ascii="楷体" w:eastAsia="楷体" w:hAnsi="楷体" w:cs="楷体" w:hint="eastAsia"/>
          <w:b w:val="0"/>
          <w:bCs w:val="0"/>
        </w:rPr>
        <w:t>（一）</w:t>
      </w:r>
      <w:bookmarkEnd w:id="75"/>
      <w:bookmarkEnd w:id="76"/>
      <w:bookmarkEnd w:id="77"/>
      <w:bookmarkEnd w:id="78"/>
      <w:bookmarkEnd w:id="79"/>
      <w:r>
        <w:rPr>
          <w:rFonts w:ascii="楷体" w:eastAsia="楷体" w:hAnsi="楷体" w:cs="楷体" w:hint="eastAsia"/>
          <w:b w:val="0"/>
          <w:bCs w:val="0"/>
          <w:lang w:val="en-US"/>
        </w:rPr>
        <w:t>项目决策情况</w:t>
      </w:r>
      <w:bookmarkEnd w:id="80"/>
      <w:bookmarkEnd w:id="81"/>
    </w:p>
    <w:p w:rsidR="00BF62E1" w:rsidRDefault="00BF62E1" w:rsidP="00BF62E1">
      <w:pPr>
        <w:spacing w:line="560" w:lineRule="exact"/>
        <w:ind w:firstLineChars="200" w:firstLine="640"/>
        <w:outlineLvl w:val="2"/>
        <w:rPr>
          <w:rFonts w:ascii="仿宋_GB2312" w:hAnsi="仿宋_GB2312" w:cs="仿宋_GB2312"/>
          <w:szCs w:val="32"/>
        </w:rPr>
      </w:pPr>
      <w:bookmarkStart w:id="82" w:name="_Toc8207"/>
      <w:bookmarkStart w:id="83" w:name="_Toc30084"/>
      <w:r>
        <w:rPr>
          <w:rFonts w:ascii="仿宋_GB2312" w:hAnsi="仿宋_GB2312" w:cs="仿宋_GB2312" w:hint="eastAsia"/>
          <w:szCs w:val="32"/>
        </w:rPr>
        <w:t>1.项目立项</w:t>
      </w:r>
      <w:bookmarkEnd w:id="82"/>
      <w:bookmarkEnd w:id="83"/>
    </w:p>
    <w:p w:rsidR="00BF62E1" w:rsidRDefault="00BF62E1" w:rsidP="00BF62E1">
      <w:pPr>
        <w:spacing w:line="560" w:lineRule="exact"/>
        <w:ind w:firstLineChars="200" w:firstLine="640"/>
        <w:rPr>
          <w:rFonts w:ascii="仿宋_GB2312" w:hAnsi="仿宋_GB2312" w:cs="仿宋_GB2312"/>
          <w:szCs w:val="32"/>
        </w:rPr>
      </w:pPr>
      <w:r>
        <w:rPr>
          <w:rFonts w:ascii="仿宋_GB2312" w:hAnsi="仿宋_GB2312" w:cs="仿宋_GB2312" w:hint="eastAsia"/>
          <w:szCs w:val="32"/>
        </w:rPr>
        <w:t>（1）立项依据充分性评价分析</w:t>
      </w:r>
    </w:p>
    <w:p w:rsidR="00BF62E1" w:rsidRDefault="00BF62E1" w:rsidP="00BF62E1">
      <w:pPr>
        <w:spacing w:line="560" w:lineRule="exact"/>
        <w:ind w:firstLineChars="200" w:firstLine="640"/>
        <w:rPr>
          <w:rFonts w:ascii="仿宋_GB2312" w:hAnsi="仿宋_GB2312" w:cs="仿宋_GB2312"/>
          <w:szCs w:val="32"/>
        </w:rPr>
      </w:pPr>
      <w:r>
        <w:rPr>
          <w:rFonts w:ascii="仿宋_GB2312" w:hAnsi="仿宋_GB2312" w:cs="仿宋_GB2312" w:hint="eastAsia"/>
          <w:bCs/>
          <w:szCs w:val="32"/>
        </w:rPr>
        <w:t>该项目主要目标是通过安保安检工作，维护市二分院正常办公秩序，完成机关门岗执勤、安全检查、信访接待引导、秩序维护、滞留人员劝返、处置违法上访突发事件、消防应急处置等任务。</w:t>
      </w:r>
      <w:r>
        <w:rPr>
          <w:rFonts w:ascii="仿宋_GB2312" w:hAnsi="仿宋_GB2312" w:cs="仿宋_GB2312" w:hint="eastAsia"/>
          <w:szCs w:val="32"/>
        </w:rPr>
        <w:t>2017年2月，依据国发字第13号文件和武警部队执勤用兵范围的相关要求，北京武警总队二师不再履行二分院执勤保卫安检任务。根据北京市财政局预算批复，武警部队撤勤后，各预算单位聘请保安人员经费由市财政统一保障，专款专用。</w:t>
      </w:r>
    </w:p>
    <w:p w:rsidR="00BF62E1" w:rsidRDefault="00BF62E1" w:rsidP="00BF62E1">
      <w:pPr>
        <w:tabs>
          <w:tab w:val="left" w:pos="210"/>
        </w:tabs>
        <w:spacing w:line="560" w:lineRule="exact"/>
        <w:ind w:firstLineChars="200" w:firstLine="640"/>
        <w:rPr>
          <w:rFonts w:ascii="仿宋_GB2312" w:hAnsi="仿宋_GB2312" w:cs="仿宋_GB2312"/>
          <w:szCs w:val="32"/>
        </w:rPr>
      </w:pPr>
      <w:r>
        <w:rPr>
          <w:rFonts w:ascii="仿宋_GB2312" w:hAnsi="Cambria" w:hint="eastAsia"/>
          <w:color w:val="000000"/>
          <w:szCs w:val="32"/>
        </w:rPr>
        <w:t>二分院根据单位维稳的现实需求、编制了该项目年度工作计划，编制项目申报书，设置项目绩效目标。制定了与院职能密切相关绩效目标，该项目立项依据较为充分</w:t>
      </w:r>
      <w:r>
        <w:rPr>
          <w:rFonts w:ascii="仿宋_GB2312" w:hAnsi="仿宋_GB2312" w:cs="仿宋_GB2312" w:hint="eastAsia"/>
          <w:szCs w:val="32"/>
        </w:rPr>
        <w:t>。</w:t>
      </w:r>
    </w:p>
    <w:p w:rsidR="00BF62E1" w:rsidRDefault="00BF62E1" w:rsidP="00BF62E1">
      <w:pPr>
        <w:spacing w:line="560" w:lineRule="exact"/>
        <w:ind w:firstLineChars="200" w:firstLine="640"/>
        <w:rPr>
          <w:rFonts w:ascii="仿宋_GB2312" w:hAnsi="仿宋_GB2312" w:cs="仿宋_GB2312"/>
          <w:szCs w:val="32"/>
        </w:rPr>
      </w:pPr>
      <w:r>
        <w:rPr>
          <w:rFonts w:ascii="仿宋_GB2312" w:hAnsi="仿宋_GB2312" w:cs="仿宋_GB2312" w:hint="eastAsia"/>
          <w:szCs w:val="32"/>
        </w:rPr>
        <w:t>（2）立项程序规范性评价分析</w:t>
      </w:r>
    </w:p>
    <w:p w:rsidR="00BF62E1" w:rsidRDefault="00BF62E1" w:rsidP="00BF62E1">
      <w:pPr>
        <w:widowControl/>
        <w:spacing w:line="560" w:lineRule="exact"/>
        <w:ind w:firstLineChars="200" w:firstLine="640"/>
        <w:rPr>
          <w:rFonts w:ascii="仿宋_GB2312" w:hAnsi="仿宋_GB2312" w:cs="仿宋_GB2312"/>
          <w:szCs w:val="32"/>
        </w:rPr>
      </w:pPr>
      <w:r>
        <w:rPr>
          <w:rFonts w:ascii="仿宋_GB2312" w:hAnsi="仿宋_GB2312" w:cs="仿宋_GB2312" w:hint="eastAsia"/>
          <w:szCs w:val="32"/>
        </w:rPr>
        <w:lastRenderedPageBreak/>
        <w:t>该项目由</w:t>
      </w:r>
      <w:r w:rsidR="00F757EE">
        <w:rPr>
          <w:rFonts w:ascii="仿宋_GB2312" w:hAnsi="仿宋_GB2312" w:cs="仿宋_GB2312" w:hint="eastAsia"/>
          <w:szCs w:val="32"/>
        </w:rPr>
        <w:t>行管部</w:t>
      </w:r>
      <w:r>
        <w:rPr>
          <w:rFonts w:ascii="仿宋_GB2312" w:hAnsi="仿宋_GB2312" w:cs="仿宋_GB2312" w:hint="eastAsia"/>
          <w:szCs w:val="32"/>
        </w:rPr>
        <w:t>根据全院需要执勤、检查等岗位需要，申请设立项目，经过检察长</w:t>
      </w:r>
      <w:r w:rsidR="00656713">
        <w:rPr>
          <w:rFonts w:ascii="仿宋_GB2312" w:hAnsi="仿宋_GB2312" w:cs="仿宋_GB2312" w:hint="eastAsia"/>
          <w:szCs w:val="32"/>
        </w:rPr>
        <w:t>、分管副检察长、行管部主任</w:t>
      </w:r>
      <w:r w:rsidR="00870C8D">
        <w:rPr>
          <w:rFonts w:ascii="仿宋_GB2312" w:hAnsi="仿宋_GB2312" w:cs="仿宋_GB2312" w:hint="eastAsia"/>
          <w:szCs w:val="32"/>
        </w:rPr>
        <w:t>审核</w:t>
      </w:r>
      <w:r>
        <w:rPr>
          <w:rFonts w:ascii="仿宋_GB2312" w:hAnsi="仿宋_GB2312" w:cs="仿宋_GB2312" w:hint="eastAsia"/>
          <w:szCs w:val="32"/>
        </w:rPr>
        <w:t>同意，经由院党组会议批准，上报财政部门审批通过后完成立项。2021年1月，市财政局批复该项目预算196.08万元。</w:t>
      </w:r>
    </w:p>
    <w:p w:rsidR="00BF62E1" w:rsidRDefault="00BF62E1" w:rsidP="00BF62E1">
      <w:pPr>
        <w:spacing w:line="560" w:lineRule="exact"/>
        <w:ind w:firstLineChars="200" w:firstLine="640"/>
        <w:outlineLvl w:val="2"/>
        <w:rPr>
          <w:rFonts w:ascii="仿宋_GB2312" w:hAnsi="仿宋_GB2312" w:cs="仿宋_GB2312"/>
          <w:szCs w:val="32"/>
        </w:rPr>
      </w:pPr>
      <w:bookmarkStart w:id="84" w:name="_Toc10613"/>
      <w:bookmarkStart w:id="85" w:name="_Toc2478"/>
      <w:r>
        <w:rPr>
          <w:rFonts w:ascii="仿宋_GB2312" w:hAnsi="仿宋_GB2312" w:cs="仿宋_GB2312" w:hint="eastAsia"/>
          <w:szCs w:val="32"/>
        </w:rPr>
        <w:t>2.绩效目标</w:t>
      </w:r>
      <w:bookmarkEnd w:id="84"/>
      <w:bookmarkEnd w:id="85"/>
    </w:p>
    <w:p w:rsidR="00BF62E1" w:rsidRDefault="00BF62E1" w:rsidP="00BF62E1">
      <w:pPr>
        <w:spacing w:line="560" w:lineRule="exact"/>
        <w:ind w:firstLineChars="200" w:firstLine="640"/>
        <w:rPr>
          <w:rFonts w:ascii="仿宋_GB2312" w:hAnsi="仿宋_GB2312" w:cs="仿宋_GB2312"/>
          <w:szCs w:val="32"/>
        </w:rPr>
      </w:pPr>
      <w:r>
        <w:rPr>
          <w:rFonts w:ascii="仿宋_GB2312" w:hAnsi="仿宋_GB2312" w:cs="仿宋_GB2312" w:hint="eastAsia"/>
          <w:szCs w:val="32"/>
        </w:rPr>
        <w:t>（1）绩效目标合理性评价分析</w:t>
      </w:r>
    </w:p>
    <w:p w:rsidR="00BF62E1" w:rsidRDefault="00BF62E1" w:rsidP="00BF62E1">
      <w:pPr>
        <w:spacing w:line="560" w:lineRule="exact"/>
        <w:ind w:firstLineChars="200" w:firstLine="640"/>
        <w:rPr>
          <w:rFonts w:ascii="仿宋_GB2312" w:hAnsi="仿宋_GB2312" w:cs="仿宋_GB2312"/>
          <w:szCs w:val="32"/>
        </w:rPr>
      </w:pPr>
      <w:r>
        <w:rPr>
          <w:rFonts w:ascii="仿宋_GB2312" w:hAnsi="仿宋_GB2312" w:cs="仿宋_GB2312" w:hint="eastAsia"/>
          <w:szCs w:val="32"/>
        </w:rPr>
        <w:t>该项目制定了总体绩效目标，在申报2021年预算时填制了“项目支出绩效目标申报表”，设立了相应绩效目标，明确了保障二分院正常办公秩序，协助检察机关预防、减少违法犯罪，安全检查等方面能起到积极作用。</w:t>
      </w:r>
    </w:p>
    <w:p w:rsidR="00BF62E1" w:rsidRDefault="00BF62E1" w:rsidP="00BF62E1">
      <w:pPr>
        <w:spacing w:line="560" w:lineRule="exact"/>
        <w:ind w:firstLineChars="200" w:firstLine="640"/>
        <w:rPr>
          <w:rFonts w:ascii="仿宋_GB2312" w:hAnsi="仿宋_GB2312" w:cs="仿宋_GB2312"/>
          <w:szCs w:val="32"/>
        </w:rPr>
      </w:pPr>
      <w:r>
        <w:rPr>
          <w:rFonts w:ascii="仿宋_GB2312" w:hAnsi="仿宋_GB2312" w:cs="仿宋_GB2312" w:hint="eastAsia"/>
          <w:szCs w:val="32"/>
        </w:rPr>
        <w:t>该项目绩效目标适应了二分院实际需求，具有明确的可实现性和可操作性；但项目申报文本内容较简单，不利于过程监管、后期考核验收和质量管理。</w:t>
      </w:r>
    </w:p>
    <w:p w:rsidR="00BF62E1" w:rsidRDefault="00BF62E1" w:rsidP="00BF62E1">
      <w:pPr>
        <w:spacing w:line="560" w:lineRule="exact"/>
        <w:ind w:firstLineChars="200" w:firstLine="640"/>
        <w:rPr>
          <w:rFonts w:ascii="仿宋_GB2312" w:hAnsi="仿宋_GB2312" w:cs="仿宋_GB2312"/>
          <w:szCs w:val="32"/>
        </w:rPr>
      </w:pPr>
      <w:r>
        <w:rPr>
          <w:rFonts w:ascii="仿宋_GB2312" w:hAnsi="仿宋_GB2312" w:cs="仿宋_GB2312" w:hint="eastAsia"/>
          <w:szCs w:val="32"/>
        </w:rPr>
        <w:t>（2）绩效指标明确性评价分析</w:t>
      </w:r>
    </w:p>
    <w:p w:rsidR="00BF62E1" w:rsidRDefault="00BF62E1" w:rsidP="00BF62E1">
      <w:pPr>
        <w:spacing w:line="560" w:lineRule="exact"/>
        <w:ind w:firstLineChars="200" w:firstLine="640"/>
        <w:rPr>
          <w:rFonts w:ascii="仿宋_GB2312" w:hAnsi="仿宋_GB2312" w:cs="仿宋_GB2312"/>
          <w:szCs w:val="32"/>
        </w:rPr>
      </w:pPr>
      <w:r>
        <w:rPr>
          <w:rFonts w:hint="eastAsia"/>
        </w:rPr>
        <w:t>该项目根据总体绩效目标设定了具体的绩效指标，明确了</w:t>
      </w:r>
      <w:r>
        <w:rPr>
          <w:rFonts w:ascii="仿宋_GB2312" w:hAnsi="仿宋_GB2312" w:cs="仿宋_GB2312" w:hint="eastAsia"/>
          <w:szCs w:val="32"/>
        </w:rPr>
        <w:t>项目的绩效数量、成本、效果指标，并按照产出指标和效益指标</w:t>
      </w:r>
      <w:r>
        <w:rPr>
          <w:rFonts w:hint="eastAsia"/>
        </w:rPr>
        <w:t>细化分解了项目具体工作任务；该绩效指标从业务工作支持维度出发，开展门岗执勤、安全检查、信访接待引导、秩序维护、滞留人员劝返、处置违法上访突发事件、消防应急处置等任务</w:t>
      </w:r>
      <w:r>
        <w:rPr>
          <w:rFonts w:ascii="仿宋_GB2312" w:hAnsi="仿宋_GB2312" w:cs="仿宋_GB2312" w:hint="eastAsia"/>
          <w:szCs w:val="32"/>
        </w:rPr>
        <w:t>为主线，确保单位正常办公秩序，</w:t>
      </w:r>
      <w:r>
        <w:rPr>
          <w:rFonts w:hint="eastAsia"/>
        </w:rPr>
        <w:t>对绩效目标管理具有良好的指导性和可操作性</w:t>
      </w:r>
      <w:r>
        <w:rPr>
          <w:rFonts w:ascii="仿宋_GB2312" w:hAnsi="仿宋_GB2312" w:cs="仿宋_GB2312" w:hint="eastAsia"/>
          <w:szCs w:val="32"/>
        </w:rPr>
        <w:t>。</w:t>
      </w:r>
    </w:p>
    <w:p w:rsidR="00BF62E1" w:rsidRDefault="00BF62E1" w:rsidP="00BF62E1">
      <w:pPr>
        <w:spacing w:line="560" w:lineRule="exact"/>
        <w:ind w:firstLineChars="200" w:firstLine="640"/>
        <w:rPr>
          <w:rFonts w:ascii="仿宋_GB2312" w:hAnsi="仿宋_GB2312" w:cs="仿宋_GB2312"/>
          <w:szCs w:val="32"/>
        </w:rPr>
      </w:pPr>
      <w:r>
        <w:rPr>
          <w:rFonts w:ascii="仿宋_GB2312" w:hAnsi="仿宋_GB2312" w:cs="仿宋_GB2312" w:hint="eastAsia"/>
          <w:szCs w:val="32"/>
        </w:rPr>
        <w:t>项目绩效目标与实际工作内容虽然相关，但仅是任务描述；</w:t>
      </w:r>
      <w:r>
        <w:rPr>
          <w:rFonts w:hint="eastAsia"/>
        </w:rPr>
        <w:lastRenderedPageBreak/>
        <w:t>还存在</w:t>
      </w:r>
      <w:r>
        <w:rPr>
          <w:rFonts w:ascii="仿宋_GB2312" w:hAnsi="仿宋_GB2312" w:cs="仿宋_GB2312" w:hint="eastAsia"/>
          <w:szCs w:val="32"/>
        </w:rPr>
        <w:t>绩效指标明确性不足，指标设定较为笼统，不够细化，可衡量性不足。如产出指标的数量指标未结合实际需求，细化具体岗位安排多少人员等内容，设置较为笼统；部分质量指标不明确，缺乏评价有效性；效益指标没有明确通过安全检查和执勤站岗等确保正常工作秩序和稳定安全的工作环境等发挥的作用、产生效益和效果，以及该项目可持续性指标不明确，不能用清晰、可衡量的指标值予以体现。</w:t>
      </w:r>
    </w:p>
    <w:p w:rsidR="00BF62E1" w:rsidRDefault="00BF62E1" w:rsidP="00BF62E1">
      <w:pPr>
        <w:spacing w:line="560" w:lineRule="exact"/>
        <w:ind w:firstLineChars="200" w:firstLine="640"/>
        <w:outlineLvl w:val="2"/>
        <w:rPr>
          <w:rFonts w:ascii="仿宋_GB2312" w:hAnsi="仿宋_GB2312" w:cs="仿宋_GB2312"/>
          <w:szCs w:val="32"/>
        </w:rPr>
      </w:pPr>
      <w:bookmarkStart w:id="86" w:name="_Toc20805"/>
      <w:bookmarkStart w:id="87" w:name="_Toc24380"/>
      <w:r>
        <w:rPr>
          <w:rFonts w:ascii="仿宋_GB2312" w:hAnsi="仿宋_GB2312" w:cs="仿宋_GB2312" w:hint="eastAsia"/>
          <w:szCs w:val="32"/>
        </w:rPr>
        <w:t>3.资金投入</w:t>
      </w:r>
      <w:bookmarkEnd w:id="86"/>
      <w:bookmarkEnd w:id="87"/>
    </w:p>
    <w:p w:rsidR="00BF62E1" w:rsidRDefault="00BF62E1" w:rsidP="00BF62E1">
      <w:pPr>
        <w:spacing w:line="560" w:lineRule="exact"/>
        <w:ind w:firstLineChars="200" w:firstLine="640"/>
        <w:rPr>
          <w:rFonts w:ascii="仿宋_GB2312" w:hAnsi="仿宋_GB2312" w:cs="仿宋_GB2312"/>
          <w:szCs w:val="32"/>
        </w:rPr>
      </w:pPr>
      <w:r>
        <w:rPr>
          <w:rFonts w:ascii="仿宋_GB2312" w:hAnsi="仿宋_GB2312" w:cs="仿宋_GB2312" w:hint="eastAsia"/>
          <w:szCs w:val="32"/>
        </w:rPr>
        <w:t>（1）预算编制科学性评价分析</w:t>
      </w:r>
    </w:p>
    <w:p w:rsidR="00BF62E1" w:rsidRDefault="00BF62E1" w:rsidP="00BF62E1">
      <w:pPr>
        <w:spacing w:line="560" w:lineRule="exact"/>
        <w:ind w:firstLineChars="200" w:firstLine="640"/>
        <w:rPr>
          <w:rFonts w:ascii="仿宋_GB2312" w:hAnsi="仿宋_GB2312" w:cs="仿宋_GB2312"/>
          <w:szCs w:val="32"/>
        </w:rPr>
      </w:pPr>
      <w:r>
        <w:rPr>
          <w:rFonts w:ascii="仿宋_GB2312" w:hAnsi="仿宋_GB2312" w:cs="仿宋_GB2312" w:hint="eastAsia"/>
          <w:szCs w:val="32"/>
        </w:rPr>
        <w:t>二分院根据</w:t>
      </w:r>
      <w:r w:rsidR="00044EF4">
        <w:rPr>
          <w:rFonts w:ascii="仿宋_GB2312" w:hAnsi="仿宋_GB2312" w:cs="仿宋_GB2312" w:hint="eastAsia"/>
          <w:szCs w:val="32"/>
        </w:rPr>
        <w:t>办公面积、单位办公区内设岗位站点、</w:t>
      </w:r>
      <w:r>
        <w:rPr>
          <w:rFonts w:ascii="仿宋_GB2312" w:hAnsi="仿宋_GB2312" w:cs="仿宋_GB2312" w:hint="eastAsia"/>
          <w:szCs w:val="32"/>
        </w:rPr>
        <w:t>办公区域对于安保安检任务的需求，测算出共需安检安保服务岗位38个，按照现行4300元/人*月的标准计算，申请预算额度196.08万元。并于2020年12月经过竞争性磋商确定安保公司，中标公司提供了服务方案。</w:t>
      </w:r>
    </w:p>
    <w:p w:rsidR="00BF62E1" w:rsidRDefault="00BF62E1" w:rsidP="00BF62E1">
      <w:pPr>
        <w:spacing w:line="560" w:lineRule="exact"/>
        <w:ind w:firstLineChars="200" w:firstLine="640"/>
        <w:rPr>
          <w:rFonts w:ascii="仿宋_GB2312" w:hAnsi="仿宋_GB2312" w:cs="仿宋_GB2312"/>
          <w:szCs w:val="32"/>
        </w:rPr>
      </w:pPr>
      <w:r>
        <w:rPr>
          <w:rFonts w:ascii="仿宋_GB2312" w:hAnsi="仿宋_GB2312" w:cs="仿宋_GB2312" w:hint="eastAsia"/>
          <w:szCs w:val="32"/>
        </w:rPr>
        <w:t>综上该项目内容符合单位现实需求，项目立项程序较规范；项目总体绩效目标较明确，预算支出方向与实际工作内容较相符，预算资金量与实际工作量较匹配。但存在项目绩效指标填报的规范性不足，个别绩效指标不够具体细化，影响预算合理性。</w:t>
      </w:r>
    </w:p>
    <w:p w:rsidR="00BF62E1" w:rsidRDefault="00BF62E1" w:rsidP="00BF62E1">
      <w:pPr>
        <w:spacing w:line="560" w:lineRule="exact"/>
        <w:ind w:firstLineChars="200" w:firstLine="640"/>
        <w:rPr>
          <w:rFonts w:ascii="仿宋_GB2312" w:hAnsi="仿宋_GB2312" w:cs="仿宋_GB2312"/>
          <w:szCs w:val="32"/>
        </w:rPr>
      </w:pPr>
      <w:r>
        <w:rPr>
          <w:rFonts w:ascii="仿宋_GB2312" w:hAnsi="仿宋_GB2312" w:cs="仿宋_GB2312" w:hint="eastAsia"/>
          <w:szCs w:val="32"/>
        </w:rPr>
        <w:t>（2）资金分配合理性评价分析</w:t>
      </w:r>
    </w:p>
    <w:p w:rsidR="00BF62E1" w:rsidRDefault="00BF62E1" w:rsidP="00BF62E1">
      <w:pPr>
        <w:ind w:firstLineChars="200" w:firstLine="640"/>
        <w:rPr>
          <w:rFonts w:ascii="仿宋_GB2312" w:hAnsi="仿宋_GB2312" w:cs="仿宋_GB2312"/>
          <w:szCs w:val="32"/>
        </w:rPr>
      </w:pPr>
      <w:r>
        <w:rPr>
          <w:rFonts w:ascii="仿宋_GB2312" w:hAnsi="仿宋_GB2312" w:cs="仿宋_GB2312" w:hint="eastAsia"/>
          <w:szCs w:val="32"/>
        </w:rPr>
        <w:t>该项目预算资金分配依据</w:t>
      </w:r>
      <w:r w:rsidR="001D04F4">
        <w:rPr>
          <w:rFonts w:ascii="仿宋_GB2312" w:hAnsi="仿宋_GB2312" w:cs="仿宋_GB2312" w:hint="eastAsia"/>
          <w:szCs w:val="32"/>
        </w:rPr>
        <w:t>二分</w:t>
      </w:r>
      <w:r>
        <w:rPr>
          <w:rFonts w:ascii="仿宋_GB2312" w:hAnsi="仿宋_GB2312" w:cs="仿宋_GB2312" w:hint="eastAsia"/>
          <w:szCs w:val="32"/>
        </w:rPr>
        <w:t>院《预算管理办法》、《经费支出管理办法》等制度，结合总体绩效目标和绩效指标内容，通过前期调研和采购比价过程，对项目预算资金分配进行内部审核，</w:t>
      </w:r>
      <w:r w:rsidR="003F5E92">
        <w:rPr>
          <w:rFonts w:ascii="仿宋_GB2312" w:hAnsi="仿宋_GB2312" w:cs="仿宋_GB2312" w:hint="eastAsia"/>
          <w:szCs w:val="32"/>
        </w:rPr>
        <w:lastRenderedPageBreak/>
        <w:t>结合实际需求和</w:t>
      </w:r>
      <w:r>
        <w:rPr>
          <w:rFonts w:ascii="仿宋_GB2312" w:hAnsi="仿宋_GB2312" w:cs="仿宋_GB2312" w:hint="eastAsia"/>
          <w:szCs w:val="32"/>
        </w:rPr>
        <w:t>服务具体内容，对预算资金进行分配，该项目资金分配额度具备一定的科学性和合理性。</w:t>
      </w:r>
    </w:p>
    <w:p w:rsidR="00BF62E1" w:rsidRDefault="00BF62E1" w:rsidP="00BF62E1">
      <w:pPr>
        <w:pStyle w:val="20"/>
        <w:keepNext w:val="0"/>
        <w:keepLines w:val="0"/>
        <w:spacing w:before="0" w:after="0" w:line="560" w:lineRule="exact"/>
        <w:ind w:firstLineChars="200" w:firstLine="640"/>
        <w:rPr>
          <w:rFonts w:ascii="楷体" w:eastAsia="楷体" w:hAnsi="楷体" w:cs="楷体"/>
          <w:b w:val="0"/>
          <w:bCs w:val="0"/>
          <w:lang w:val="en-US"/>
        </w:rPr>
      </w:pPr>
      <w:bookmarkStart w:id="88" w:name="_Toc18944"/>
      <w:bookmarkStart w:id="89" w:name="_Toc25311"/>
      <w:r>
        <w:rPr>
          <w:rFonts w:ascii="楷体" w:eastAsia="楷体" w:hAnsi="楷体" w:cs="楷体" w:hint="eastAsia"/>
          <w:b w:val="0"/>
          <w:bCs w:val="0"/>
        </w:rPr>
        <w:t>（</w:t>
      </w:r>
      <w:r>
        <w:rPr>
          <w:rFonts w:ascii="楷体" w:eastAsia="楷体" w:hAnsi="楷体" w:cs="楷体" w:hint="eastAsia"/>
          <w:b w:val="0"/>
          <w:bCs w:val="0"/>
          <w:lang w:val="en-US"/>
        </w:rPr>
        <w:t>二</w:t>
      </w:r>
      <w:r>
        <w:rPr>
          <w:rFonts w:ascii="楷体" w:eastAsia="楷体" w:hAnsi="楷体" w:cs="楷体" w:hint="eastAsia"/>
          <w:b w:val="0"/>
          <w:bCs w:val="0"/>
        </w:rPr>
        <w:t>）</w:t>
      </w:r>
      <w:r>
        <w:rPr>
          <w:rFonts w:ascii="楷体" w:eastAsia="楷体" w:hAnsi="楷体" w:cs="楷体" w:hint="eastAsia"/>
          <w:b w:val="0"/>
          <w:bCs w:val="0"/>
          <w:lang w:val="en-US"/>
        </w:rPr>
        <w:t>项目过程情况</w:t>
      </w:r>
      <w:bookmarkEnd w:id="88"/>
      <w:bookmarkEnd w:id="89"/>
    </w:p>
    <w:p w:rsidR="00BF62E1" w:rsidRDefault="00BF62E1" w:rsidP="00BF62E1">
      <w:pPr>
        <w:pStyle w:val="3"/>
        <w:keepNext w:val="0"/>
        <w:keepLines w:val="0"/>
        <w:spacing w:before="0" w:after="0" w:line="560" w:lineRule="exact"/>
        <w:ind w:firstLineChars="200" w:firstLine="640"/>
        <w:rPr>
          <w:rFonts w:ascii="仿宋_GB2312" w:hAnsi="仿宋_GB2312" w:cs="仿宋_GB2312"/>
        </w:rPr>
      </w:pPr>
      <w:bookmarkStart w:id="90" w:name="_Toc6844"/>
      <w:bookmarkStart w:id="91" w:name="_Toc23490"/>
      <w:r>
        <w:rPr>
          <w:rFonts w:ascii="仿宋_GB2312" w:hAnsi="仿宋_GB2312" w:cs="仿宋_GB2312" w:hint="eastAsia"/>
          <w:b w:val="0"/>
          <w:bCs w:val="0"/>
        </w:rPr>
        <w:t>1.资金管理</w:t>
      </w:r>
      <w:bookmarkEnd w:id="90"/>
      <w:bookmarkEnd w:id="91"/>
    </w:p>
    <w:p w:rsidR="00BF62E1" w:rsidRDefault="00BF62E1" w:rsidP="00BF62E1">
      <w:pPr>
        <w:spacing w:line="560" w:lineRule="exact"/>
        <w:ind w:firstLineChars="200" w:firstLine="640"/>
        <w:rPr>
          <w:rFonts w:ascii="仿宋_GB2312" w:hAnsi="仿宋_GB2312" w:cs="仿宋_GB2312"/>
          <w:szCs w:val="32"/>
        </w:rPr>
      </w:pPr>
      <w:r>
        <w:rPr>
          <w:rFonts w:ascii="仿宋_GB2312" w:hAnsi="仿宋_GB2312" w:cs="仿宋_GB2312" w:hint="eastAsia"/>
          <w:szCs w:val="32"/>
        </w:rPr>
        <w:t>（1）资金到位率评价分析</w:t>
      </w:r>
    </w:p>
    <w:p w:rsidR="00BF62E1" w:rsidRDefault="00BF62E1" w:rsidP="00BF62E1">
      <w:pPr>
        <w:spacing w:line="560" w:lineRule="exact"/>
        <w:ind w:firstLineChars="200" w:firstLine="640"/>
        <w:rPr>
          <w:rFonts w:ascii="仿宋_GB2312" w:hAnsi="仿宋_GB2312" w:cs="仿宋_GB2312"/>
          <w:szCs w:val="32"/>
        </w:rPr>
      </w:pPr>
      <w:r>
        <w:rPr>
          <w:rFonts w:ascii="仿宋_GB2312" w:hAnsi="仿宋_GB2312" w:cs="仿宋_GB2312" w:hint="eastAsia"/>
          <w:szCs w:val="32"/>
        </w:rPr>
        <w:t>该项目的资金到位率为=（实际到位资金/预算资金）×100%=（196.08万元/196.08万元）×100%=100%。</w:t>
      </w:r>
    </w:p>
    <w:p w:rsidR="00BF62E1" w:rsidRDefault="00BF62E1" w:rsidP="00BF62E1">
      <w:pPr>
        <w:numPr>
          <w:ilvl w:val="0"/>
          <w:numId w:val="1"/>
        </w:numPr>
        <w:spacing w:line="560" w:lineRule="exact"/>
        <w:ind w:firstLineChars="200" w:firstLine="640"/>
        <w:rPr>
          <w:rFonts w:ascii="仿宋_GB2312" w:hAnsi="仿宋_GB2312" w:cs="仿宋_GB2312"/>
          <w:szCs w:val="32"/>
        </w:rPr>
      </w:pPr>
      <w:r>
        <w:rPr>
          <w:rFonts w:ascii="仿宋_GB2312" w:hAnsi="仿宋_GB2312" w:cs="仿宋_GB2312" w:hint="eastAsia"/>
          <w:szCs w:val="32"/>
        </w:rPr>
        <w:t>预算执行率评价分析</w:t>
      </w:r>
    </w:p>
    <w:p w:rsidR="00BF62E1" w:rsidRDefault="00BF62E1" w:rsidP="00BF62E1">
      <w:pPr>
        <w:spacing w:line="560" w:lineRule="exact"/>
        <w:ind w:firstLineChars="200" w:firstLine="640"/>
        <w:rPr>
          <w:rFonts w:ascii="仿宋_GB2312" w:hAnsi="仿宋_GB2312" w:cs="仿宋_GB2312"/>
          <w:szCs w:val="32"/>
        </w:rPr>
      </w:pPr>
      <w:r>
        <w:rPr>
          <w:rFonts w:ascii="仿宋_GB2312" w:hAnsi="仿宋_GB2312" w:cs="仿宋_GB2312" w:hint="eastAsia"/>
        </w:rPr>
        <w:t xml:space="preserve"> </w:t>
      </w:r>
      <w:r>
        <w:rPr>
          <w:rFonts w:ascii="仿宋_GB2312" w:hAnsi="仿宋_GB2312" w:cs="仿宋_GB2312" w:hint="eastAsia"/>
          <w:szCs w:val="32"/>
        </w:rPr>
        <w:t>该项目的预算执行率=（实际支出资金/实际到位资金）×100%=（196.03万元/196.08万元）×100%=99.98%。</w:t>
      </w:r>
    </w:p>
    <w:p w:rsidR="00BF62E1" w:rsidRDefault="00BF62E1" w:rsidP="00BF62E1">
      <w:pPr>
        <w:spacing w:line="560" w:lineRule="exact"/>
        <w:ind w:firstLineChars="200" w:firstLine="640"/>
        <w:rPr>
          <w:rFonts w:ascii="仿宋_GB2312" w:hAnsi="仿宋_GB2312" w:cs="仿宋_GB2312"/>
          <w:szCs w:val="32"/>
        </w:rPr>
      </w:pPr>
      <w:r>
        <w:rPr>
          <w:rFonts w:ascii="仿宋_GB2312" w:hAnsi="仿宋_GB2312" w:cs="仿宋_GB2312" w:hint="eastAsia"/>
          <w:szCs w:val="32"/>
        </w:rPr>
        <w:t>（3）资金使用合规性</w:t>
      </w:r>
    </w:p>
    <w:p w:rsidR="00BF62E1" w:rsidRDefault="00BF62E1" w:rsidP="00BF62E1">
      <w:pPr>
        <w:spacing w:line="560" w:lineRule="exact"/>
        <w:ind w:firstLineChars="200" w:firstLine="640"/>
        <w:rPr>
          <w:rFonts w:ascii="仿宋_GB2312" w:hAnsi="仿宋_GB2312" w:cs="仿宋_GB2312"/>
          <w:bCs/>
          <w:szCs w:val="32"/>
        </w:rPr>
      </w:pPr>
      <w:r>
        <w:rPr>
          <w:rFonts w:ascii="仿宋_GB2312" w:hAnsi="仿宋_GB2312" w:cs="仿宋_GB2312" w:hint="eastAsia"/>
          <w:bCs/>
          <w:szCs w:val="32"/>
        </w:rPr>
        <w:t>该项目资金全部按计划用于机关门岗执勤、安全检查、信访接待引导、秩序维护、滞留人员劝返、处置违法上访突发事件、消防应急处置等任务，按照与保安公司签订的合同，进行支出经费。</w:t>
      </w:r>
    </w:p>
    <w:p w:rsidR="00BF62E1" w:rsidRDefault="00BF62E1" w:rsidP="00BF62E1">
      <w:pPr>
        <w:spacing w:line="560" w:lineRule="exact"/>
        <w:ind w:firstLineChars="200" w:firstLine="640"/>
        <w:rPr>
          <w:rFonts w:ascii="仿宋_GB2312" w:hAnsi="仿宋_GB2312" w:cs="仿宋_GB2312"/>
          <w:szCs w:val="32"/>
        </w:rPr>
      </w:pPr>
      <w:r>
        <w:rPr>
          <w:rFonts w:ascii="仿宋_GB2312" w:hAnsi="仿宋_GB2312" w:cs="仿宋_GB2312" w:hint="eastAsia"/>
          <w:szCs w:val="32"/>
        </w:rPr>
        <w:t>按照《中华人民共和国会计法》，根据单位《财务报销管理实施细则》</w:t>
      </w:r>
      <w:r w:rsidR="00331ABF">
        <w:rPr>
          <w:rFonts w:ascii="仿宋_GB2312" w:hAnsi="仿宋_GB2312" w:cs="仿宋_GB2312" w:hint="eastAsia"/>
          <w:szCs w:val="32"/>
        </w:rPr>
        <w:t>、</w:t>
      </w:r>
      <w:r>
        <w:rPr>
          <w:rFonts w:ascii="仿宋_GB2312" w:hAnsi="仿宋_GB2312" w:cs="仿宋_GB2312" w:hint="eastAsia"/>
          <w:szCs w:val="32"/>
        </w:rPr>
        <w:t>《经费支出管理办法》等制度进行财务管理。项目资金的支付经过了部门主管院领导和财务分管院领导、集体决策逐级审批，审批程序完整。项目进行了独立核算，严格按照合同，按月定期支付安保安检费用，每笔支出均有完整的审批程序和手续付要求结清项目款项，财务数据真实、准确。</w:t>
      </w:r>
    </w:p>
    <w:p w:rsidR="00BF62E1" w:rsidRDefault="00BF62E1" w:rsidP="00BF62E1">
      <w:pPr>
        <w:pStyle w:val="3"/>
        <w:keepNext w:val="0"/>
        <w:keepLines w:val="0"/>
        <w:spacing w:before="0" w:after="0" w:line="560" w:lineRule="exact"/>
        <w:ind w:firstLineChars="200" w:firstLine="640"/>
        <w:rPr>
          <w:rFonts w:ascii="仿宋_GB2312" w:hAnsi="仿宋_GB2312" w:cs="仿宋_GB2312"/>
          <w:b w:val="0"/>
          <w:bCs w:val="0"/>
        </w:rPr>
      </w:pPr>
      <w:bookmarkStart w:id="92" w:name="_Toc29609"/>
      <w:bookmarkStart w:id="93" w:name="_Toc5493"/>
      <w:r>
        <w:rPr>
          <w:rFonts w:ascii="仿宋_GB2312" w:hAnsi="仿宋_GB2312" w:cs="仿宋_GB2312" w:hint="eastAsia"/>
          <w:b w:val="0"/>
          <w:bCs w:val="0"/>
        </w:rPr>
        <w:t>2.组织实施</w:t>
      </w:r>
      <w:bookmarkEnd w:id="92"/>
      <w:bookmarkEnd w:id="93"/>
    </w:p>
    <w:p w:rsidR="00331ABF" w:rsidRPr="00331ABF" w:rsidRDefault="00BF62E1" w:rsidP="00331ABF">
      <w:pPr>
        <w:spacing w:line="560" w:lineRule="exact"/>
        <w:ind w:firstLineChars="200" w:firstLine="640"/>
        <w:rPr>
          <w:rFonts w:ascii="仿宋_GB2312" w:hAnsi="仿宋_GB2312" w:cs="仿宋_GB2312"/>
          <w:bCs/>
          <w:szCs w:val="32"/>
        </w:rPr>
      </w:pPr>
      <w:r w:rsidRPr="00331ABF">
        <w:rPr>
          <w:rFonts w:ascii="仿宋_GB2312" w:hAnsi="仿宋_GB2312" w:cs="仿宋_GB2312" w:hint="eastAsia"/>
          <w:bCs/>
          <w:szCs w:val="32"/>
        </w:rPr>
        <w:lastRenderedPageBreak/>
        <w:t>（1）管理制度健全性评价分析</w:t>
      </w:r>
    </w:p>
    <w:p w:rsidR="00331ABF" w:rsidRPr="00331ABF" w:rsidRDefault="00BF62E1" w:rsidP="00331ABF">
      <w:pPr>
        <w:spacing w:line="560" w:lineRule="exact"/>
        <w:ind w:firstLineChars="200" w:firstLine="640"/>
        <w:rPr>
          <w:rFonts w:ascii="仿宋_GB2312" w:hAnsi="仿宋_GB2312" w:cs="仿宋_GB2312"/>
          <w:bCs/>
          <w:szCs w:val="32"/>
        </w:rPr>
      </w:pPr>
      <w:r w:rsidRPr="00331ABF">
        <w:rPr>
          <w:rFonts w:ascii="仿宋_GB2312" w:hAnsi="仿宋_GB2312" w:cs="仿宋_GB2312" w:hint="eastAsia"/>
          <w:bCs/>
          <w:szCs w:val="32"/>
        </w:rPr>
        <w:t>二分院建立了较为完善内部控制制度，明确了财务和业务方面相关制度规定，并每年安排组织进行制度修订。</w:t>
      </w:r>
    </w:p>
    <w:p w:rsidR="00BF62E1" w:rsidRPr="00331ABF" w:rsidRDefault="00BF62E1" w:rsidP="00331ABF">
      <w:pPr>
        <w:spacing w:line="560" w:lineRule="exact"/>
        <w:ind w:firstLineChars="200" w:firstLine="640"/>
        <w:rPr>
          <w:rFonts w:ascii="仿宋_GB2312" w:hAnsi="仿宋_GB2312" w:cs="仿宋_GB2312"/>
          <w:bCs/>
          <w:szCs w:val="32"/>
        </w:rPr>
      </w:pPr>
      <w:r w:rsidRPr="00331ABF">
        <w:rPr>
          <w:rFonts w:ascii="仿宋_GB2312" w:hAnsi="仿宋_GB2312" w:cs="仿宋_GB2312" w:hint="eastAsia"/>
          <w:bCs/>
          <w:szCs w:val="32"/>
        </w:rPr>
        <w:t>一是财务管理方面，根据《中华人民共和国会计法》及相关的财政法规、规章和财务会计制度，单位结合实际情况制定了单位财务报销管理实施细则、预算管理办法、经费支出管理办法、预算绩效管理办法、采购管理办法》等内控制度。</w:t>
      </w:r>
    </w:p>
    <w:p w:rsidR="00BF62E1" w:rsidRPr="00331ABF" w:rsidRDefault="00BF62E1" w:rsidP="00331ABF">
      <w:pPr>
        <w:spacing w:line="560" w:lineRule="exact"/>
        <w:ind w:firstLineChars="200" w:firstLine="640"/>
        <w:rPr>
          <w:rFonts w:ascii="仿宋_GB2312" w:hAnsi="仿宋_GB2312" w:cs="仿宋_GB2312"/>
          <w:bCs/>
          <w:szCs w:val="32"/>
        </w:rPr>
      </w:pPr>
      <w:r w:rsidRPr="00331ABF">
        <w:rPr>
          <w:rFonts w:ascii="仿宋_GB2312" w:hAnsi="仿宋_GB2312" w:cs="仿宋_GB2312" w:hint="eastAsia"/>
          <w:bCs/>
          <w:szCs w:val="32"/>
        </w:rPr>
        <w:t>二是业务管理方面，制定了预算项目管理办法、等管理制度。另外该项目还单独规定了保安队的保安服务制度、奖惩制度、执勤队管理规定、保安员手册等制度等。</w:t>
      </w:r>
    </w:p>
    <w:p w:rsidR="00BF62E1" w:rsidRPr="00331ABF" w:rsidRDefault="00BF62E1" w:rsidP="00331ABF">
      <w:pPr>
        <w:spacing w:line="560" w:lineRule="exact"/>
        <w:ind w:firstLineChars="200" w:firstLine="640"/>
        <w:rPr>
          <w:rFonts w:ascii="仿宋_GB2312" w:hAnsi="仿宋_GB2312" w:cs="仿宋_GB2312"/>
          <w:bCs/>
          <w:szCs w:val="32"/>
        </w:rPr>
      </w:pPr>
      <w:r w:rsidRPr="00331ABF">
        <w:rPr>
          <w:rFonts w:ascii="仿宋_GB2312" w:hAnsi="仿宋_GB2312" w:cs="仿宋_GB2312" w:hint="eastAsia"/>
          <w:bCs/>
          <w:szCs w:val="32"/>
        </w:rPr>
        <w:t>综上，该项目涉及的管理制度相对健全完善，上述财务和业务管理制度对项目顺利实施的提供了政策保障。</w:t>
      </w:r>
    </w:p>
    <w:p w:rsidR="00BF62E1" w:rsidRPr="00331ABF" w:rsidRDefault="00BF62E1" w:rsidP="00331ABF">
      <w:pPr>
        <w:spacing w:line="560" w:lineRule="exact"/>
        <w:ind w:firstLineChars="200" w:firstLine="640"/>
        <w:rPr>
          <w:rFonts w:ascii="仿宋_GB2312" w:hAnsi="仿宋_GB2312" w:cs="仿宋_GB2312"/>
          <w:bCs/>
          <w:szCs w:val="32"/>
        </w:rPr>
      </w:pPr>
      <w:r w:rsidRPr="00331ABF">
        <w:rPr>
          <w:rFonts w:ascii="仿宋_GB2312" w:hAnsi="仿宋_GB2312" w:cs="仿宋_GB2312" w:hint="eastAsia"/>
          <w:bCs/>
          <w:szCs w:val="32"/>
        </w:rPr>
        <w:t>（2）制度执行有效性评价分析</w:t>
      </w:r>
    </w:p>
    <w:p w:rsidR="00BF62E1" w:rsidRPr="00331ABF" w:rsidRDefault="00BF62E1" w:rsidP="00331ABF">
      <w:pPr>
        <w:spacing w:line="560" w:lineRule="exact"/>
        <w:ind w:firstLineChars="200" w:firstLine="640"/>
        <w:rPr>
          <w:rFonts w:ascii="仿宋_GB2312" w:hAnsi="仿宋_GB2312" w:cs="仿宋_GB2312"/>
          <w:bCs/>
          <w:szCs w:val="32"/>
        </w:rPr>
      </w:pPr>
      <w:r w:rsidRPr="00331ABF">
        <w:rPr>
          <w:rFonts w:ascii="仿宋_GB2312" w:hAnsi="仿宋_GB2312" w:cs="仿宋_GB2312" w:hint="eastAsia"/>
          <w:bCs/>
          <w:szCs w:val="32"/>
        </w:rPr>
        <w:t>该项目执行能够按照内部控制制度规范执行，具体管理措施包括：一是在院领导领导下，二分院全面负责项目的统筹规划，完成具体项目的申报、日常管理和考核工作。二是依据预算及采购制度规定，采取招标方式进行采购。三是加强资金监控。单位严格落实资金拨付审批程序，以保障资金及时发放到位，同时，配合市财政局开展项目监管检查、绩效评价相关工作，加强资金使用效果的监督、落实。</w:t>
      </w:r>
    </w:p>
    <w:p w:rsidR="00BF62E1" w:rsidRPr="00331ABF" w:rsidRDefault="00BF62E1" w:rsidP="00331ABF">
      <w:pPr>
        <w:spacing w:line="560" w:lineRule="exact"/>
        <w:ind w:firstLineChars="200" w:firstLine="640"/>
        <w:rPr>
          <w:rFonts w:ascii="仿宋_GB2312" w:hAnsi="仿宋_GB2312" w:cs="仿宋_GB2312"/>
          <w:bCs/>
          <w:szCs w:val="32"/>
        </w:rPr>
      </w:pPr>
      <w:r w:rsidRPr="00331ABF">
        <w:rPr>
          <w:rFonts w:ascii="仿宋_GB2312" w:hAnsi="仿宋_GB2312" w:cs="仿宋_GB2312" w:hint="eastAsia"/>
          <w:bCs/>
          <w:szCs w:val="32"/>
        </w:rPr>
        <w:t>该项目资金拨付有完整的审批程序；项目财务和业务管理制度较健全，能够按照制度规范执行项目。按照相关法律法规和相</w:t>
      </w:r>
      <w:r w:rsidRPr="00331ABF">
        <w:rPr>
          <w:rFonts w:ascii="仿宋_GB2312" w:hAnsi="仿宋_GB2312" w:cs="仿宋_GB2312" w:hint="eastAsia"/>
          <w:bCs/>
          <w:szCs w:val="32"/>
        </w:rPr>
        <w:lastRenderedPageBreak/>
        <w:t>关财务、业务管理制度规定，签订的合同、该项目执行过程的检查验收、对安保安检工作进度中期检查报告、工作总结等资料基本齐全并已及时归档。项目实施的人员条件、场地设备、信息支撑等均落实到位。</w:t>
      </w:r>
    </w:p>
    <w:p w:rsidR="00BF62E1" w:rsidRPr="00777697" w:rsidRDefault="00BF62E1" w:rsidP="00777697">
      <w:pPr>
        <w:pStyle w:val="20"/>
        <w:keepNext w:val="0"/>
        <w:keepLines w:val="0"/>
        <w:spacing w:before="0" w:after="0" w:line="560" w:lineRule="exact"/>
        <w:ind w:firstLineChars="200" w:firstLine="640"/>
        <w:rPr>
          <w:rFonts w:ascii="楷体" w:eastAsia="楷体" w:hAnsi="楷体" w:cs="楷体"/>
          <w:b w:val="0"/>
          <w:bCs w:val="0"/>
        </w:rPr>
      </w:pPr>
      <w:bookmarkStart w:id="94" w:name="_Toc17779"/>
      <w:bookmarkStart w:id="95" w:name="_Toc14964"/>
      <w:r w:rsidRPr="00777697">
        <w:rPr>
          <w:rFonts w:ascii="楷体" w:eastAsia="楷体" w:hAnsi="楷体" w:cs="楷体" w:hint="eastAsia"/>
          <w:b w:val="0"/>
          <w:bCs w:val="0"/>
        </w:rPr>
        <w:t>（三）项目产出情况</w:t>
      </w:r>
      <w:bookmarkEnd w:id="94"/>
      <w:bookmarkEnd w:id="95"/>
    </w:p>
    <w:p w:rsidR="00BF62E1" w:rsidRDefault="00BF62E1" w:rsidP="00331ABF">
      <w:pPr>
        <w:spacing w:line="560" w:lineRule="exact"/>
        <w:ind w:firstLineChars="200" w:firstLine="640"/>
        <w:rPr>
          <w:rFonts w:ascii="仿宋_GB2312" w:hAnsi="仿宋_GB2312" w:cs="仿宋_GB2312"/>
          <w:szCs w:val="32"/>
        </w:rPr>
      </w:pPr>
      <w:bookmarkStart w:id="96" w:name="_Toc14336"/>
      <w:bookmarkStart w:id="97" w:name="_Toc24621"/>
      <w:r>
        <w:rPr>
          <w:rFonts w:ascii="仿宋_GB2312" w:hAnsi="仿宋_GB2312" w:cs="仿宋_GB2312" w:hint="eastAsia"/>
          <w:szCs w:val="32"/>
        </w:rPr>
        <w:t>1.产出数量</w:t>
      </w:r>
      <w:bookmarkEnd w:id="96"/>
      <w:bookmarkEnd w:id="97"/>
      <w:r>
        <w:rPr>
          <w:rFonts w:ascii="仿宋_GB2312" w:hAnsi="仿宋_GB2312" w:cs="仿宋_GB2312" w:hint="eastAsia"/>
          <w:szCs w:val="32"/>
        </w:rPr>
        <w:t>实际完成率评价分析</w:t>
      </w:r>
    </w:p>
    <w:p w:rsidR="00BF62E1" w:rsidRDefault="00BF62E1" w:rsidP="00331ABF">
      <w:pPr>
        <w:spacing w:line="560" w:lineRule="exact"/>
        <w:ind w:firstLineChars="200" w:firstLine="640"/>
        <w:rPr>
          <w:rFonts w:ascii="仿宋_GB2312" w:hAnsi="仿宋_GB2312" w:cs="仿宋_GB2312"/>
          <w:szCs w:val="32"/>
        </w:rPr>
      </w:pPr>
      <w:r>
        <w:rPr>
          <w:rFonts w:ascii="仿宋_GB2312" w:hAnsi="仿宋_GB2312" w:cs="仿宋_GB2312" w:hint="eastAsia"/>
          <w:szCs w:val="32"/>
        </w:rPr>
        <w:t>计划：各岗位配备安检安保人员数量达到规定标准。</w:t>
      </w:r>
    </w:p>
    <w:p w:rsidR="00BF62E1" w:rsidRDefault="00BF62E1" w:rsidP="00331ABF">
      <w:pPr>
        <w:spacing w:line="560" w:lineRule="exact"/>
        <w:ind w:firstLineChars="200" w:firstLine="640"/>
        <w:rPr>
          <w:rFonts w:ascii="仿宋_GB2312" w:hAnsi="仿宋_GB2312" w:cs="仿宋_GB2312"/>
          <w:szCs w:val="32"/>
        </w:rPr>
      </w:pPr>
      <w:r>
        <w:rPr>
          <w:rFonts w:ascii="仿宋_GB2312" w:hAnsi="仿宋_GB2312" w:cs="仿宋_GB2312" w:hint="eastAsia"/>
          <w:szCs w:val="32"/>
        </w:rPr>
        <w:t>实际：通过查阅归档的保安队考勤、执勤记录本以及交接班记录表等资料，保安队已</w:t>
      </w:r>
      <w:r w:rsidRPr="00331ABF">
        <w:rPr>
          <w:rFonts w:ascii="仿宋_GB2312" w:hAnsi="仿宋_GB2312" w:cs="仿宋_GB2312" w:hint="eastAsia"/>
          <w:szCs w:val="32"/>
        </w:rPr>
        <w:t>按照约定</w:t>
      </w:r>
      <w:r>
        <w:rPr>
          <w:rFonts w:ascii="仿宋_GB2312" w:hAnsi="仿宋_GB2312" w:cs="仿宋_GB2312" w:hint="eastAsia"/>
          <w:szCs w:val="32"/>
        </w:rPr>
        <w:t>配备保安员38名，并保证了每天24小时有人轮班在岗。保安员岗位设置如下：保安管理岗位3名，守卫巡逻岗位19名、应急处置岗6名，技术防范岗位4名，安检岗位6名。但该项目绩效指标设定不够细化，指标考核与实际完成内容不够匹配。</w:t>
      </w:r>
    </w:p>
    <w:p w:rsidR="00BF62E1" w:rsidRDefault="00BF62E1" w:rsidP="00331ABF">
      <w:pPr>
        <w:spacing w:line="560" w:lineRule="exact"/>
        <w:ind w:firstLineChars="200" w:firstLine="640"/>
        <w:rPr>
          <w:rFonts w:ascii="仿宋_GB2312" w:hAnsi="仿宋_GB2312" w:cs="仿宋_GB2312"/>
          <w:szCs w:val="32"/>
        </w:rPr>
      </w:pPr>
      <w:bookmarkStart w:id="98" w:name="_Toc11855"/>
      <w:bookmarkStart w:id="99" w:name="_Toc4418"/>
      <w:r>
        <w:rPr>
          <w:rFonts w:ascii="仿宋_GB2312" w:hAnsi="仿宋_GB2312" w:cs="仿宋_GB2312" w:hint="eastAsia"/>
          <w:szCs w:val="32"/>
        </w:rPr>
        <w:t>2.产出质量</w:t>
      </w:r>
      <w:bookmarkEnd w:id="98"/>
      <w:bookmarkEnd w:id="99"/>
      <w:r>
        <w:rPr>
          <w:rFonts w:ascii="仿宋_GB2312" w:hAnsi="仿宋_GB2312" w:cs="仿宋_GB2312" w:hint="eastAsia"/>
          <w:szCs w:val="32"/>
        </w:rPr>
        <w:t>质量达标率评价分析</w:t>
      </w:r>
    </w:p>
    <w:p w:rsidR="00BF62E1" w:rsidRDefault="00BF62E1" w:rsidP="00331ABF">
      <w:pPr>
        <w:spacing w:line="560" w:lineRule="exact"/>
        <w:ind w:firstLineChars="200" w:firstLine="640"/>
        <w:rPr>
          <w:rFonts w:ascii="仿宋_GB2312" w:hAnsi="仿宋_GB2312" w:cs="仿宋_GB2312"/>
          <w:szCs w:val="32"/>
        </w:rPr>
      </w:pPr>
      <w:r>
        <w:rPr>
          <w:rFonts w:ascii="仿宋_GB2312" w:hAnsi="仿宋_GB2312" w:cs="仿宋_GB2312" w:hint="eastAsia"/>
          <w:szCs w:val="32"/>
        </w:rPr>
        <w:t>计划：安保安检人员符合行业质量标准。</w:t>
      </w:r>
    </w:p>
    <w:p w:rsidR="00BF62E1" w:rsidRPr="00331ABF" w:rsidRDefault="00BF62E1" w:rsidP="00BF62E1">
      <w:pPr>
        <w:spacing w:line="560" w:lineRule="exact"/>
        <w:ind w:firstLineChars="200" w:firstLine="640"/>
        <w:rPr>
          <w:rFonts w:ascii="仿宋_GB2312" w:hAnsi="仿宋_GB2312" w:cs="仿宋_GB2312"/>
          <w:szCs w:val="32"/>
        </w:rPr>
      </w:pPr>
      <w:r>
        <w:rPr>
          <w:rFonts w:ascii="仿宋_GB2312" w:hAnsi="仿宋_GB2312" w:cs="仿宋_GB2312" w:hint="eastAsia"/>
          <w:szCs w:val="32"/>
        </w:rPr>
        <w:t>实际：</w:t>
      </w:r>
      <w:r w:rsidRPr="00331ABF">
        <w:rPr>
          <w:rFonts w:ascii="仿宋_GB2312" w:hAnsi="仿宋_GB2312" w:cs="仿宋_GB2312" w:hint="eastAsia"/>
          <w:szCs w:val="32"/>
        </w:rPr>
        <w:t>在安保安检人员选任上，安保公司通过政审及面试、考核等方式，把业务素质最好、专业技术精湛、热爱安保事业、个人形象好的保安人员选送到二分院，分配在一线保安岗位上值勤。二分院行管部多次对保安人员政治情况进行摸底审查，保证了保安队员的纯洁可靠。公司全年累计政审10多人次，分配到二分院，实现了保安队伍里退伍军人过半的目标要求，他们在保安队伍里起到骨干作用。</w:t>
      </w:r>
      <w:r w:rsidRPr="00331ABF">
        <w:rPr>
          <w:rFonts w:ascii="仿宋_GB2312" w:hAnsi="仿宋_GB2312" w:cs="仿宋_GB2312"/>
          <w:szCs w:val="32"/>
        </w:rPr>
        <w:t xml:space="preserve"> </w:t>
      </w:r>
    </w:p>
    <w:p w:rsidR="00BF62E1" w:rsidRPr="00331ABF" w:rsidRDefault="00BF62E1" w:rsidP="00BF62E1">
      <w:pPr>
        <w:spacing w:line="560" w:lineRule="exact"/>
        <w:ind w:firstLineChars="200" w:firstLine="640"/>
        <w:rPr>
          <w:rFonts w:ascii="仿宋_GB2312" w:hAnsi="仿宋_GB2312" w:cs="仿宋_GB2312"/>
          <w:szCs w:val="32"/>
        </w:rPr>
      </w:pPr>
      <w:r w:rsidRPr="00331ABF">
        <w:rPr>
          <w:rFonts w:ascii="仿宋_GB2312" w:hAnsi="仿宋_GB2312" w:cs="仿宋_GB2312" w:hint="eastAsia"/>
          <w:szCs w:val="32"/>
        </w:rPr>
        <w:lastRenderedPageBreak/>
        <w:t>在保持人员稳定性上，针对保安行业人员流动快的实际情况，保安队做了大量细致思想工作，分析队员思想动态，争取最大限度保持队伍稳定性，同时坚持标准不减、要求不降的原则，保证了保安队伍的整体稳定性。</w:t>
      </w:r>
    </w:p>
    <w:p w:rsidR="00BF62E1" w:rsidRPr="00331ABF" w:rsidRDefault="00BF62E1" w:rsidP="00331ABF">
      <w:pPr>
        <w:spacing w:line="560" w:lineRule="exact"/>
        <w:ind w:firstLineChars="200" w:firstLine="640"/>
        <w:rPr>
          <w:rFonts w:ascii="仿宋_GB2312" w:hAnsi="仿宋_GB2312" w:cs="仿宋_GB2312"/>
          <w:szCs w:val="32"/>
        </w:rPr>
      </w:pPr>
      <w:bookmarkStart w:id="100" w:name="_Toc30908"/>
      <w:bookmarkStart w:id="101" w:name="_Toc19878"/>
      <w:r w:rsidRPr="00331ABF">
        <w:rPr>
          <w:rFonts w:ascii="仿宋_GB2312" w:hAnsi="仿宋_GB2312" w:cs="仿宋_GB2312" w:hint="eastAsia"/>
          <w:szCs w:val="32"/>
        </w:rPr>
        <w:t>3.产出时效</w:t>
      </w:r>
      <w:bookmarkEnd w:id="100"/>
      <w:bookmarkEnd w:id="101"/>
      <w:r w:rsidRPr="00331ABF">
        <w:rPr>
          <w:rFonts w:ascii="仿宋_GB2312" w:hAnsi="仿宋_GB2312" w:cs="仿宋_GB2312" w:hint="eastAsia"/>
          <w:szCs w:val="32"/>
        </w:rPr>
        <w:t>完成及时性评价分析</w:t>
      </w:r>
    </w:p>
    <w:p w:rsidR="00BF62E1" w:rsidRPr="00331ABF" w:rsidRDefault="00BF62E1" w:rsidP="00BF62E1">
      <w:pPr>
        <w:spacing w:line="560" w:lineRule="exact"/>
        <w:ind w:firstLineChars="200" w:firstLine="640"/>
        <w:rPr>
          <w:rFonts w:ascii="仿宋_GB2312" w:hAnsi="仿宋_GB2312" w:cs="仿宋_GB2312"/>
          <w:szCs w:val="32"/>
        </w:rPr>
      </w:pPr>
      <w:r w:rsidRPr="00331ABF">
        <w:rPr>
          <w:rFonts w:ascii="仿宋_GB2312" w:hAnsi="仿宋_GB2312" w:cs="仿宋_GB2312" w:hint="eastAsia"/>
          <w:szCs w:val="32"/>
        </w:rPr>
        <w:t>计划：项目全年执行，年底完成服务工作。</w:t>
      </w:r>
    </w:p>
    <w:p w:rsidR="00BF62E1" w:rsidRPr="00331ABF" w:rsidRDefault="00BF62E1" w:rsidP="00BF62E1">
      <w:pPr>
        <w:spacing w:line="560" w:lineRule="exact"/>
        <w:ind w:firstLineChars="200" w:firstLine="640"/>
        <w:rPr>
          <w:rFonts w:ascii="仿宋_GB2312" w:hAnsi="仿宋_GB2312" w:cs="仿宋_GB2312"/>
          <w:szCs w:val="32"/>
        </w:rPr>
      </w:pPr>
      <w:r w:rsidRPr="00331ABF">
        <w:rPr>
          <w:rFonts w:ascii="仿宋_GB2312" w:hAnsi="仿宋_GB2312" w:cs="仿宋_GB2312" w:hint="eastAsia"/>
          <w:szCs w:val="32"/>
        </w:rPr>
        <w:t>实际：2020年12月，二分院与安保公司签订了安保安检服务合同并制定相应方案，保障了该项目的执行，并于2021年按照工作方案完成了全年安保安检服务工作，产出时效性较好，按期完成了各阶段及年度总体工作任务，实现了全年安全无事故的总体目标。</w:t>
      </w:r>
    </w:p>
    <w:p w:rsidR="00BF62E1" w:rsidRPr="00331ABF" w:rsidRDefault="00BF62E1" w:rsidP="00331ABF">
      <w:pPr>
        <w:spacing w:line="560" w:lineRule="exact"/>
        <w:ind w:firstLineChars="200" w:firstLine="640"/>
        <w:rPr>
          <w:rFonts w:ascii="仿宋_GB2312" w:hAnsi="仿宋_GB2312" w:cs="仿宋_GB2312"/>
          <w:szCs w:val="32"/>
        </w:rPr>
      </w:pPr>
      <w:bookmarkStart w:id="102" w:name="_Toc25692"/>
      <w:bookmarkStart w:id="103" w:name="_Toc28095"/>
      <w:r w:rsidRPr="00331ABF">
        <w:rPr>
          <w:rFonts w:ascii="仿宋_GB2312" w:hAnsi="仿宋_GB2312" w:cs="仿宋_GB2312" w:hint="eastAsia"/>
          <w:szCs w:val="32"/>
        </w:rPr>
        <w:t>4.产出成本</w:t>
      </w:r>
      <w:bookmarkEnd w:id="102"/>
      <w:bookmarkEnd w:id="103"/>
      <w:r w:rsidRPr="00331ABF">
        <w:rPr>
          <w:rFonts w:ascii="仿宋_GB2312" w:hAnsi="仿宋_GB2312" w:cs="仿宋_GB2312" w:hint="eastAsia"/>
          <w:szCs w:val="32"/>
        </w:rPr>
        <w:t>成本节约率评价分析</w:t>
      </w:r>
    </w:p>
    <w:p w:rsidR="00BF62E1" w:rsidRPr="00331ABF" w:rsidRDefault="00BF62E1" w:rsidP="00BF62E1">
      <w:pPr>
        <w:spacing w:line="560" w:lineRule="exact"/>
        <w:ind w:firstLineChars="200" w:firstLine="640"/>
        <w:rPr>
          <w:rFonts w:ascii="仿宋_GB2312" w:hAnsi="仿宋_GB2312" w:cs="仿宋_GB2312"/>
          <w:szCs w:val="32"/>
        </w:rPr>
      </w:pPr>
      <w:r w:rsidRPr="00331ABF">
        <w:rPr>
          <w:rFonts w:ascii="仿宋_GB2312" w:hAnsi="仿宋_GB2312" w:cs="仿宋_GB2312" w:hint="eastAsia"/>
          <w:szCs w:val="32"/>
        </w:rPr>
        <w:t>计划：项目预算控制在196.08万元以内。</w:t>
      </w:r>
    </w:p>
    <w:p w:rsidR="00BF62E1" w:rsidRPr="00331ABF" w:rsidRDefault="00BF62E1" w:rsidP="00BF62E1">
      <w:pPr>
        <w:spacing w:line="560" w:lineRule="exact"/>
        <w:ind w:firstLineChars="200" w:firstLine="640"/>
        <w:rPr>
          <w:rFonts w:ascii="仿宋_GB2312" w:hAnsi="仿宋_GB2312" w:cs="仿宋_GB2312"/>
          <w:szCs w:val="32"/>
        </w:rPr>
      </w:pPr>
      <w:r w:rsidRPr="00331ABF">
        <w:rPr>
          <w:rFonts w:ascii="仿宋_GB2312" w:hAnsi="仿宋_GB2312" w:cs="仿宋_GB2312" w:hint="eastAsia"/>
          <w:szCs w:val="32"/>
        </w:rPr>
        <w:t>实际：2020年二分院与戎威远公司签订2021年安保安检服务合同，合同金额196.08万元，每月支付16.34万元。</w:t>
      </w:r>
      <w:r>
        <w:rPr>
          <w:rFonts w:ascii="仿宋_GB2312" w:hAnsi="仿宋_GB2312" w:cs="仿宋_GB2312" w:hint="eastAsia"/>
          <w:szCs w:val="32"/>
        </w:rPr>
        <w:t>按照现行4300元/人*月的标准计算,已</w:t>
      </w:r>
      <w:r w:rsidRPr="00331ABF">
        <w:rPr>
          <w:rFonts w:ascii="仿宋_GB2312" w:hAnsi="仿宋_GB2312" w:cs="仿宋_GB2312" w:hint="eastAsia"/>
          <w:szCs w:val="32"/>
        </w:rPr>
        <w:t>按照约定</w:t>
      </w:r>
      <w:r>
        <w:rPr>
          <w:rFonts w:ascii="仿宋_GB2312" w:hAnsi="仿宋_GB2312" w:cs="仿宋_GB2312" w:hint="eastAsia"/>
          <w:szCs w:val="32"/>
        </w:rPr>
        <w:t>配备保安员38名，并保证了每天24小时有人轮班在岗</w:t>
      </w:r>
      <w:r w:rsidRPr="00331ABF">
        <w:rPr>
          <w:rFonts w:ascii="仿宋_GB2312" w:hAnsi="仿宋_GB2312" w:cs="仿宋_GB2312" w:hint="eastAsia"/>
          <w:szCs w:val="32"/>
        </w:rPr>
        <w:t>。2021年全年共计支付安保安检服务费196.03万元.年末结余0.05万元。</w:t>
      </w:r>
    </w:p>
    <w:p w:rsidR="00BF62E1" w:rsidRDefault="00BF62E1" w:rsidP="00BF62E1">
      <w:pPr>
        <w:spacing w:line="560" w:lineRule="exact"/>
        <w:ind w:firstLineChars="200" w:firstLine="640"/>
        <w:outlineLvl w:val="1"/>
        <w:rPr>
          <w:rFonts w:ascii="楷体" w:eastAsia="楷体" w:hAnsi="楷体" w:cs="楷体"/>
        </w:rPr>
      </w:pPr>
      <w:bookmarkStart w:id="104" w:name="_Toc19508"/>
      <w:bookmarkStart w:id="105" w:name="_Toc15570"/>
      <w:r>
        <w:rPr>
          <w:rFonts w:ascii="楷体" w:eastAsia="楷体" w:hAnsi="楷体" w:cs="楷体" w:hint="eastAsia"/>
        </w:rPr>
        <w:t>（四）项目效益情况</w:t>
      </w:r>
      <w:bookmarkEnd w:id="104"/>
      <w:bookmarkEnd w:id="105"/>
    </w:p>
    <w:p w:rsidR="00BF62E1" w:rsidRDefault="00BF62E1" w:rsidP="00BF62E1">
      <w:pPr>
        <w:spacing w:line="560" w:lineRule="exact"/>
        <w:ind w:firstLineChars="200" w:firstLine="640"/>
        <w:outlineLvl w:val="2"/>
        <w:rPr>
          <w:rFonts w:ascii="仿宋_GB2312" w:hAnsi="仿宋" w:cs="仿宋_GB2312"/>
          <w:szCs w:val="32"/>
        </w:rPr>
      </w:pPr>
      <w:bookmarkStart w:id="106" w:name="_Toc29686"/>
      <w:bookmarkStart w:id="107" w:name="_Toc12849"/>
      <w:r>
        <w:rPr>
          <w:rFonts w:ascii="仿宋_GB2312" w:hAnsi="仿宋" w:cs="仿宋_GB2312" w:hint="eastAsia"/>
          <w:szCs w:val="32"/>
        </w:rPr>
        <w:t>1.实施效益评价分析</w:t>
      </w:r>
      <w:bookmarkEnd w:id="106"/>
      <w:bookmarkEnd w:id="107"/>
    </w:p>
    <w:p w:rsidR="00BF62E1" w:rsidRDefault="00BF62E1" w:rsidP="00BF62E1">
      <w:pPr>
        <w:pStyle w:val="2"/>
        <w:spacing w:after="0" w:line="560" w:lineRule="exact"/>
        <w:ind w:firstLine="640"/>
        <w:rPr>
          <w:rFonts w:ascii="仿宋_GB2312" w:hAnsi="微软雅黑" w:cs="宋体"/>
          <w:color w:val="000000"/>
          <w:kern w:val="0"/>
          <w:szCs w:val="32"/>
        </w:rPr>
      </w:pPr>
      <w:r>
        <w:rPr>
          <w:rFonts w:ascii="仿宋_GB2312" w:hAnsi="仿宋" w:cs="仿宋_GB2312" w:hint="eastAsia"/>
          <w:szCs w:val="32"/>
        </w:rPr>
        <w:t>该本项目的实施，完成了对全院</w:t>
      </w:r>
      <w:r>
        <w:rPr>
          <w:rFonts w:ascii="仿宋_GB2312" w:hAnsi="仿宋_GB2312" w:cs="仿宋_GB2312" w:hint="eastAsia"/>
          <w:szCs w:val="32"/>
        </w:rPr>
        <w:t>配备保安员38名，并保证了每天24小时有人轮班在岗。保安员岗位设置如下：保安管理</w:t>
      </w:r>
      <w:r>
        <w:rPr>
          <w:rFonts w:ascii="仿宋_GB2312" w:hAnsi="仿宋_GB2312" w:cs="仿宋_GB2312" w:hint="eastAsia"/>
          <w:szCs w:val="32"/>
        </w:rPr>
        <w:lastRenderedPageBreak/>
        <w:t>岗位3名，守卫巡逻岗位19名、应急处置岗6名，技术防范岗位4名，安检岗位6名，</w:t>
      </w:r>
      <w:r>
        <w:rPr>
          <w:rFonts w:ascii="仿宋_GB2312" w:hAnsi="微软雅黑" w:cs="宋体" w:hint="eastAsia"/>
          <w:color w:val="000000"/>
          <w:kern w:val="0"/>
          <w:szCs w:val="32"/>
        </w:rPr>
        <w:t>保证了单位和职工的安全，为检察业务的有序开展提供了安全秩序的办公场所；提供安全稳定的工作环境，避免不良事故，提升检察工作效率，保障良好检察工作氛围的作用效果显著。</w:t>
      </w:r>
    </w:p>
    <w:p w:rsidR="00BF62E1" w:rsidRDefault="00BF62E1" w:rsidP="00BF62E1">
      <w:pPr>
        <w:pStyle w:val="2"/>
        <w:widowControl/>
        <w:spacing w:after="0" w:line="560" w:lineRule="exact"/>
        <w:ind w:firstLine="640"/>
        <w:rPr>
          <w:rFonts w:ascii="仿宋_GB2312" w:hAnsi="微软雅黑" w:cs="宋体"/>
          <w:color w:val="000000"/>
          <w:kern w:val="0"/>
          <w:szCs w:val="32"/>
        </w:rPr>
      </w:pPr>
      <w:r>
        <w:rPr>
          <w:rFonts w:ascii="仿宋_GB2312" w:hAnsi="Cambria" w:hint="eastAsia"/>
          <w:szCs w:val="32"/>
        </w:rPr>
        <w:t>但该项目实施产生效益效果的证明资料不够充分；绩效资料不能充分体现该项目实施对二分院正常办公秩序等的可持续影响。</w:t>
      </w:r>
    </w:p>
    <w:p w:rsidR="00BF62E1" w:rsidRPr="001D77D3" w:rsidRDefault="00BF62E1" w:rsidP="001D77D3">
      <w:pPr>
        <w:pStyle w:val="2"/>
        <w:spacing w:after="0" w:line="560" w:lineRule="exact"/>
        <w:ind w:firstLine="640"/>
        <w:rPr>
          <w:rFonts w:ascii="仿宋_GB2312" w:hAnsi="仿宋" w:cs="仿宋_GB2312"/>
          <w:szCs w:val="32"/>
        </w:rPr>
      </w:pPr>
      <w:bookmarkStart w:id="108" w:name="_Toc5476"/>
      <w:bookmarkStart w:id="109" w:name="_Toc864"/>
      <w:r w:rsidRPr="001D77D3">
        <w:rPr>
          <w:rFonts w:ascii="仿宋_GB2312" w:hAnsi="仿宋" w:cs="仿宋_GB2312" w:hint="eastAsia"/>
          <w:szCs w:val="32"/>
        </w:rPr>
        <w:t>2.服务对象满意度评价分析</w:t>
      </w:r>
      <w:bookmarkEnd w:id="108"/>
      <w:bookmarkEnd w:id="109"/>
    </w:p>
    <w:p w:rsidR="00BF62E1" w:rsidRPr="001D77D3" w:rsidRDefault="00BF62E1" w:rsidP="001D77D3">
      <w:pPr>
        <w:pStyle w:val="2"/>
        <w:spacing w:after="0" w:line="560" w:lineRule="exact"/>
        <w:ind w:firstLine="640"/>
        <w:rPr>
          <w:rFonts w:ascii="仿宋_GB2312" w:hAnsi="仿宋" w:cs="仿宋_GB2312"/>
          <w:szCs w:val="32"/>
        </w:rPr>
      </w:pPr>
      <w:bookmarkStart w:id="110" w:name="_Toc762"/>
      <w:bookmarkStart w:id="111" w:name="_Toc19990"/>
      <w:r w:rsidRPr="001D77D3">
        <w:rPr>
          <w:rFonts w:ascii="仿宋_GB2312" w:hAnsi="仿宋" w:cs="仿宋_GB2312" w:hint="eastAsia"/>
          <w:szCs w:val="32"/>
        </w:rPr>
        <w:t>该项目的实施，</w:t>
      </w:r>
      <w:bookmarkEnd w:id="110"/>
      <w:bookmarkEnd w:id="111"/>
      <w:r w:rsidRPr="001D77D3">
        <w:rPr>
          <w:rFonts w:ascii="仿宋_GB2312" w:hAnsi="仿宋" w:cs="仿宋_GB2312" w:hint="eastAsia"/>
          <w:szCs w:val="32"/>
        </w:rPr>
        <w:t>基本符合年初绩效目标的要求，全院干警人员满意度较高。该项目定期在门卫室、控申大厅等保安队服务场所邀请本院部分干警对保安队进行满意度调查，并按固定格式填写满意度调查，全年填写的满意度调查表共成册12册。该项目满意度调查样本数量大，且干警满意度达到100%。</w:t>
      </w:r>
    </w:p>
    <w:p w:rsidR="00BF62E1" w:rsidRDefault="00BF62E1" w:rsidP="00BF62E1">
      <w:pPr>
        <w:pStyle w:val="1"/>
        <w:spacing w:line="560" w:lineRule="exact"/>
        <w:ind w:firstLineChars="200" w:firstLine="640"/>
        <w:jc w:val="both"/>
        <w:rPr>
          <w:rFonts w:ascii="黑体" w:eastAsia="黑体" w:hAnsi="黑体" w:cs="黑体"/>
          <w:sz w:val="32"/>
          <w:szCs w:val="32"/>
          <w:lang w:val="en-US"/>
        </w:rPr>
      </w:pPr>
      <w:bookmarkStart w:id="112" w:name="_Toc19474"/>
      <w:bookmarkStart w:id="113" w:name="_Toc25247"/>
      <w:bookmarkStart w:id="114" w:name="_Toc21163"/>
      <w:bookmarkStart w:id="115" w:name="_Toc20059"/>
      <w:bookmarkStart w:id="116" w:name="_Toc31908"/>
      <w:bookmarkStart w:id="117" w:name="_Toc185"/>
      <w:bookmarkStart w:id="118" w:name="_Toc26699"/>
      <w:bookmarkStart w:id="119" w:name="_Toc13136"/>
      <w:bookmarkStart w:id="120" w:name="_Toc8995882"/>
      <w:r>
        <w:rPr>
          <w:rFonts w:ascii="黑体" w:eastAsia="黑体" w:hAnsi="黑体" w:cs="黑体" w:hint="eastAsia"/>
          <w:sz w:val="32"/>
          <w:szCs w:val="32"/>
          <w:lang w:val="en-US"/>
        </w:rPr>
        <w:t>五</w:t>
      </w:r>
      <w:r>
        <w:rPr>
          <w:rFonts w:ascii="黑体" w:eastAsia="黑体" w:hAnsi="黑体" w:cs="黑体" w:hint="eastAsia"/>
          <w:sz w:val="32"/>
          <w:szCs w:val="32"/>
        </w:rPr>
        <w:t>、</w:t>
      </w:r>
      <w:bookmarkEnd w:id="112"/>
      <w:bookmarkEnd w:id="113"/>
      <w:bookmarkEnd w:id="114"/>
      <w:bookmarkEnd w:id="115"/>
      <w:bookmarkEnd w:id="116"/>
      <w:r w:rsidR="00FD2DC1">
        <w:rPr>
          <w:rFonts w:ascii="黑体" w:eastAsia="黑体" w:hAnsi="黑体" w:cs="黑体" w:hint="eastAsia"/>
          <w:sz w:val="32"/>
          <w:szCs w:val="32"/>
        </w:rPr>
        <w:t>主要经验及做法、</w:t>
      </w:r>
      <w:r>
        <w:rPr>
          <w:rFonts w:ascii="黑体" w:eastAsia="黑体" w:hAnsi="黑体" w:cs="黑体" w:hint="eastAsia"/>
          <w:sz w:val="32"/>
          <w:szCs w:val="32"/>
          <w:lang w:val="en-US"/>
        </w:rPr>
        <w:t>存在的问题及原因分析</w:t>
      </w:r>
      <w:bookmarkEnd w:id="117"/>
      <w:bookmarkEnd w:id="118"/>
      <w:bookmarkEnd w:id="119"/>
      <w:bookmarkEnd w:id="120"/>
    </w:p>
    <w:p w:rsidR="003313D5" w:rsidRPr="003313D5" w:rsidRDefault="003313D5" w:rsidP="003313D5">
      <w:pPr>
        <w:spacing w:line="560" w:lineRule="exact"/>
        <w:ind w:firstLineChars="200" w:firstLine="640"/>
        <w:outlineLvl w:val="1"/>
        <w:rPr>
          <w:rFonts w:ascii="楷体" w:eastAsia="楷体" w:hAnsi="楷体" w:cs="楷体"/>
        </w:rPr>
      </w:pPr>
      <w:r>
        <w:rPr>
          <w:rFonts w:ascii="楷体" w:eastAsia="楷体" w:hAnsi="楷体" w:cs="楷体" w:hint="eastAsia"/>
        </w:rPr>
        <w:t>（一）</w:t>
      </w:r>
      <w:r w:rsidRPr="003313D5">
        <w:rPr>
          <w:rFonts w:ascii="楷体" w:eastAsia="楷体" w:hAnsi="楷体" w:cs="楷体" w:hint="eastAsia"/>
        </w:rPr>
        <w:t>主要经验及做法</w:t>
      </w:r>
    </w:p>
    <w:p w:rsidR="003313D5" w:rsidRDefault="003313D5" w:rsidP="003313D5">
      <w:pPr>
        <w:spacing w:line="560" w:lineRule="exact"/>
        <w:ind w:firstLineChars="200" w:firstLine="560"/>
        <w:rPr>
          <w:rFonts w:ascii="仿宋_GB2312" w:hAnsi="仿宋_GB2312" w:cs="仿宋_GB2312"/>
          <w:szCs w:val="32"/>
        </w:rPr>
      </w:pPr>
      <w:r>
        <w:rPr>
          <w:rFonts w:ascii="仿宋_GB2312" w:hint="eastAsia"/>
          <w:sz w:val="28"/>
          <w:szCs w:val="28"/>
        </w:rPr>
        <w:t>二分院高度重视绩效评价工作，</w:t>
      </w:r>
      <w:r w:rsidRPr="00100C83">
        <w:rPr>
          <w:rFonts w:ascii="仿宋_GB2312" w:hAnsi="黑体" w:hint="eastAsia"/>
          <w:sz w:val="28"/>
          <w:szCs w:val="28"/>
        </w:rPr>
        <w:t>牢固树立预算绩效管理意识</w:t>
      </w:r>
      <w:r>
        <w:rPr>
          <w:rFonts w:ascii="仿宋_GB2312" w:hAnsi="黑体" w:hint="eastAsia"/>
          <w:sz w:val="28"/>
          <w:szCs w:val="28"/>
        </w:rPr>
        <w:t>，</w:t>
      </w:r>
      <w:r w:rsidRPr="006A279A">
        <w:rPr>
          <w:rFonts w:ascii="仿宋_GB2312" w:hint="eastAsia"/>
          <w:sz w:val="28"/>
          <w:szCs w:val="28"/>
        </w:rPr>
        <w:t>为了保证本次部门自评工作的顺利开展，</w:t>
      </w:r>
      <w:r w:rsidR="00F759A9">
        <w:rPr>
          <w:rFonts w:ascii="仿宋_GB2312" w:hint="eastAsia"/>
          <w:sz w:val="28"/>
          <w:szCs w:val="28"/>
        </w:rPr>
        <w:t>认真组织</w:t>
      </w:r>
      <w:r w:rsidR="0000502B">
        <w:rPr>
          <w:rFonts w:ascii="仿宋_GB2312" w:hint="eastAsia"/>
          <w:sz w:val="28"/>
          <w:szCs w:val="28"/>
        </w:rPr>
        <w:t>培训</w:t>
      </w:r>
      <w:r w:rsidR="00F759A9">
        <w:rPr>
          <w:rFonts w:ascii="仿宋_GB2312" w:hint="eastAsia"/>
          <w:sz w:val="28"/>
          <w:szCs w:val="28"/>
        </w:rPr>
        <w:t>学习。</w:t>
      </w:r>
      <w:r w:rsidRPr="006A279A">
        <w:rPr>
          <w:rFonts w:ascii="仿宋_GB2312" w:hint="eastAsia"/>
          <w:sz w:val="28"/>
          <w:szCs w:val="28"/>
        </w:rPr>
        <w:t>在对《</w:t>
      </w:r>
      <w:r w:rsidR="00F759A9">
        <w:rPr>
          <w:rFonts w:ascii="仿宋_GB2312" w:hint="eastAsia"/>
          <w:sz w:val="28"/>
          <w:szCs w:val="28"/>
        </w:rPr>
        <w:t>北京市财政局关于开展2022</w:t>
      </w:r>
      <w:r w:rsidRPr="006A279A">
        <w:rPr>
          <w:rFonts w:ascii="仿宋_GB2312" w:hint="eastAsia"/>
          <w:sz w:val="28"/>
          <w:szCs w:val="28"/>
        </w:rPr>
        <w:t>年</w:t>
      </w:r>
      <w:r w:rsidR="00F759A9">
        <w:rPr>
          <w:rFonts w:ascii="仿宋_GB2312" w:hint="eastAsia"/>
          <w:sz w:val="28"/>
          <w:szCs w:val="28"/>
        </w:rPr>
        <w:t>全面预算</w:t>
      </w:r>
      <w:r w:rsidRPr="006A279A">
        <w:rPr>
          <w:rFonts w:ascii="仿宋_GB2312" w:hint="eastAsia"/>
          <w:sz w:val="28"/>
          <w:szCs w:val="28"/>
        </w:rPr>
        <w:t>绩效</w:t>
      </w:r>
      <w:r w:rsidR="00F759A9">
        <w:rPr>
          <w:rFonts w:ascii="仿宋_GB2312" w:hint="eastAsia"/>
          <w:sz w:val="28"/>
          <w:szCs w:val="28"/>
        </w:rPr>
        <w:t>管理</w:t>
      </w:r>
      <w:r w:rsidRPr="006A279A">
        <w:rPr>
          <w:rFonts w:ascii="仿宋_GB2312" w:hint="eastAsia"/>
          <w:sz w:val="28"/>
          <w:szCs w:val="28"/>
        </w:rPr>
        <w:t>工作的通知》（京财绩效〔</w:t>
      </w:r>
      <w:r w:rsidR="00F759A9">
        <w:rPr>
          <w:rFonts w:ascii="仿宋_GB2312" w:hint="eastAsia"/>
          <w:sz w:val="28"/>
          <w:szCs w:val="28"/>
        </w:rPr>
        <w:t>2022</w:t>
      </w:r>
      <w:r w:rsidRPr="006A279A">
        <w:rPr>
          <w:rFonts w:ascii="仿宋_GB2312" w:hint="eastAsia"/>
          <w:sz w:val="28"/>
          <w:szCs w:val="28"/>
        </w:rPr>
        <w:t>〕</w:t>
      </w:r>
      <w:r w:rsidR="00F759A9">
        <w:rPr>
          <w:rFonts w:ascii="仿宋_GB2312" w:hint="eastAsia"/>
          <w:sz w:val="28"/>
          <w:szCs w:val="28"/>
        </w:rPr>
        <w:t>669</w:t>
      </w:r>
      <w:r w:rsidRPr="006A279A">
        <w:rPr>
          <w:rFonts w:ascii="仿宋_GB2312" w:hint="eastAsia"/>
          <w:sz w:val="28"/>
          <w:szCs w:val="28"/>
        </w:rPr>
        <w:t>号）深入解读的基础上，对部门自评的要求、重点等内容进行了</w:t>
      </w:r>
      <w:r w:rsidR="00F759A9">
        <w:rPr>
          <w:rFonts w:ascii="仿宋_GB2312" w:hint="eastAsia"/>
          <w:sz w:val="28"/>
          <w:szCs w:val="28"/>
        </w:rPr>
        <w:t>认真领会</w:t>
      </w:r>
      <w:r w:rsidRPr="006A279A">
        <w:rPr>
          <w:rFonts w:ascii="仿宋_GB2312" w:hint="eastAsia"/>
          <w:sz w:val="28"/>
          <w:szCs w:val="28"/>
        </w:rPr>
        <w:t>，对于存在疑问的地方，</w:t>
      </w:r>
      <w:r w:rsidR="00F759A9">
        <w:rPr>
          <w:rFonts w:ascii="仿宋_GB2312" w:hint="eastAsia"/>
          <w:sz w:val="28"/>
          <w:szCs w:val="28"/>
        </w:rPr>
        <w:t>向财政局及有关绩效评价咨询机构进行了充分的学习和沟通，</w:t>
      </w:r>
      <w:r w:rsidRPr="006A279A">
        <w:rPr>
          <w:rFonts w:ascii="仿宋_GB2312" w:hint="eastAsia"/>
          <w:sz w:val="28"/>
          <w:szCs w:val="28"/>
        </w:rPr>
        <w:t>从而保证了部门自评的质量和深度。</w:t>
      </w:r>
    </w:p>
    <w:p w:rsidR="00D906AF" w:rsidRPr="003313D5" w:rsidRDefault="00D906AF" w:rsidP="00D906AF">
      <w:pPr>
        <w:spacing w:line="560" w:lineRule="exact"/>
        <w:ind w:firstLineChars="200" w:firstLine="640"/>
        <w:outlineLvl w:val="1"/>
        <w:rPr>
          <w:rFonts w:ascii="楷体" w:eastAsia="楷体" w:hAnsi="楷体" w:cs="楷体"/>
        </w:rPr>
      </w:pPr>
      <w:r>
        <w:rPr>
          <w:rFonts w:ascii="楷体" w:eastAsia="楷体" w:hAnsi="楷体" w:cs="楷体" w:hint="eastAsia"/>
        </w:rPr>
        <w:lastRenderedPageBreak/>
        <w:t>（二）存在的问题及原因分析</w:t>
      </w:r>
    </w:p>
    <w:p w:rsidR="001A79EF" w:rsidRDefault="00D906AF" w:rsidP="00D906AF">
      <w:pPr>
        <w:pStyle w:val="2"/>
        <w:widowControl/>
        <w:spacing w:after="0" w:line="560" w:lineRule="exact"/>
        <w:ind w:firstLine="640"/>
        <w:rPr>
          <w:rFonts w:ascii="仿宋_GB2312" w:hAnsi="Cambria"/>
          <w:szCs w:val="32"/>
        </w:rPr>
      </w:pPr>
      <w:bookmarkStart w:id="121" w:name="_Toc8995884"/>
      <w:bookmarkStart w:id="122" w:name="_Toc18015"/>
      <w:bookmarkStart w:id="123" w:name="_Toc4205"/>
      <w:r w:rsidRPr="00D906AF">
        <w:rPr>
          <w:rFonts w:ascii="仿宋_GB2312" w:hAnsi="Cambria" w:hint="eastAsia"/>
          <w:szCs w:val="32"/>
        </w:rPr>
        <w:t>1.</w:t>
      </w:r>
      <w:r w:rsidR="00BF62E1" w:rsidRPr="00D906AF">
        <w:rPr>
          <w:rFonts w:ascii="仿宋_GB2312" w:hAnsi="Cambria" w:hint="eastAsia"/>
          <w:szCs w:val="32"/>
        </w:rPr>
        <w:t>该项目的绩效数量、成本、效果指标设定较往年相比较为细化、明确，但绩效指标中设置较简单，安保安检工作绩效指标与绩效目标匹配度不足，如数量指标、质量指标内容较为笼统，未按工作计划方案进行计划。</w:t>
      </w:r>
    </w:p>
    <w:p w:rsidR="00BF62E1" w:rsidRPr="00D906AF" w:rsidRDefault="001A79EF" w:rsidP="00D906AF">
      <w:pPr>
        <w:pStyle w:val="2"/>
        <w:widowControl/>
        <w:spacing w:after="0" w:line="560" w:lineRule="exact"/>
        <w:ind w:firstLine="640"/>
        <w:rPr>
          <w:rFonts w:ascii="仿宋_GB2312" w:hAnsi="Cambria"/>
          <w:szCs w:val="32"/>
        </w:rPr>
      </w:pPr>
      <w:r>
        <w:rPr>
          <w:rFonts w:ascii="仿宋_GB2312" w:hAnsi="Cambria" w:hint="eastAsia"/>
          <w:szCs w:val="32"/>
        </w:rPr>
        <w:t>2.</w:t>
      </w:r>
      <w:r w:rsidR="00BF62E1" w:rsidRPr="00D906AF">
        <w:rPr>
          <w:rFonts w:ascii="仿宋_GB2312" w:hAnsi="Cambria" w:hint="eastAsia"/>
          <w:szCs w:val="32"/>
        </w:rPr>
        <w:t>该项目效益指标，对项目实施所</w:t>
      </w:r>
      <w:r w:rsidR="00BF62E1">
        <w:rPr>
          <w:rFonts w:ascii="仿宋_GB2312" w:hAnsi="Cambria" w:hint="eastAsia"/>
          <w:szCs w:val="32"/>
        </w:rPr>
        <w:t>产生效益效果的证明资料不够充分，</w:t>
      </w:r>
      <w:r w:rsidR="00BF62E1" w:rsidRPr="00D906AF">
        <w:rPr>
          <w:rFonts w:ascii="仿宋_GB2312" w:hAnsi="Cambria" w:hint="eastAsia"/>
          <w:szCs w:val="32"/>
        </w:rPr>
        <w:t>效果指标设置多为定性描述，绩效目标可实现程度衡量依据不足，不利于后期考核及评价。</w:t>
      </w:r>
    </w:p>
    <w:p w:rsidR="00BF62E1" w:rsidRPr="00776465" w:rsidRDefault="00BF62E1" w:rsidP="00886920">
      <w:pPr>
        <w:pStyle w:val="2"/>
        <w:widowControl/>
        <w:spacing w:after="0" w:line="560" w:lineRule="exact"/>
        <w:ind w:firstLine="640"/>
        <w:rPr>
          <w:rFonts w:ascii="黑体" w:eastAsia="黑体" w:hAnsi="黑体" w:cs="黑体"/>
          <w:kern w:val="0"/>
          <w:szCs w:val="32"/>
          <w:lang w:val="zh-CN"/>
        </w:rPr>
      </w:pPr>
      <w:bookmarkStart w:id="124" w:name="_Toc29241"/>
      <w:bookmarkStart w:id="125" w:name="_Toc27166"/>
      <w:r w:rsidRPr="00776465">
        <w:rPr>
          <w:rFonts w:ascii="黑体" w:eastAsia="黑体" w:hAnsi="黑体" w:cs="黑体" w:hint="eastAsia"/>
          <w:kern w:val="0"/>
          <w:szCs w:val="32"/>
          <w:lang w:val="zh-CN"/>
        </w:rPr>
        <w:t>六、有关建议</w:t>
      </w:r>
      <w:bookmarkEnd w:id="121"/>
      <w:bookmarkEnd w:id="122"/>
      <w:bookmarkEnd w:id="123"/>
      <w:bookmarkEnd w:id="124"/>
      <w:bookmarkEnd w:id="125"/>
    </w:p>
    <w:p w:rsidR="00BF62E1" w:rsidRDefault="00BF62E1" w:rsidP="00886920">
      <w:pPr>
        <w:pStyle w:val="2"/>
        <w:widowControl/>
        <w:spacing w:after="0" w:line="560" w:lineRule="exact"/>
        <w:ind w:firstLine="640"/>
        <w:rPr>
          <w:rFonts w:ascii="仿宋_GB2312" w:hAnsi="Cambria"/>
          <w:szCs w:val="32"/>
        </w:rPr>
      </w:pPr>
      <w:r>
        <w:rPr>
          <w:rFonts w:ascii="仿宋_GB2312" w:hAnsi="Cambria" w:hint="eastAsia"/>
          <w:szCs w:val="32"/>
        </w:rPr>
        <w:t>（一）建议注重提高绩效目标表的可考量性。根据项目的实际情况，认真梳理合理、明确的数量指标、质量指标、进度指标、满意度指标，以便于项目管理与绩效考核。</w:t>
      </w:r>
    </w:p>
    <w:p w:rsidR="00BF62E1" w:rsidRPr="00886920" w:rsidRDefault="00BF62E1" w:rsidP="00886920">
      <w:pPr>
        <w:pStyle w:val="2"/>
        <w:widowControl/>
        <w:spacing w:after="0" w:line="560" w:lineRule="exact"/>
        <w:ind w:firstLine="640"/>
        <w:rPr>
          <w:rFonts w:ascii="仿宋_GB2312" w:hAnsi="Cambria"/>
          <w:szCs w:val="32"/>
        </w:rPr>
      </w:pPr>
      <w:r>
        <w:rPr>
          <w:rFonts w:ascii="仿宋_GB2312" w:hAnsi="Cambria" w:hint="eastAsia"/>
          <w:szCs w:val="32"/>
        </w:rPr>
        <w:t>（二）建议合理设置绩效指标，增强指标可考核性。</w:t>
      </w:r>
      <w:r w:rsidRPr="00886920">
        <w:rPr>
          <w:rFonts w:ascii="仿宋_GB2312" w:hAnsi="Cambria" w:hint="eastAsia"/>
          <w:szCs w:val="32"/>
        </w:rPr>
        <w:t>建议完善绩效指标内容；其中，完善该服务内容相关的数量指标；进一步细化进度指标的各阶段任务和时间节点。</w:t>
      </w:r>
    </w:p>
    <w:p w:rsidR="00BF62E1" w:rsidRPr="00886920" w:rsidRDefault="00BF62E1" w:rsidP="00886920">
      <w:pPr>
        <w:pStyle w:val="2"/>
        <w:widowControl/>
        <w:spacing w:after="0" w:line="560" w:lineRule="exact"/>
        <w:ind w:firstLine="640"/>
        <w:rPr>
          <w:rFonts w:ascii="仿宋_GB2312" w:hAnsi="Cambria"/>
          <w:szCs w:val="32"/>
        </w:rPr>
      </w:pPr>
      <w:r w:rsidRPr="00886920">
        <w:rPr>
          <w:rFonts w:ascii="仿宋_GB2312" w:hAnsi="Cambria" w:hint="eastAsia"/>
          <w:szCs w:val="32"/>
        </w:rPr>
        <w:t>（三）该项目效益指标可考核性不足，建议完善通过项目实施，提高安保安检工作质量，实施效果等方面指标内容。</w:t>
      </w:r>
    </w:p>
    <w:p w:rsidR="00BF62E1" w:rsidRDefault="00BF62E1" w:rsidP="00886920">
      <w:pPr>
        <w:pStyle w:val="2"/>
        <w:widowControl/>
        <w:spacing w:after="0" w:line="560" w:lineRule="exact"/>
        <w:ind w:firstLine="640"/>
        <w:rPr>
          <w:rFonts w:ascii="仿宋_GB2312" w:hAnsi="Cambria"/>
          <w:szCs w:val="32"/>
        </w:rPr>
      </w:pPr>
      <w:r>
        <w:rPr>
          <w:rFonts w:ascii="仿宋_GB2312" w:hAnsi="Cambria" w:hint="eastAsia"/>
          <w:szCs w:val="32"/>
        </w:rPr>
        <w:t>（四）注重项目效益和效果资料归集，充分体现实施效益效果，证明资料完善有效，为项目成果提供更加全面的支撑：注意收集留存项目实施前后效果对比的资料，为项目成果提供更具体的数据支撑。</w:t>
      </w:r>
    </w:p>
    <w:p w:rsidR="00BF62E1" w:rsidRDefault="00886920" w:rsidP="00886920">
      <w:pPr>
        <w:spacing w:line="560" w:lineRule="exact"/>
        <w:rPr>
          <w:rFonts w:ascii="仿宋_GB2312" w:hAnsi="仿宋_GB2312" w:cs="仿宋_GB2312"/>
          <w:szCs w:val="32"/>
        </w:rPr>
      </w:pPr>
      <w:r>
        <w:rPr>
          <w:rFonts w:ascii="仿宋_GB2312" w:hAnsi="Cambria" w:hint="eastAsia"/>
          <w:kern w:val="1"/>
          <w:szCs w:val="32"/>
        </w:rPr>
        <w:t xml:space="preserve">     </w:t>
      </w:r>
      <w:r>
        <w:rPr>
          <w:rFonts w:ascii="仿宋_GB2312" w:hAnsi="仿宋_GB2312" w:cs="仿宋_GB2312" w:hint="eastAsia"/>
          <w:bCs/>
          <w:kern w:val="0"/>
          <w:szCs w:val="32"/>
        </w:rPr>
        <w:t>附件：指标体系及评</w:t>
      </w:r>
      <w:r w:rsidR="00BF62E1">
        <w:rPr>
          <w:rFonts w:ascii="仿宋_GB2312" w:hAnsi="仿宋_GB2312" w:cs="仿宋_GB2312" w:hint="eastAsia"/>
          <w:bCs/>
          <w:kern w:val="0"/>
          <w:szCs w:val="32"/>
        </w:rPr>
        <w:t>分情况表</w:t>
      </w:r>
      <w:bookmarkEnd w:id="57"/>
    </w:p>
    <w:p w:rsidR="00BF62E1" w:rsidRDefault="00BF62E1" w:rsidP="00886920">
      <w:pPr>
        <w:pStyle w:val="10"/>
        <w:jc w:val="right"/>
        <w:rPr>
          <w:rFonts w:ascii="仿宋_GB2312" w:hAnsi="仿宋_GB2312" w:cs="仿宋_GB2312"/>
          <w:szCs w:val="32"/>
        </w:rPr>
        <w:sectPr w:rsidR="00BF62E1">
          <w:footerReference w:type="default" r:id="rId7"/>
          <w:pgSz w:w="11906" w:h="16838"/>
          <w:pgMar w:top="2098" w:right="1474" w:bottom="1984" w:left="1587" w:header="851" w:footer="794" w:gutter="0"/>
          <w:pgNumType w:start="1"/>
          <w:cols w:space="720"/>
          <w:docGrid w:type="lines" w:linePitch="312"/>
        </w:sectPr>
      </w:pPr>
    </w:p>
    <w:p w:rsidR="00BF62E1" w:rsidRDefault="00BF62E1" w:rsidP="00BF62E1">
      <w:pPr>
        <w:adjustRightInd w:val="0"/>
        <w:snapToGrid w:val="0"/>
        <w:spacing w:line="560" w:lineRule="exact"/>
        <w:jc w:val="center"/>
        <w:rPr>
          <w:rFonts w:ascii="宋体" w:hAnsi="宋体"/>
          <w:szCs w:val="32"/>
        </w:rPr>
      </w:pPr>
      <w:r>
        <w:rPr>
          <w:rFonts w:ascii="宋体" w:hAnsi="宋体" w:hint="eastAsia"/>
          <w:szCs w:val="32"/>
        </w:rPr>
        <w:lastRenderedPageBreak/>
        <w:t>指标体系及评分情况表</w:t>
      </w:r>
    </w:p>
    <w:p w:rsidR="00BF62E1" w:rsidRDefault="00BF62E1" w:rsidP="00BF62E1">
      <w:pPr>
        <w:adjustRightInd w:val="0"/>
        <w:snapToGrid w:val="0"/>
        <w:spacing w:line="560" w:lineRule="exact"/>
        <w:rPr>
          <w:rFonts w:ascii="宋体" w:eastAsia="宋体" w:hAnsi="宋体"/>
          <w:bCs/>
          <w:sz w:val="22"/>
          <w:szCs w:val="22"/>
        </w:rPr>
      </w:pPr>
      <w:r>
        <w:rPr>
          <w:rFonts w:ascii="宋体" w:hAnsi="宋体" w:hint="eastAsia"/>
          <w:bCs/>
          <w:sz w:val="22"/>
          <w:szCs w:val="22"/>
        </w:rPr>
        <w:t>项目名称：</w:t>
      </w:r>
      <w:r>
        <w:rPr>
          <w:rFonts w:ascii="宋体" w:hAnsi="宋体" w:hint="eastAsia"/>
          <w:bCs/>
          <w:sz w:val="22"/>
          <w:szCs w:val="22"/>
        </w:rPr>
        <w:t>2021</w:t>
      </w:r>
      <w:r>
        <w:rPr>
          <w:rFonts w:ascii="宋体" w:hAnsi="宋体" w:hint="eastAsia"/>
          <w:bCs/>
          <w:sz w:val="22"/>
          <w:szCs w:val="22"/>
        </w:rPr>
        <w:t>年度“安保安检费用”项目</w:t>
      </w:r>
    </w:p>
    <w:tbl>
      <w:tblPr>
        <w:tblW w:w="5066" w:type="pct"/>
        <w:tblCellMar>
          <w:left w:w="0" w:type="dxa"/>
          <w:right w:w="0" w:type="dxa"/>
        </w:tblCellMar>
        <w:tblLook w:val="0000"/>
      </w:tblPr>
      <w:tblGrid>
        <w:gridCol w:w="988"/>
        <w:gridCol w:w="823"/>
        <w:gridCol w:w="1313"/>
        <w:gridCol w:w="642"/>
        <w:gridCol w:w="655"/>
        <w:gridCol w:w="4748"/>
      </w:tblGrid>
      <w:tr w:rsidR="00BF62E1" w:rsidTr="002F76B7">
        <w:trPr>
          <w:trHeight w:val="363"/>
          <w:tblHeader/>
        </w:trPr>
        <w:tc>
          <w:tcPr>
            <w:tcW w:w="539" w:type="pct"/>
            <w:tcBorders>
              <w:top w:val="single" w:sz="8" w:space="0" w:color="000000"/>
              <w:left w:val="single" w:sz="8" w:space="0" w:color="000000"/>
              <w:bottom w:val="single" w:sz="8" w:space="0" w:color="000000"/>
              <w:right w:val="single" w:sz="8" w:space="0" w:color="000000"/>
            </w:tcBorders>
            <w:tcMar>
              <w:top w:w="12" w:type="dxa"/>
              <w:left w:w="12" w:type="dxa"/>
              <w:right w:w="12" w:type="dxa"/>
            </w:tcMar>
            <w:vAlign w:val="center"/>
          </w:tcPr>
          <w:p w:rsidR="00BF62E1" w:rsidRDefault="00BF62E1" w:rsidP="002F76B7">
            <w:pPr>
              <w:widowControl/>
              <w:jc w:val="center"/>
              <w:textAlignment w:val="center"/>
              <w:rPr>
                <w:rFonts w:ascii="宋体" w:eastAsia="宋体" w:hAnsi="宋体" w:cs="宋体"/>
                <w:b/>
                <w:color w:val="000000"/>
                <w:sz w:val="20"/>
                <w:szCs w:val="20"/>
              </w:rPr>
            </w:pPr>
            <w:r>
              <w:rPr>
                <w:rFonts w:ascii="宋体" w:eastAsia="宋体" w:hAnsi="宋体" w:cs="宋体" w:hint="eastAsia"/>
                <w:b/>
                <w:bCs/>
                <w:color w:val="000000"/>
                <w:kern w:val="0"/>
                <w:sz w:val="20"/>
                <w:szCs w:val="20"/>
              </w:rPr>
              <w:t>一级</w:t>
            </w:r>
          </w:p>
        </w:tc>
        <w:tc>
          <w:tcPr>
            <w:tcW w:w="449" w:type="pct"/>
            <w:tcBorders>
              <w:top w:val="single" w:sz="8" w:space="0" w:color="000000"/>
              <w:left w:val="nil"/>
              <w:bottom w:val="single" w:sz="8" w:space="0" w:color="000000"/>
              <w:right w:val="single" w:sz="8" w:space="0" w:color="000000"/>
            </w:tcBorders>
            <w:tcMar>
              <w:top w:w="12" w:type="dxa"/>
              <w:left w:w="12" w:type="dxa"/>
              <w:right w:w="12" w:type="dxa"/>
            </w:tcMar>
            <w:vAlign w:val="center"/>
          </w:tcPr>
          <w:p w:rsidR="00BF62E1" w:rsidRDefault="00BF62E1" w:rsidP="002F76B7">
            <w:pPr>
              <w:widowControl/>
              <w:jc w:val="center"/>
              <w:textAlignment w:val="center"/>
              <w:rPr>
                <w:rFonts w:ascii="宋体" w:eastAsia="宋体" w:hAnsi="宋体" w:cs="宋体"/>
                <w:b/>
                <w:color w:val="000000"/>
                <w:sz w:val="20"/>
                <w:szCs w:val="20"/>
              </w:rPr>
            </w:pPr>
            <w:r>
              <w:rPr>
                <w:rFonts w:ascii="宋体" w:eastAsia="宋体" w:hAnsi="宋体" w:cs="宋体" w:hint="eastAsia"/>
                <w:b/>
                <w:bCs/>
                <w:color w:val="000000"/>
                <w:kern w:val="0"/>
                <w:sz w:val="20"/>
                <w:szCs w:val="20"/>
              </w:rPr>
              <w:t>二级</w:t>
            </w:r>
          </w:p>
        </w:tc>
        <w:tc>
          <w:tcPr>
            <w:tcW w:w="715" w:type="pct"/>
            <w:tcBorders>
              <w:top w:val="single" w:sz="8" w:space="0" w:color="000000"/>
              <w:left w:val="nil"/>
              <w:bottom w:val="single" w:sz="8" w:space="0" w:color="000000"/>
              <w:right w:val="single" w:sz="8" w:space="0" w:color="000000"/>
            </w:tcBorders>
            <w:tcMar>
              <w:top w:w="12" w:type="dxa"/>
              <w:left w:w="12" w:type="dxa"/>
              <w:right w:w="12" w:type="dxa"/>
            </w:tcMar>
            <w:vAlign w:val="center"/>
          </w:tcPr>
          <w:p w:rsidR="00BF62E1" w:rsidRDefault="00BF62E1" w:rsidP="002F76B7">
            <w:pPr>
              <w:widowControl/>
              <w:jc w:val="center"/>
              <w:textAlignment w:val="center"/>
              <w:rPr>
                <w:rFonts w:ascii="宋体" w:eastAsia="宋体" w:hAnsi="宋体" w:cs="宋体"/>
                <w:b/>
                <w:color w:val="000000"/>
                <w:sz w:val="20"/>
                <w:szCs w:val="20"/>
              </w:rPr>
            </w:pPr>
            <w:r>
              <w:rPr>
                <w:rFonts w:ascii="宋体" w:eastAsia="宋体" w:hAnsi="宋体" w:cs="宋体" w:hint="eastAsia"/>
                <w:b/>
                <w:bCs/>
                <w:color w:val="000000"/>
                <w:kern w:val="0"/>
                <w:sz w:val="20"/>
                <w:szCs w:val="20"/>
              </w:rPr>
              <w:t>三级</w:t>
            </w:r>
          </w:p>
        </w:tc>
        <w:tc>
          <w:tcPr>
            <w:tcW w:w="350" w:type="pct"/>
            <w:tcBorders>
              <w:top w:val="single" w:sz="8" w:space="0" w:color="000000"/>
              <w:left w:val="nil"/>
              <w:bottom w:val="single" w:sz="8" w:space="0" w:color="000000"/>
              <w:right w:val="single" w:sz="8" w:space="0" w:color="000000"/>
            </w:tcBorders>
            <w:tcMar>
              <w:top w:w="12" w:type="dxa"/>
              <w:left w:w="12" w:type="dxa"/>
              <w:right w:w="12" w:type="dxa"/>
            </w:tcMar>
            <w:vAlign w:val="center"/>
          </w:tcPr>
          <w:p w:rsidR="00BF62E1" w:rsidRDefault="00BF62E1" w:rsidP="002F76B7">
            <w:pPr>
              <w:widowControl/>
              <w:jc w:val="center"/>
              <w:textAlignment w:val="center"/>
              <w:rPr>
                <w:rFonts w:ascii="宋体" w:eastAsia="宋体" w:hAnsi="宋体" w:cs="宋体"/>
                <w:b/>
                <w:color w:val="000000"/>
                <w:sz w:val="20"/>
                <w:szCs w:val="20"/>
              </w:rPr>
            </w:pPr>
            <w:r>
              <w:rPr>
                <w:rFonts w:ascii="宋体" w:eastAsia="宋体" w:hAnsi="宋体" w:cs="宋体" w:hint="eastAsia"/>
                <w:b/>
                <w:bCs/>
                <w:color w:val="000000"/>
                <w:kern w:val="0"/>
                <w:sz w:val="20"/>
                <w:szCs w:val="20"/>
              </w:rPr>
              <w:t>分值</w:t>
            </w:r>
          </w:p>
        </w:tc>
        <w:tc>
          <w:tcPr>
            <w:tcW w:w="357" w:type="pct"/>
            <w:tcBorders>
              <w:top w:val="single" w:sz="8" w:space="0" w:color="000000"/>
              <w:left w:val="nil"/>
              <w:bottom w:val="single" w:sz="8" w:space="0" w:color="000000"/>
              <w:right w:val="single" w:sz="8" w:space="0" w:color="000000"/>
            </w:tcBorders>
            <w:tcMar>
              <w:top w:w="12" w:type="dxa"/>
              <w:left w:w="12" w:type="dxa"/>
              <w:right w:w="12" w:type="dxa"/>
            </w:tcMar>
            <w:vAlign w:val="center"/>
          </w:tcPr>
          <w:p w:rsidR="00BF62E1" w:rsidRDefault="00BF62E1" w:rsidP="002F76B7">
            <w:pPr>
              <w:widowControl/>
              <w:jc w:val="center"/>
              <w:textAlignment w:val="center"/>
              <w:rPr>
                <w:rFonts w:ascii="宋体" w:eastAsia="宋体" w:hAnsi="宋体" w:cs="宋体"/>
                <w:b/>
                <w:color w:val="000000"/>
                <w:sz w:val="20"/>
                <w:szCs w:val="20"/>
              </w:rPr>
            </w:pPr>
            <w:r>
              <w:rPr>
                <w:rFonts w:ascii="宋体" w:eastAsia="宋体" w:hAnsi="宋体" w:cs="宋体" w:hint="eastAsia"/>
                <w:b/>
                <w:bCs/>
                <w:color w:val="000000"/>
                <w:kern w:val="0"/>
                <w:sz w:val="20"/>
                <w:szCs w:val="20"/>
              </w:rPr>
              <w:t>评分</w:t>
            </w:r>
          </w:p>
        </w:tc>
        <w:tc>
          <w:tcPr>
            <w:tcW w:w="2588" w:type="pct"/>
            <w:tcBorders>
              <w:top w:val="single" w:sz="8" w:space="0" w:color="000000"/>
              <w:left w:val="nil"/>
              <w:bottom w:val="single" w:sz="8" w:space="0" w:color="000000"/>
              <w:right w:val="single" w:sz="8" w:space="0" w:color="000000"/>
            </w:tcBorders>
            <w:tcMar>
              <w:top w:w="12" w:type="dxa"/>
              <w:left w:w="12" w:type="dxa"/>
              <w:right w:w="12" w:type="dxa"/>
            </w:tcMar>
            <w:vAlign w:val="center"/>
          </w:tcPr>
          <w:p w:rsidR="00BF62E1" w:rsidRDefault="00BF62E1" w:rsidP="002F76B7">
            <w:pPr>
              <w:widowControl/>
              <w:jc w:val="center"/>
              <w:textAlignment w:val="center"/>
              <w:rPr>
                <w:rFonts w:ascii="宋体" w:eastAsia="宋体" w:hAnsi="宋体" w:cs="宋体"/>
                <w:b/>
                <w:color w:val="000000"/>
                <w:sz w:val="20"/>
                <w:szCs w:val="20"/>
              </w:rPr>
            </w:pPr>
            <w:r>
              <w:rPr>
                <w:rFonts w:ascii="宋体" w:eastAsia="宋体" w:hAnsi="宋体" w:cs="宋体" w:hint="eastAsia"/>
                <w:b/>
                <w:bCs/>
                <w:color w:val="000000"/>
                <w:kern w:val="0"/>
                <w:sz w:val="20"/>
                <w:szCs w:val="20"/>
              </w:rPr>
              <w:t>扣分原因及依据</w:t>
            </w:r>
          </w:p>
        </w:tc>
      </w:tr>
      <w:tr w:rsidR="00BF62E1" w:rsidTr="002F76B7">
        <w:trPr>
          <w:trHeight w:val="240"/>
        </w:trPr>
        <w:tc>
          <w:tcPr>
            <w:tcW w:w="539" w:type="pct"/>
            <w:vMerge w:val="restart"/>
            <w:tcBorders>
              <w:top w:val="nil"/>
              <w:left w:val="single" w:sz="8" w:space="0" w:color="000000"/>
              <w:bottom w:val="single" w:sz="8" w:space="0" w:color="000000"/>
              <w:right w:val="single" w:sz="8" w:space="0" w:color="000000"/>
            </w:tcBorders>
            <w:tcMar>
              <w:top w:w="12" w:type="dxa"/>
              <w:left w:w="12" w:type="dxa"/>
              <w:right w:w="12" w:type="dxa"/>
            </w:tcMar>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项目决策（30分）</w:t>
            </w:r>
          </w:p>
        </w:tc>
        <w:tc>
          <w:tcPr>
            <w:tcW w:w="449" w:type="pct"/>
            <w:vMerge w:val="restar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项目立项（10分）</w:t>
            </w:r>
          </w:p>
        </w:tc>
        <w:tc>
          <w:tcPr>
            <w:tcW w:w="715" w:type="pc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立项依据充分性</w:t>
            </w:r>
          </w:p>
        </w:tc>
        <w:tc>
          <w:tcPr>
            <w:tcW w:w="350" w:type="pc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5</w:t>
            </w:r>
          </w:p>
        </w:tc>
        <w:tc>
          <w:tcPr>
            <w:tcW w:w="357" w:type="pc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5</w:t>
            </w:r>
          </w:p>
        </w:tc>
        <w:tc>
          <w:tcPr>
            <w:tcW w:w="2588" w:type="pc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jc w:val="left"/>
              <w:rPr>
                <w:rFonts w:ascii="宋体" w:eastAsia="宋体" w:hAnsi="宋体" w:cs="宋体"/>
                <w:color w:val="000000"/>
                <w:sz w:val="18"/>
                <w:szCs w:val="18"/>
              </w:rPr>
            </w:pPr>
          </w:p>
        </w:tc>
      </w:tr>
      <w:tr w:rsidR="00BF62E1" w:rsidTr="002F76B7">
        <w:trPr>
          <w:trHeight w:val="339"/>
        </w:trPr>
        <w:tc>
          <w:tcPr>
            <w:tcW w:w="539" w:type="pct"/>
            <w:vMerge/>
            <w:tcBorders>
              <w:top w:val="nil"/>
              <w:left w:val="single" w:sz="8" w:space="0" w:color="000000"/>
              <w:bottom w:val="single" w:sz="8" w:space="0" w:color="000000"/>
              <w:right w:val="single" w:sz="8" w:space="0" w:color="000000"/>
            </w:tcBorders>
            <w:tcMar>
              <w:top w:w="12" w:type="dxa"/>
              <w:left w:w="12" w:type="dxa"/>
              <w:right w:w="12" w:type="dxa"/>
            </w:tcMar>
            <w:vAlign w:val="center"/>
          </w:tcPr>
          <w:p w:rsidR="00BF62E1" w:rsidRDefault="00BF62E1" w:rsidP="002F76B7">
            <w:pPr>
              <w:jc w:val="center"/>
              <w:rPr>
                <w:rFonts w:ascii="宋体" w:eastAsia="宋体" w:hAnsi="宋体" w:cs="宋体"/>
                <w:color w:val="000000"/>
                <w:sz w:val="18"/>
                <w:szCs w:val="18"/>
              </w:rPr>
            </w:pPr>
          </w:p>
        </w:tc>
        <w:tc>
          <w:tcPr>
            <w:tcW w:w="449" w:type="pct"/>
            <w:vMerge/>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jc w:val="center"/>
              <w:rPr>
                <w:rFonts w:ascii="宋体" w:eastAsia="宋体" w:hAnsi="宋体" w:cs="宋体"/>
                <w:color w:val="000000"/>
                <w:sz w:val="18"/>
                <w:szCs w:val="18"/>
              </w:rPr>
            </w:pPr>
          </w:p>
        </w:tc>
        <w:tc>
          <w:tcPr>
            <w:tcW w:w="715" w:type="pc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立项程序规范性</w:t>
            </w:r>
          </w:p>
        </w:tc>
        <w:tc>
          <w:tcPr>
            <w:tcW w:w="350" w:type="pc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5</w:t>
            </w:r>
          </w:p>
        </w:tc>
        <w:tc>
          <w:tcPr>
            <w:tcW w:w="357" w:type="pc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5</w:t>
            </w:r>
          </w:p>
        </w:tc>
        <w:tc>
          <w:tcPr>
            <w:tcW w:w="2588" w:type="pc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widowControl/>
              <w:jc w:val="left"/>
              <w:textAlignment w:val="center"/>
              <w:rPr>
                <w:rFonts w:ascii="宋体" w:eastAsia="宋体" w:hAnsi="宋体" w:cs="宋体"/>
                <w:color w:val="000000"/>
                <w:sz w:val="18"/>
                <w:szCs w:val="18"/>
              </w:rPr>
            </w:pPr>
          </w:p>
        </w:tc>
      </w:tr>
      <w:tr w:rsidR="00BF62E1" w:rsidTr="002F76B7">
        <w:trPr>
          <w:trHeight w:val="264"/>
        </w:trPr>
        <w:tc>
          <w:tcPr>
            <w:tcW w:w="539" w:type="pct"/>
            <w:vMerge/>
            <w:tcBorders>
              <w:top w:val="nil"/>
              <w:left w:val="single" w:sz="8" w:space="0" w:color="000000"/>
              <w:bottom w:val="single" w:sz="8" w:space="0" w:color="000000"/>
              <w:right w:val="single" w:sz="8" w:space="0" w:color="000000"/>
            </w:tcBorders>
            <w:tcMar>
              <w:top w:w="12" w:type="dxa"/>
              <w:left w:w="12" w:type="dxa"/>
              <w:right w:w="12" w:type="dxa"/>
            </w:tcMar>
            <w:vAlign w:val="center"/>
          </w:tcPr>
          <w:p w:rsidR="00BF62E1" w:rsidRDefault="00BF62E1" w:rsidP="002F76B7">
            <w:pPr>
              <w:jc w:val="center"/>
              <w:rPr>
                <w:rFonts w:ascii="宋体" w:eastAsia="宋体" w:hAnsi="宋体" w:cs="宋体"/>
                <w:color w:val="000000"/>
                <w:sz w:val="18"/>
                <w:szCs w:val="18"/>
              </w:rPr>
            </w:pPr>
          </w:p>
        </w:tc>
        <w:tc>
          <w:tcPr>
            <w:tcW w:w="449" w:type="pct"/>
            <w:vMerge w:val="restar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绩效目标（10分）</w:t>
            </w:r>
          </w:p>
        </w:tc>
        <w:tc>
          <w:tcPr>
            <w:tcW w:w="715" w:type="pc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绩效目标合理性</w:t>
            </w:r>
          </w:p>
        </w:tc>
        <w:tc>
          <w:tcPr>
            <w:tcW w:w="350" w:type="pc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5</w:t>
            </w:r>
          </w:p>
        </w:tc>
        <w:tc>
          <w:tcPr>
            <w:tcW w:w="357" w:type="pc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5</w:t>
            </w:r>
          </w:p>
        </w:tc>
        <w:tc>
          <w:tcPr>
            <w:tcW w:w="2588" w:type="pc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jc w:val="left"/>
              <w:rPr>
                <w:rFonts w:ascii="宋体" w:eastAsia="宋体" w:hAnsi="宋体" w:cs="宋体"/>
                <w:color w:val="000000"/>
                <w:sz w:val="18"/>
                <w:szCs w:val="18"/>
              </w:rPr>
            </w:pPr>
          </w:p>
        </w:tc>
      </w:tr>
      <w:tr w:rsidR="00BF62E1" w:rsidTr="002F76B7">
        <w:trPr>
          <w:trHeight w:val="780"/>
        </w:trPr>
        <w:tc>
          <w:tcPr>
            <w:tcW w:w="539" w:type="pct"/>
            <w:vMerge/>
            <w:tcBorders>
              <w:top w:val="nil"/>
              <w:left w:val="single" w:sz="8" w:space="0" w:color="000000"/>
              <w:bottom w:val="single" w:sz="8" w:space="0" w:color="000000"/>
              <w:right w:val="single" w:sz="8" w:space="0" w:color="000000"/>
            </w:tcBorders>
            <w:tcMar>
              <w:top w:w="12" w:type="dxa"/>
              <w:left w:w="12" w:type="dxa"/>
              <w:right w:w="12" w:type="dxa"/>
            </w:tcMar>
            <w:vAlign w:val="center"/>
          </w:tcPr>
          <w:p w:rsidR="00BF62E1" w:rsidRDefault="00BF62E1" w:rsidP="002F76B7">
            <w:pPr>
              <w:jc w:val="center"/>
              <w:rPr>
                <w:rFonts w:ascii="宋体" w:eastAsia="宋体" w:hAnsi="宋体" w:cs="宋体"/>
                <w:color w:val="000000"/>
                <w:sz w:val="18"/>
                <w:szCs w:val="18"/>
              </w:rPr>
            </w:pPr>
          </w:p>
        </w:tc>
        <w:tc>
          <w:tcPr>
            <w:tcW w:w="449" w:type="pct"/>
            <w:vMerge/>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jc w:val="center"/>
              <w:rPr>
                <w:rFonts w:ascii="宋体" w:eastAsia="宋体" w:hAnsi="宋体" w:cs="宋体"/>
                <w:color w:val="000000"/>
                <w:sz w:val="18"/>
                <w:szCs w:val="18"/>
              </w:rPr>
            </w:pPr>
          </w:p>
        </w:tc>
        <w:tc>
          <w:tcPr>
            <w:tcW w:w="715" w:type="pc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绩效指标明确性</w:t>
            </w:r>
          </w:p>
        </w:tc>
        <w:tc>
          <w:tcPr>
            <w:tcW w:w="350" w:type="pc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5</w:t>
            </w:r>
          </w:p>
        </w:tc>
        <w:tc>
          <w:tcPr>
            <w:tcW w:w="357" w:type="pc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2</w:t>
            </w:r>
          </w:p>
        </w:tc>
        <w:tc>
          <w:tcPr>
            <w:tcW w:w="2588" w:type="pc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个别绩效指标中设置不够细化，绩效指标明确性不足，指标设定较为笼统，不够细化，可衡量性不足。如产出指标的数量指标未结合实际需求，细化具体岗位安排多少人员等内容，设置较为笼统；部分质量指标不明确，缺乏评价有效性；效益指标没有明确通过安全检查和执勤站岗等确保正常工作秩序和稳定安全的工作环境等发挥的作用、产生效益和效果，以及该项目可持续性指标不明确，不能用清晰、可衡量的指标值予以体现</w:t>
            </w:r>
          </w:p>
        </w:tc>
      </w:tr>
      <w:tr w:rsidR="00BF62E1" w:rsidTr="002F76B7">
        <w:trPr>
          <w:trHeight w:val="412"/>
        </w:trPr>
        <w:tc>
          <w:tcPr>
            <w:tcW w:w="539" w:type="pct"/>
            <w:vMerge/>
            <w:tcBorders>
              <w:top w:val="nil"/>
              <w:left w:val="single" w:sz="8" w:space="0" w:color="000000"/>
              <w:bottom w:val="single" w:sz="8" w:space="0" w:color="000000"/>
              <w:right w:val="single" w:sz="8" w:space="0" w:color="000000"/>
            </w:tcBorders>
            <w:tcMar>
              <w:top w:w="12" w:type="dxa"/>
              <w:left w:w="12" w:type="dxa"/>
              <w:right w:w="12" w:type="dxa"/>
            </w:tcMar>
            <w:vAlign w:val="center"/>
          </w:tcPr>
          <w:p w:rsidR="00BF62E1" w:rsidRDefault="00BF62E1" w:rsidP="002F76B7">
            <w:pPr>
              <w:jc w:val="center"/>
              <w:rPr>
                <w:rFonts w:ascii="宋体" w:eastAsia="宋体" w:hAnsi="宋体" w:cs="宋体"/>
                <w:color w:val="000000"/>
                <w:sz w:val="18"/>
                <w:szCs w:val="18"/>
              </w:rPr>
            </w:pPr>
          </w:p>
        </w:tc>
        <w:tc>
          <w:tcPr>
            <w:tcW w:w="449" w:type="pct"/>
            <w:vMerge w:val="restar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资金投入（10分）</w:t>
            </w:r>
          </w:p>
        </w:tc>
        <w:tc>
          <w:tcPr>
            <w:tcW w:w="715" w:type="pc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预算编制科学性</w:t>
            </w:r>
          </w:p>
        </w:tc>
        <w:tc>
          <w:tcPr>
            <w:tcW w:w="350" w:type="pc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5</w:t>
            </w:r>
          </w:p>
        </w:tc>
        <w:tc>
          <w:tcPr>
            <w:tcW w:w="357" w:type="pc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5</w:t>
            </w:r>
          </w:p>
        </w:tc>
        <w:tc>
          <w:tcPr>
            <w:tcW w:w="2588" w:type="pc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jc w:val="left"/>
              <w:rPr>
                <w:rFonts w:ascii="宋体" w:eastAsia="宋体" w:hAnsi="宋体" w:cs="宋体"/>
                <w:color w:val="000000"/>
                <w:sz w:val="18"/>
                <w:szCs w:val="18"/>
              </w:rPr>
            </w:pPr>
          </w:p>
        </w:tc>
      </w:tr>
      <w:tr w:rsidR="00BF62E1" w:rsidTr="002F76B7">
        <w:trPr>
          <w:trHeight w:val="379"/>
        </w:trPr>
        <w:tc>
          <w:tcPr>
            <w:tcW w:w="539" w:type="pct"/>
            <w:vMerge/>
            <w:tcBorders>
              <w:top w:val="nil"/>
              <w:left w:val="single" w:sz="8" w:space="0" w:color="000000"/>
              <w:bottom w:val="single" w:sz="8" w:space="0" w:color="000000"/>
              <w:right w:val="single" w:sz="8" w:space="0" w:color="000000"/>
            </w:tcBorders>
            <w:tcMar>
              <w:top w:w="12" w:type="dxa"/>
              <w:left w:w="12" w:type="dxa"/>
              <w:right w:w="12" w:type="dxa"/>
            </w:tcMar>
            <w:vAlign w:val="center"/>
          </w:tcPr>
          <w:p w:rsidR="00BF62E1" w:rsidRDefault="00BF62E1" w:rsidP="002F76B7">
            <w:pPr>
              <w:jc w:val="center"/>
              <w:rPr>
                <w:rFonts w:ascii="宋体" w:eastAsia="宋体" w:hAnsi="宋体" w:cs="宋体"/>
                <w:color w:val="000000"/>
                <w:sz w:val="18"/>
                <w:szCs w:val="18"/>
              </w:rPr>
            </w:pPr>
          </w:p>
        </w:tc>
        <w:tc>
          <w:tcPr>
            <w:tcW w:w="449" w:type="pct"/>
            <w:vMerge/>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jc w:val="center"/>
              <w:rPr>
                <w:rFonts w:ascii="宋体" w:eastAsia="宋体" w:hAnsi="宋体" w:cs="宋体"/>
                <w:color w:val="000000"/>
                <w:sz w:val="18"/>
                <w:szCs w:val="18"/>
              </w:rPr>
            </w:pPr>
          </w:p>
        </w:tc>
        <w:tc>
          <w:tcPr>
            <w:tcW w:w="715" w:type="pc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资金分配合理性</w:t>
            </w:r>
          </w:p>
        </w:tc>
        <w:tc>
          <w:tcPr>
            <w:tcW w:w="350" w:type="pc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5</w:t>
            </w:r>
          </w:p>
        </w:tc>
        <w:tc>
          <w:tcPr>
            <w:tcW w:w="357" w:type="pc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5</w:t>
            </w:r>
          </w:p>
        </w:tc>
        <w:tc>
          <w:tcPr>
            <w:tcW w:w="2588" w:type="pc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jc w:val="left"/>
              <w:rPr>
                <w:rFonts w:ascii="宋体" w:eastAsia="宋体" w:hAnsi="宋体" w:cs="宋体"/>
                <w:color w:val="000000"/>
                <w:sz w:val="18"/>
                <w:szCs w:val="18"/>
              </w:rPr>
            </w:pPr>
          </w:p>
        </w:tc>
      </w:tr>
      <w:tr w:rsidR="00BF62E1" w:rsidTr="002F76B7">
        <w:trPr>
          <w:trHeight w:val="312"/>
        </w:trPr>
        <w:tc>
          <w:tcPr>
            <w:tcW w:w="539" w:type="pct"/>
            <w:vMerge w:val="restart"/>
            <w:tcBorders>
              <w:top w:val="nil"/>
              <w:left w:val="single" w:sz="8" w:space="0" w:color="000000"/>
              <w:bottom w:val="single" w:sz="8" w:space="0" w:color="000000"/>
              <w:right w:val="single" w:sz="8" w:space="0" w:color="000000"/>
            </w:tcBorders>
            <w:tcMar>
              <w:top w:w="12" w:type="dxa"/>
              <w:left w:w="12" w:type="dxa"/>
              <w:right w:w="12" w:type="dxa"/>
            </w:tcMar>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项目过程（25分）</w:t>
            </w:r>
          </w:p>
        </w:tc>
        <w:tc>
          <w:tcPr>
            <w:tcW w:w="449" w:type="pct"/>
            <w:vMerge w:val="restar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资金管理（15分）</w:t>
            </w:r>
          </w:p>
        </w:tc>
        <w:tc>
          <w:tcPr>
            <w:tcW w:w="715" w:type="pc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资金到位率</w:t>
            </w:r>
          </w:p>
        </w:tc>
        <w:tc>
          <w:tcPr>
            <w:tcW w:w="350" w:type="pc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5</w:t>
            </w:r>
          </w:p>
        </w:tc>
        <w:tc>
          <w:tcPr>
            <w:tcW w:w="357" w:type="pc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5</w:t>
            </w:r>
          </w:p>
        </w:tc>
        <w:tc>
          <w:tcPr>
            <w:tcW w:w="2588" w:type="pc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rPr>
                <w:rFonts w:ascii="宋体" w:eastAsia="宋体" w:hAnsi="宋体" w:cs="宋体"/>
                <w:color w:val="000000"/>
                <w:sz w:val="18"/>
                <w:szCs w:val="18"/>
              </w:rPr>
            </w:pPr>
          </w:p>
        </w:tc>
      </w:tr>
      <w:tr w:rsidR="00BF62E1" w:rsidTr="002F76B7">
        <w:trPr>
          <w:trHeight w:val="557"/>
        </w:trPr>
        <w:tc>
          <w:tcPr>
            <w:tcW w:w="539" w:type="pct"/>
            <w:vMerge/>
            <w:tcBorders>
              <w:top w:val="nil"/>
              <w:left w:val="single" w:sz="8" w:space="0" w:color="000000"/>
              <w:bottom w:val="single" w:sz="8" w:space="0" w:color="000000"/>
              <w:right w:val="single" w:sz="8" w:space="0" w:color="000000"/>
            </w:tcBorders>
            <w:tcMar>
              <w:top w:w="12" w:type="dxa"/>
              <w:left w:w="12" w:type="dxa"/>
              <w:right w:w="12" w:type="dxa"/>
            </w:tcMar>
            <w:vAlign w:val="center"/>
          </w:tcPr>
          <w:p w:rsidR="00BF62E1" w:rsidRDefault="00BF62E1" w:rsidP="002F76B7">
            <w:pPr>
              <w:jc w:val="center"/>
              <w:rPr>
                <w:rFonts w:ascii="宋体" w:eastAsia="宋体" w:hAnsi="宋体" w:cs="宋体"/>
                <w:color w:val="000000"/>
                <w:sz w:val="18"/>
                <w:szCs w:val="18"/>
              </w:rPr>
            </w:pPr>
          </w:p>
        </w:tc>
        <w:tc>
          <w:tcPr>
            <w:tcW w:w="449" w:type="pct"/>
            <w:vMerge/>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jc w:val="center"/>
              <w:rPr>
                <w:rFonts w:ascii="宋体" w:eastAsia="宋体" w:hAnsi="宋体" w:cs="宋体"/>
                <w:color w:val="000000"/>
                <w:sz w:val="18"/>
                <w:szCs w:val="18"/>
              </w:rPr>
            </w:pPr>
          </w:p>
        </w:tc>
        <w:tc>
          <w:tcPr>
            <w:tcW w:w="715" w:type="pc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预算执行率</w:t>
            </w:r>
          </w:p>
        </w:tc>
        <w:tc>
          <w:tcPr>
            <w:tcW w:w="350" w:type="pc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5</w:t>
            </w:r>
          </w:p>
        </w:tc>
        <w:tc>
          <w:tcPr>
            <w:tcW w:w="357" w:type="pc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4.99</w:t>
            </w:r>
          </w:p>
        </w:tc>
        <w:tc>
          <w:tcPr>
            <w:tcW w:w="2588" w:type="pc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jc w:val="left"/>
              <w:rPr>
                <w:rFonts w:ascii="宋体" w:eastAsia="宋体" w:hAnsi="宋体" w:cs="宋体"/>
                <w:color w:val="000000"/>
                <w:sz w:val="18"/>
                <w:szCs w:val="18"/>
              </w:rPr>
            </w:pPr>
            <w:r>
              <w:rPr>
                <w:rFonts w:ascii="宋体" w:eastAsia="宋体" w:hAnsi="宋体" w:cs="宋体" w:hint="eastAsia"/>
                <w:color w:val="000000"/>
                <w:sz w:val="18"/>
                <w:szCs w:val="18"/>
              </w:rPr>
              <w:t xml:space="preserve"> 该项目的预算执行率=（实际支出资金/实际到位资金）×100%=（196.03万元/196.08万元）×100%=99.98%</w:t>
            </w:r>
          </w:p>
        </w:tc>
      </w:tr>
      <w:tr w:rsidR="00BF62E1" w:rsidTr="002F76B7">
        <w:trPr>
          <w:trHeight w:val="379"/>
        </w:trPr>
        <w:tc>
          <w:tcPr>
            <w:tcW w:w="539" w:type="pct"/>
            <w:vMerge/>
            <w:tcBorders>
              <w:top w:val="nil"/>
              <w:left w:val="single" w:sz="8" w:space="0" w:color="000000"/>
              <w:bottom w:val="single" w:sz="8" w:space="0" w:color="000000"/>
              <w:right w:val="single" w:sz="8" w:space="0" w:color="000000"/>
            </w:tcBorders>
            <w:tcMar>
              <w:top w:w="12" w:type="dxa"/>
              <w:left w:w="12" w:type="dxa"/>
              <w:right w:w="12" w:type="dxa"/>
            </w:tcMar>
            <w:vAlign w:val="center"/>
          </w:tcPr>
          <w:p w:rsidR="00BF62E1" w:rsidRDefault="00BF62E1" w:rsidP="002F76B7">
            <w:pPr>
              <w:jc w:val="center"/>
              <w:rPr>
                <w:rFonts w:ascii="宋体" w:eastAsia="宋体" w:hAnsi="宋体" w:cs="宋体"/>
                <w:color w:val="000000"/>
                <w:sz w:val="18"/>
                <w:szCs w:val="18"/>
              </w:rPr>
            </w:pPr>
          </w:p>
        </w:tc>
        <w:tc>
          <w:tcPr>
            <w:tcW w:w="449" w:type="pct"/>
            <w:vMerge/>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jc w:val="center"/>
              <w:rPr>
                <w:rFonts w:ascii="宋体" w:eastAsia="宋体" w:hAnsi="宋体" w:cs="宋体"/>
                <w:color w:val="000000"/>
                <w:sz w:val="18"/>
                <w:szCs w:val="18"/>
              </w:rPr>
            </w:pPr>
          </w:p>
        </w:tc>
        <w:tc>
          <w:tcPr>
            <w:tcW w:w="715" w:type="pc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资金使用合规性</w:t>
            </w:r>
          </w:p>
        </w:tc>
        <w:tc>
          <w:tcPr>
            <w:tcW w:w="350" w:type="pc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5</w:t>
            </w:r>
          </w:p>
        </w:tc>
        <w:tc>
          <w:tcPr>
            <w:tcW w:w="357" w:type="pc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5</w:t>
            </w:r>
          </w:p>
        </w:tc>
        <w:tc>
          <w:tcPr>
            <w:tcW w:w="2588" w:type="pc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jc w:val="left"/>
              <w:rPr>
                <w:rFonts w:ascii="宋体" w:eastAsia="宋体" w:hAnsi="宋体" w:cs="宋体"/>
                <w:color w:val="000000"/>
                <w:sz w:val="18"/>
                <w:szCs w:val="18"/>
              </w:rPr>
            </w:pPr>
          </w:p>
        </w:tc>
      </w:tr>
      <w:tr w:rsidR="00BF62E1" w:rsidTr="002F76B7">
        <w:trPr>
          <w:trHeight w:val="390"/>
        </w:trPr>
        <w:tc>
          <w:tcPr>
            <w:tcW w:w="539" w:type="pct"/>
            <w:vMerge/>
            <w:tcBorders>
              <w:top w:val="nil"/>
              <w:left w:val="single" w:sz="8" w:space="0" w:color="000000"/>
              <w:bottom w:val="single" w:sz="8" w:space="0" w:color="000000"/>
              <w:right w:val="single" w:sz="8" w:space="0" w:color="000000"/>
            </w:tcBorders>
            <w:tcMar>
              <w:top w:w="12" w:type="dxa"/>
              <w:left w:w="12" w:type="dxa"/>
              <w:right w:w="12" w:type="dxa"/>
            </w:tcMar>
            <w:vAlign w:val="center"/>
          </w:tcPr>
          <w:p w:rsidR="00BF62E1" w:rsidRDefault="00BF62E1" w:rsidP="002F76B7">
            <w:pPr>
              <w:jc w:val="center"/>
              <w:rPr>
                <w:rFonts w:ascii="宋体" w:eastAsia="宋体" w:hAnsi="宋体" w:cs="宋体"/>
                <w:color w:val="000000"/>
                <w:sz w:val="18"/>
                <w:szCs w:val="18"/>
              </w:rPr>
            </w:pPr>
          </w:p>
        </w:tc>
        <w:tc>
          <w:tcPr>
            <w:tcW w:w="449" w:type="pct"/>
            <w:vMerge w:val="restar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组织实施（10分）</w:t>
            </w:r>
          </w:p>
        </w:tc>
        <w:tc>
          <w:tcPr>
            <w:tcW w:w="715" w:type="pc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管理制度健全性</w:t>
            </w:r>
          </w:p>
        </w:tc>
        <w:tc>
          <w:tcPr>
            <w:tcW w:w="350" w:type="pc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5</w:t>
            </w:r>
          </w:p>
        </w:tc>
        <w:tc>
          <w:tcPr>
            <w:tcW w:w="357" w:type="pc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5</w:t>
            </w:r>
          </w:p>
        </w:tc>
        <w:tc>
          <w:tcPr>
            <w:tcW w:w="2588" w:type="pc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jc w:val="left"/>
              <w:rPr>
                <w:rFonts w:ascii="宋体" w:eastAsia="宋体" w:hAnsi="宋体" w:cs="宋体"/>
                <w:color w:val="000000"/>
                <w:sz w:val="18"/>
                <w:szCs w:val="18"/>
              </w:rPr>
            </w:pPr>
          </w:p>
        </w:tc>
      </w:tr>
      <w:tr w:rsidR="00BF62E1" w:rsidTr="002F76B7">
        <w:trPr>
          <w:trHeight w:val="301"/>
        </w:trPr>
        <w:tc>
          <w:tcPr>
            <w:tcW w:w="539" w:type="pct"/>
            <w:vMerge/>
            <w:tcBorders>
              <w:top w:val="nil"/>
              <w:left w:val="single" w:sz="8" w:space="0" w:color="000000"/>
              <w:bottom w:val="single" w:sz="8" w:space="0" w:color="000000"/>
              <w:right w:val="single" w:sz="8" w:space="0" w:color="000000"/>
            </w:tcBorders>
            <w:tcMar>
              <w:top w:w="12" w:type="dxa"/>
              <w:left w:w="12" w:type="dxa"/>
              <w:right w:w="12" w:type="dxa"/>
            </w:tcMar>
            <w:vAlign w:val="center"/>
          </w:tcPr>
          <w:p w:rsidR="00BF62E1" w:rsidRDefault="00BF62E1" w:rsidP="002F76B7">
            <w:pPr>
              <w:jc w:val="center"/>
              <w:rPr>
                <w:rFonts w:ascii="宋体" w:eastAsia="宋体" w:hAnsi="宋体" w:cs="宋体"/>
                <w:color w:val="000000"/>
                <w:sz w:val="18"/>
                <w:szCs w:val="18"/>
              </w:rPr>
            </w:pPr>
          </w:p>
        </w:tc>
        <w:tc>
          <w:tcPr>
            <w:tcW w:w="449" w:type="pct"/>
            <w:vMerge/>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jc w:val="center"/>
              <w:rPr>
                <w:rFonts w:ascii="宋体" w:eastAsia="宋体" w:hAnsi="宋体" w:cs="宋体"/>
                <w:color w:val="000000"/>
                <w:sz w:val="18"/>
                <w:szCs w:val="18"/>
              </w:rPr>
            </w:pPr>
          </w:p>
        </w:tc>
        <w:tc>
          <w:tcPr>
            <w:tcW w:w="715" w:type="pc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制度实施有效性</w:t>
            </w:r>
          </w:p>
        </w:tc>
        <w:tc>
          <w:tcPr>
            <w:tcW w:w="350" w:type="pc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5</w:t>
            </w:r>
          </w:p>
        </w:tc>
        <w:tc>
          <w:tcPr>
            <w:tcW w:w="357" w:type="pc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5</w:t>
            </w:r>
          </w:p>
        </w:tc>
        <w:tc>
          <w:tcPr>
            <w:tcW w:w="2588" w:type="pc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jc w:val="left"/>
              <w:rPr>
                <w:rFonts w:ascii="宋体" w:eastAsia="宋体" w:hAnsi="宋体" w:cs="宋体"/>
                <w:color w:val="000000"/>
                <w:sz w:val="18"/>
                <w:szCs w:val="18"/>
              </w:rPr>
            </w:pPr>
          </w:p>
        </w:tc>
      </w:tr>
      <w:tr w:rsidR="00BF62E1" w:rsidTr="002F76B7">
        <w:trPr>
          <w:trHeight w:val="557"/>
        </w:trPr>
        <w:tc>
          <w:tcPr>
            <w:tcW w:w="539" w:type="pct"/>
            <w:vMerge w:val="restart"/>
            <w:tcBorders>
              <w:top w:val="nil"/>
              <w:left w:val="single" w:sz="8" w:space="0" w:color="000000"/>
              <w:bottom w:val="single" w:sz="8" w:space="0" w:color="000000"/>
              <w:right w:val="single" w:sz="8" w:space="0" w:color="000000"/>
            </w:tcBorders>
            <w:tcMar>
              <w:top w:w="12" w:type="dxa"/>
              <w:left w:w="12" w:type="dxa"/>
              <w:right w:w="12" w:type="dxa"/>
            </w:tcMar>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项目产出（20分）</w:t>
            </w:r>
          </w:p>
        </w:tc>
        <w:tc>
          <w:tcPr>
            <w:tcW w:w="449" w:type="pc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产出数量（5分）</w:t>
            </w:r>
          </w:p>
        </w:tc>
        <w:tc>
          <w:tcPr>
            <w:tcW w:w="715" w:type="pc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实际完成率</w:t>
            </w:r>
          </w:p>
        </w:tc>
        <w:tc>
          <w:tcPr>
            <w:tcW w:w="350" w:type="pc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5</w:t>
            </w:r>
          </w:p>
        </w:tc>
        <w:tc>
          <w:tcPr>
            <w:tcW w:w="357" w:type="pc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5</w:t>
            </w:r>
          </w:p>
        </w:tc>
        <w:tc>
          <w:tcPr>
            <w:tcW w:w="2588" w:type="pc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jc w:val="left"/>
              <w:rPr>
                <w:rFonts w:ascii="宋体" w:eastAsia="宋体" w:hAnsi="宋体" w:cs="宋体"/>
                <w:color w:val="000000"/>
                <w:sz w:val="18"/>
                <w:szCs w:val="18"/>
              </w:rPr>
            </w:pPr>
          </w:p>
        </w:tc>
      </w:tr>
      <w:tr w:rsidR="00BF62E1" w:rsidTr="002F76B7">
        <w:trPr>
          <w:trHeight w:val="479"/>
        </w:trPr>
        <w:tc>
          <w:tcPr>
            <w:tcW w:w="539" w:type="pct"/>
            <w:vMerge/>
            <w:tcBorders>
              <w:top w:val="nil"/>
              <w:left w:val="single" w:sz="8" w:space="0" w:color="000000"/>
              <w:bottom w:val="single" w:sz="8" w:space="0" w:color="000000"/>
              <w:right w:val="single" w:sz="8" w:space="0" w:color="000000"/>
            </w:tcBorders>
            <w:tcMar>
              <w:top w:w="12" w:type="dxa"/>
              <w:left w:w="12" w:type="dxa"/>
              <w:right w:w="12" w:type="dxa"/>
            </w:tcMar>
            <w:vAlign w:val="center"/>
          </w:tcPr>
          <w:p w:rsidR="00BF62E1" w:rsidRDefault="00BF62E1" w:rsidP="002F76B7">
            <w:pPr>
              <w:jc w:val="center"/>
              <w:rPr>
                <w:rFonts w:ascii="宋体" w:eastAsia="宋体" w:hAnsi="宋体" w:cs="宋体"/>
                <w:color w:val="000000"/>
                <w:sz w:val="18"/>
                <w:szCs w:val="18"/>
              </w:rPr>
            </w:pPr>
          </w:p>
        </w:tc>
        <w:tc>
          <w:tcPr>
            <w:tcW w:w="449" w:type="pc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产出质量（5分）</w:t>
            </w:r>
          </w:p>
        </w:tc>
        <w:tc>
          <w:tcPr>
            <w:tcW w:w="715" w:type="pc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质量达标率</w:t>
            </w:r>
          </w:p>
        </w:tc>
        <w:tc>
          <w:tcPr>
            <w:tcW w:w="350" w:type="pc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5</w:t>
            </w:r>
          </w:p>
        </w:tc>
        <w:tc>
          <w:tcPr>
            <w:tcW w:w="357" w:type="pc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5</w:t>
            </w:r>
          </w:p>
        </w:tc>
        <w:tc>
          <w:tcPr>
            <w:tcW w:w="2588" w:type="pc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jc w:val="left"/>
              <w:rPr>
                <w:rFonts w:ascii="宋体" w:eastAsia="宋体" w:hAnsi="宋体" w:cs="宋体"/>
                <w:color w:val="000000"/>
                <w:sz w:val="18"/>
                <w:szCs w:val="18"/>
              </w:rPr>
            </w:pPr>
          </w:p>
        </w:tc>
      </w:tr>
      <w:tr w:rsidR="00BF62E1" w:rsidTr="002F76B7">
        <w:trPr>
          <w:trHeight w:val="457"/>
        </w:trPr>
        <w:tc>
          <w:tcPr>
            <w:tcW w:w="539" w:type="pct"/>
            <w:vMerge/>
            <w:tcBorders>
              <w:top w:val="nil"/>
              <w:left w:val="single" w:sz="8" w:space="0" w:color="000000"/>
              <w:bottom w:val="single" w:sz="8" w:space="0" w:color="000000"/>
              <w:right w:val="single" w:sz="8" w:space="0" w:color="000000"/>
            </w:tcBorders>
            <w:tcMar>
              <w:top w:w="12" w:type="dxa"/>
              <w:left w:w="12" w:type="dxa"/>
              <w:right w:w="12" w:type="dxa"/>
            </w:tcMar>
            <w:vAlign w:val="center"/>
          </w:tcPr>
          <w:p w:rsidR="00BF62E1" w:rsidRDefault="00BF62E1" w:rsidP="002F76B7">
            <w:pPr>
              <w:jc w:val="center"/>
              <w:rPr>
                <w:rFonts w:ascii="宋体" w:eastAsia="宋体" w:hAnsi="宋体" w:cs="宋体"/>
                <w:color w:val="000000"/>
                <w:sz w:val="18"/>
                <w:szCs w:val="18"/>
              </w:rPr>
            </w:pPr>
          </w:p>
        </w:tc>
        <w:tc>
          <w:tcPr>
            <w:tcW w:w="449" w:type="pc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产出时效（5分）</w:t>
            </w:r>
          </w:p>
        </w:tc>
        <w:tc>
          <w:tcPr>
            <w:tcW w:w="715" w:type="pc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完成及时性</w:t>
            </w:r>
          </w:p>
        </w:tc>
        <w:tc>
          <w:tcPr>
            <w:tcW w:w="350" w:type="pc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5</w:t>
            </w:r>
          </w:p>
        </w:tc>
        <w:tc>
          <w:tcPr>
            <w:tcW w:w="357" w:type="pc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5</w:t>
            </w:r>
          </w:p>
        </w:tc>
        <w:tc>
          <w:tcPr>
            <w:tcW w:w="2588" w:type="pc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jc w:val="left"/>
              <w:rPr>
                <w:rFonts w:ascii="宋体" w:eastAsia="宋体" w:hAnsi="宋体" w:cs="宋体"/>
                <w:color w:val="000000"/>
                <w:sz w:val="18"/>
                <w:szCs w:val="18"/>
              </w:rPr>
            </w:pPr>
          </w:p>
        </w:tc>
      </w:tr>
      <w:tr w:rsidR="00BF62E1" w:rsidTr="002F76B7">
        <w:trPr>
          <w:trHeight w:val="512"/>
        </w:trPr>
        <w:tc>
          <w:tcPr>
            <w:tcW w:w="539" w:type="pct"/>
            <w:vMerge/>
            <w:tcBorders>
              <w:top w:val="nil"/>
              <w:left w:val="single" w:sz="8" w:space="0" w:color="000000"/>
              <w:bottom w:val="single" w:sz="8" w:space="0" w:color="000000"/>
              <w:right w:val="single" w:sz="8" w:space="0" w:color="000000"/>
            </w:tcBorders>
            <w:tcMar>
              <w:top w:w="12" w:type="dxa"/>
              <w:left w:w="12" w:type="dxa"/>
              <w:right w:w="12" w:type="dxa"/>
            </w:tcMar>
            <w:vAlign w:val="center"/>
          </w:tcPr>
          <w:p w:rsidR="00BF62E1" w:rsidRDefault="00BF62E1" w:rsidP="002F76B7">
            <w:pPr>
              <w:jc w:val="center"/>
              <w:rPr>
                <w:rFonts w:ascii="宋体" w:eastAsia="宋体" w:hAnsi="宋体" w:cs="宋体"/>
                <w:color w:val="000000"/>
                <w:sz w:val="18"/>
                <w:szCs w:val="18"/>
              </w:rPr>
            </w:pPr>
          </w:p>
        </w:tc>
        <w:tc>
          <w:tcPr>
            <w:tcW w:w="449" w:type="pc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产出成本（5分）</w:t>
            </w:r>
          </w:p>
        </w:tc>
        <w:tc>
          <w:tcPr>
            <w:tcW w:w="715" w:type="pc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成本节约率</w:t>
            </w:r>
          </w:p>
        </w:tc>
        <w:tc>
          <w:tcPr>
            <w:tcW w:w="350" w:type="pc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5</w:t>
            </w:r>
          </w:p>
        </w:tc>
        <w:tc>
          <w:tcPr>
            <w:tcW w:w="357" w:type="pc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5</w:t>
            </w:r>
          </w:p>
        </w:tc>
        <w:tc>
          <w:tcPr>
            <w:tcW w:w="2588" w:type="pc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jc w:val="left"/>
              <w:rPr>
                <w:rFonts w:ascii="宋体" w:eastAsia="宋体" w:hAnsi="宋体" w:cs="宋体"/>
                <w:color w:val="000000"/>
                <w:sz w:val="18"/>
                <w:szCs w:val="18"/>
              </w:rPr>
            </w:pPr>
          </w:p>
        </w:tc>
      </w:tr>
      <w:tr w:rsidR="00BF62E1" w:rsidTr="002F76B7">
        <w:trPr>
          <w:trHeight w:val="479"/>
        </w:trPr>
        <w:tc>
          <w:tcPr>
            <w:tcW w:w="539" w:type="pct"/>
            <w:vMerge w:val="restart"/>
            <w:tcBorders>
              <w:top w:val="nil"/>
              <w:left w:val="single" w:sz="8" w:space="0" w:color="000000"/>
              <w:bottom w:val="single" w:sz="8" w:space="0" w:color="000000"/>
              <w:right w:val="single" w:sz="8" w:space="0" w:color="000000"/>
            </w:tcBorders>
            <w:tcMar>
              <w:top w:w="12" w:type="dxa"/>
              <w:left w:w="12" w:type="dxa"/>
              <w:right w:w="12" w:type="dxa"/>
            </w:tcMar>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项目效益（25分）</w:t>
            </w:r>
          </w:p>
        </w:tc>
        <w:tc>
          <w:tcPr>
            <w:tcW w:w="449" w:type="pct"/>
            <w:vMerge w:val="restar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项目效益（25分）</w:t>
            </w:r>
          </w:p>
        </w:tc>
        <w:tc>
          <w:tcPr>
            <w:tcW w:w="715" w:type="pc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实施效益</w:t>
            </w:r>
          </w:p>
        </w:tc>
        <w:tc>
          <w:tcPr>
            <w:tcW w:w="350" w:type="pc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15</w:t>
            </w:r>
          </w:p>
        </w:tc>
        <w:tc>
          <w:tcPr>
            <w:tcW w:w="357" w:type="pc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10</w:t>
            </w:r>
          </w:p>
        </w:tc>
        <w:tc>
          <w:tcPr>
            <w:tcW w:w="2588" w:type="pc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jc w:val="left"/>
              <w:rPr>
                <w:rFonts w:ascii="宋体" w:eastAsia="宋体" w:hAnsi="宋体" w:cs="宋体"/>
                <w:color w:val="000000"/>
                <w:sz w:val="18"/>
                <w:szCs w:val="18"/>
              </w:rPr>
            </w:pPr>
            <w:r>
              <w:rPr>
                <w:rFonts w:ascii="宋体" w:eastAsia="宋体" w:hAnsi="宋体" w:cs="宋体" w:hint="eastAsia"/>
                <w:color w:val="000000"/>
                <w:sz w:val="18"/>
                <w:szCs w:val="18"/>
              </w:rPr>
              <w:t>该项目实施产生效益效果的证明资料不够充分；绩效资料不能充分体现该项目实施对二分院正常办公秩序等的可持续影响。</w:t>
            </w:r>
          </w:p>
        </w:tc>
      </w:tr>
      <w:tr w:rsidR="00BF62E1" w:rsidTr="002F76B7">
        <w:trPr>
          <w:trHeight w:val="322"/>
        </w:trPr>
        <w:tc>
          <w:tcPr>
            <w:tcW w:w="539" w:type="pct"/>
            <w:vMerge/>
            <w:tcBorders>
              <w:top w:val="nil"/>
              <w:left w:val="single" w:sz="8" w:space="0" w:color="000000"/>
              <w:bottom w:val="single" w:sz="8" w:space="0" w:color="000000"/>
              <w:right w:val="single" w:sz="8" w:space="0" w:color="000000"/>
            </w:tcBorders>
            <w:tcMar>
              <w:top w:w="12" w:type="dxa"/>
              <w:left w:w="12" w:type="dxa"/>
              <w:right w:w="12" w:type="dxa"/>
            </w:tcMar>
            <w:vAlign w:val="center"/>
          </w:tcPr>
          <w:p w:rsidR="00BF62E1" w:rsidRDefault="00BF62E1" w:rsidP="002F76B7">
            <w:pPr>
              <w:jc w:val="center"/>
              <w:rPr>
                <w:rFonts w:ascii="宋体" w:eastAsia="宋体" w:hAnsi="宋体" w:cs="宋体"/>
                <w:color w:val="000000"/>
                <w:sz w:val="18"/>
                <w:szCs w:val="18"/>
              </w:rPr>
            </w:pPr>
          </w:p>
        </w:tc>
        <w:tc>
          <w:tcPr>
            <w:tcW w:w="449" w:type="pct"/>
            <w:vMerge/>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jc w:val="center"/>
              <w:rPr>
                <w:rFonts w:ascii="宋体" w:eastAsia="宋体" w:hAnsi="宋体" w:cs="宋体"/>
                <w:color w:val="000000"/>
                <w:sz w:val="18"/>
                <w:szCs w:val="18"/>
              </w:rPr>
            </w:pPr>
          </w:p>
        </w:tc>
        <w:tc>
          <w:tcPr>
            <w:tcW w:w="715" w:type="pc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满意度</w:t>
            </w:r>
          </w:p>
        </w:tc>
        <w:tc>
          <w:tcPr>
            <w:tcW w:w="350" w:type="pc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10</w:t>
            </w:r>
          </w:p>
        </w:tc>
        <w:tc>
          <w:tcPr>
            <w:tcW w:w="357" w:type="pc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10</w:t>
            </w:r>
          </w:p>
        </w:tc>
        <w:tc>
          <w:tcPr>
            <w:tcW w:w="2588" w:type="pc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jc w:val="left"/>
              <w:rPr>
                <w:rFonts w:ascii="宋体" w:eastAsia="宋体" w:hAnsi="宋体" w:cs="宋体"/>
                <w:color w:val="000000"/>
                <w:sz w:val="18"/>
                <w:szCs w:val="18"/>
              </w:rPr>
            </w:pPr>
          </w:p>
        </w:tc>
      </w:tr>
      <w:tr w:rsidR="00BF62E1" w:rsidTr="002F76B7">
        <w:trPr>
          <w:trHeight w:val="555"/>
        </w:trPr>
        <w:tc>
          <w:tcPr>
            <w:tcW w:w="1704" w:type="pct"/>
            <w:gridSpan w:val="3"/>
            <w:tcBorders>
              <w:top w:val="nil"/>
              <w:left w:val="single" w:sz="8" w:space="0" w:color="000000"/>
              <w:bottom w:val="single" w:sz="8" w:space="0" w:color="000000"/>
              <w:right w:val="single" w:sz="8" w:space="0" w:color="000000"/>
            </w:tcBorders>
            <w:tcMar>
              <w:top w:w="12" w:type="dxa"/>
              <w:left w:w="12" w:type="dxa"/>
              <w:right w:w="12" w:type="dxa"/>
            </w:tcMar>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b/>
                <w:bCs/>
                <w:color w:val="000000"/>
                <w:kern w:val="0"/>
                <w:sz w:val="18"/>
                <w:szCs w:val="18"/>
              </w:rPr>
              <w:t>合计</w:t>
            </w:r>
          </w:p>
        </w:tc>
        <w:tc>
          <w:tcPr>
            <w:tcW w:w="350" w:type="pc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b/>
                <w:bCs/>
                <w:color w:val="000000"/>
                <w:kern w:val="0"/>
                <w:sz w:val="18"/>
                <w:szCs w:val="18"/>
              </w:rPr>
              <w:t>100</w:t>
            </w:r>
          </w:p>
        </w:tc>
        <w:tc>
          <w:tcPr>
            <w:tcW w:w="357" w:type="pc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widowControl/>
              <w:jc w:val="center"/>
              <w:textAlignment w:val="center"/>
              <w:rPr>
                <w:rFonts w:ascii="宋体" w:eastAsia="宋体" w:hAnsi="宋体" w:cs="宋体"/>
                <w:color w:val="000000"/>
                <w:sz w:val="18"/>
                <w:szCs w:val="18"/>
              </w:rPr>
            </w:pPr>
            <w:r>
              <w:rPr>
                <w:rFonts w:ascii="宋体" w:eastAsia="宋体" w:hAnsi="宋体" w:cs="宋体" w:hint="eastAsia"/>
                <w:b/>
                <w:bCs/>
                <w:color w:val="000000"/>
                <w:kern w:val="0"/>
                <w:sz w:val="18"/>
                <w:szCs w:val="18"/>
              </w:rPr>
              <w:t>91.99</w:t>
            </w:r>
          </w:p>
        </w:tc>
        <w:tc>
          <w:tcPr>
            <w:tcW w:w="2588" w:type="pct"/>
            <w:tcBorders>
              <w:top w:val="nil"/>
              <w:left w:val="nil"/>
              <w:bottom w:val="single" w:sz="8" w:space="0" w:color="000000"/>
              <w:right w:val="single" w:sz="8" w:space="0" w:color="000000"/>
            </w:tcBorders>
            <w:tcMar>
              <w:top w:w="12" w:type="dxa"/>
              <w:left w:w="12" w:type="dxa"/>
              <w:right w:w="12" w:type="dxa"/>
            </w:tcMar>
            <w:vAlign w:val="center"/>
          </w:tcPr>
          <w:p w:rsidR="00BF62E1" w:rsidRDefault="00BF62E1" w:rsidP="002F76B7">
            <w:pPr>
              <w:rPr>
                <w:rFonts w:ascii="宋体" w:eastAsia="宋体" w:hAnsi="宋体" w:cs="宋体"/>
                <w:color w:val="000000"/>
                <w:sz w:val="18"/>
                <w:szCs w:val="18"/>
              </w:rPr>
            </w:pPr>
          </w:p>
        </w:tc>
      </w:tr>
    </w:tbl>
    <w:p w:rsidR="00542646" w:rsidRDefault="00542646"/>
    <w:sectPr w:rsidR="00542646" w:rsidSect="00333548">
      <w:pgSz w:w="11906" w:h="16838"/>
      <w:pgMar w:top="1800" w:right="1440" w:bottom="180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D43" w:rsidRDefault="003E5D43" w:rsidP="00BF62E1">
      <w:r>
        <w:separator/>
      </w:r>
    </w:p>
  </w:endnote>
  <w:endnote w:type="continuationSeparator" w:id="1">
    <w:p w:rsidR="003E5D43" w:rsidRDefault="003E5D43" w:rsidP="00BF62E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方正小标宋简体">
    <w:altName w:val="Arial Unicode MS"/>
    <w:charset w:val="86"/>
    <w:family w:val="auto"/>
    <w:pitch w:val="default"/>
    <w:sig w:usb0="00000000" w:usb1="08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2E1" w:rsidRDefault="001E7D66">
    <w:pPr>
      <w:pStyle w:val="a4"/>
      <w:tabs>
        <w:tab w:val="clear" w:pos="4153"/>
        <w:tab w:val="center" w:pos="4535"/>
      </w:tabs>
      <w:jc w:val="center"/>
      <w:rPr>
        <w:rFonts w:ascii="宋体" w:eastAsia="宋体" w:hAnsi="宋体" w:cs="宋体"/>
        <w:sz w:val="24"/>
        <w:szCs w:val="24"/>
      </w:rPr>
    </w:pPr>
    <w:r>
      <w:rPr>
        <w:rFonts w:ascii="宋体" w:eastAsia="宋体" w:hAnsi="宋体" w:cs="宋体" w:hint="eastAsia"/>
        <w:sz w:val="24"/>
        <w:szCs w:val="24"/>
      </w:rPr>
      <w:fldChar w:fldCharType="begin"/>
    </w:r>
    <w:r w:rsidR="00BF62E1">
      <w:rPr>
        <w:rFonts w:ascii="宋体" w:eastAsia="宋体" w:hAnsi="宋体" w:cs="宋体" w:hint="eastAsia"/>
        <w:sz w:val="24"/>
        <w:szCs w:val="24"/>
      </w:rPr>
      <w:instrText xml:space="preserve"> PAGE  \* MERGEFORMAT </w:instrText>
    </w:r>
    <w:r>
      <w:rPr>
        <w:rFonts w:ascii="宋体" w:eastAsia="宋体" w:hAnsi="宋体" w:cs="宋体" w:hint="eastAsia"/>
        <w:sz w:val="24"/>
        <w:szCs w:val="24"/>
      </w:rPr>
      <w:fldChar w:fldCharType="separate"/>
    </w:r>
    <w:r w:rsidR="00776465" w:rsidRPr="00776465">
      <w:rPr>
        <w:rFonts w:ascii="宋体" w:eastAsia="宋体" w:hAnsi="宋体" w:cs="宋体"/>
        <w:noProof/>
        <w:sz w:val="24"/>
      </w:rPr>
      <w:t>15</w:t>
    </w:r>
    <w:r>
      <w:rPr>
        <w:rFonts w:ascii="宋体" w:eastAsia="宋体" w:hAnsi="宋体" w:cs="宋体" w:hint="eastAsia"/>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D43" w:rsidRDefault="003E5D43" w:rsidP="00BF62E1">
      <w:r>
        <w:separator/>
      </w:r>
    </w:p>
  </w:footnote>
  <w:footnote w:type="continuationSeparator" w:id="1">
    <w:p w:rsidR="003E5D43" w:rsidRDefault="003E5D43" w:rsidP="00BF62E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06C36A"/>
    <w:multiLevelType w:val="singleLevel"/>
    <w:tmpl w:val="4606C36A"/>
    <w:lvl w:ilvl="0">
      <w:start w:val="2"/>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F62E1"/>
    <w:rsid w:val="0000502B"/>
    <w:rsid w:val="00044EF4"/>
    <w:rsid w:val="001A79EF"/>
    <w:rsid w:val="001D04F4"/>
    <w:rsid w:val="001D77D3"/>
    <w:rsid w:val="001E7D66"/>
    <w:rsid w:val="003313D5"/>
    <w:rsid w:val="00331ABF"/>
    <w:rsid w:val="00333548"/>
    <w:rsid w:val="003E5D43"/>
    <w:rsid w:val="003F5E92"/>
    <w:rsid w:val="00542646"/>
    <w:rsid w:val="00551B9B"/>
    <w:rsid w:val="00656713"/>
    <w:rsid w:val="006D3725"/>
    <w:rsid w:val="00776465"/>
    <w:rsid w:val="00777697"/>
    <w:rsid w:val="00870C8D"/>
    <w:rsid w:val="00886920"/>
    <w:rsid w:val="00BF62E1"/>
    <w:rsid w:val="00CB3F30"/>
    <w:rsid w:val="00D906AF"/>
    <w:rsid w:val="00F757EE"/>
    <w:rsid w:val="00F759A9"/>
    <w:rsid w:val="00F800E4"/>
    <w:rsid w:val="00FD2D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2"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BF62E1"/>
    <w:pPr>
      <w:widowControl w:val="0"/>
      <w:jc w:val="both"/>
    </w:pPr>
    <w:rPr>
      <w:rFonts w:ascii="Times New Roman" w:eastAsia="仿宋_GB2312" w:hAnsi="Times New Roman" w:cs="Times New Roman"/>
      <w:sz w:val="32"/>
      <w:szCs w:val="24"/>
    </w:rPr>
  </w:style>
  <w:style w:type="paragraph" w:styleId="1">
    <w:name w:val="heading 1"/>
    <w:basedOn w:val="a"/>
    <w:next w:val="a"/>
    <w:link w:val="1Char"/>
    <w:uiPriority w:val="9"/>
    <w:qFormat/>
    <w:rsid w:val="00BF62E1"/>
    <w:pPr>
      <w:autoSpaceDE w:val="0"/>
      <w:autoSpaceDN w:val="0"/>
      <w:adjustRightInd w:val="0"/>
      <w:jc w:val="center"/>
      <w:outlineLvl w:val="0"/>
    </w:pPr>
    <w:rPr>
      <w:rFonts w:ascii="Arial" w:hAnsi="Arial"/>
      <w:kern w:val="0"/>
      <w:sz w:val="44"/>
      <w:szCs w:val="44"/>
      <w:lang w:val="zh-CN"/>
    </w:rPr>
  </w:style>
  <w:style w:type="paragraph" w:styleId="20">
    <w:name w:val="heading 2"/>
    <w:basedOn w:val="a"/>
    <w:next w:val="a"/>
    <w:link w:val="2Char"/>
    <w:uiPriority w:val="9"/>
    <w:qFormat/>
    <w:rsid w:val="00BF62E1"/>
    <w:pPr>
      <w:keepNext/>
      <w:keepLines/>
      <w:spacing w:before="260" w:after="260" w:line="416" w:lineRule="auto"/>
      <w:outlineLvl w:val="1"/>
    </w:pPr>
    <w:rPr>
      <w:rFonts w:ascii="Cambria" w:hAnsi="Cambria"/>
      <w:b/>
      <w:bCs/>
      <w:szCs w:val="32"/>
      <w:lang w:val="zh-CN"/>
    </w:rPr>
  </w:style>
  <w:style w:type="paragraph" w:styleId="3">
    <w:name w:val="heading 3"/>
    <w:basedOn w:val="a"/>
    <w:next w:val="a"/>
    <w:link w:val="3Char"/>
    <w:qFormat/>
    <w:rsid w:val="00BF62E1"/>
    <w:pPr>
      <w:keepNext/>
      <w:keepLines/>
      <w:spacing w:before="260" w:after="260" w:line="416" w:lineRule="auto"/>
      <w:outlineLvl w:val="2"/>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F62E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F62E1"/>
    <w:rPr>
      <w:sz w:val="18"/>
      <w:szCs w:val="18"/>
    </w:rPr>
  </w:style>
  <w:style w:type="paragraph" w:styleId="a4">
    <w:name w:val="footer"/>
    <w:basedOn w:val="a"/>
    <w:link w:val="Char0"/>
    <w:unhideWhenUsed/>
    <w:qFormat/>
    <w:rsid w:val="00BF62E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F62E1"/>
    <w:rPr>
      <w:sz w:val="18"/>
      <w:szCs w:val="18"/>
    </w:rPr>
  </w:style>
  <w:style w:type="character" w:customStyle="1" w:styleId="1Char">
    <w:name w:val="标题 1 Char"/>
    <w:basedOn w:val="a0"/>
    <w:link w:val="1"/>
    <w:uiPriority w:val="9"/>
    <w:qFormat/>
    <w:rsid w:val="00BF62E1"/>
    <w:rPr>
      <w:rFonts w:ascii="Arial" w:eastAsia="仿宋_GB2312" w:hAnsi="Arial" w:cs="Times New Roman"/>
      <w:kern w:val="0"/>
      <w:sz w:val="44"/>
      <w:szCs w:val="44"/>
      <w:lang w:val="zh-CN"/>
    </w:rPr>
  </w:style>
  <w:style w:type="character" w:customStyle="1" w:styleId="2Char">
    <w:name w:val="标题 2 Char"/>
    <w:basedOn w:val="a0"/>
    <w:link w:val="20"/>
    <w:uiPriority w:val="9"/>
    <w:rsid w:val="00BF62E1"/>
    <w:rPr>
      <w:rFonts w:ascii="Cambria" w:eastAsia="仿宋_GB2312" w:hAnsi="Cambria" w:cs="Times New Roman"/>
      <w:b/>
      <w:bCs/>
      <w:sz w:val="32"/>
      <w:szCs w:val="32"/>
      <w:lang w:val="zh-CN"/>
    </w:rPr>
  </w:style>
  <w:style w:type="character" w:customStyle="1" w:styleId="3Char">
    <w:name w:val="标题 3 Char"/>
    <w:basedOn w:val="a0"/>
    <w:link w:val="3"/>
    <w:qFormat/>
    <w:rsid w:val="00BF62E1"/>
    <w:rPr>
      <w:rFonts w:ascii="Times New Roman" w:eastAsia="仿宋_GB2312" w:hAnsi="Times New Roman" w:cs="Times New Roman"/>
      <w:b/>
      <w:bCs/>
      <w:sz w:val="32"/>
      <w:szCs w:val="32"/>
    </w:rPr>
  </w:style>
  <w:style w:type="paragraph" w:styleId="a5">
    <w:name w:val="Body Text Indent"/>
    <w:basedOn w:val="a"/>
    <w:link w:val="Char1"/>
    <w:uiPriority w:val="99"/>
    <w:semiHidden/>
    <w:unhideWhenUsed/>
    <w:rsid w:val="00BF62E1"/>
    <w:pPr>
      <w:spacing w:after="120"/>
      <w:ind w:leftChars="200" w:left="420"/>
    </w:pPr>
  </w:style>
  <w:style w:type="character" w:customStyle="1" w:styleId="Char1">
    <w:name w:val="正文文本缩进 Char"/>
    <w:basedOn w:val="a0"/>
    <w:link w:val="a5"/>
    <w:uiPriority w:val="99"/>
    <w:semiHidden/>
    <w:rsid w:val="00BF62E1"/>
    <w:rPr>
      <w:rFonts w:ascii="Times New Roman" w:eastAsia="仿宋_GB2312" w:hAnsi="Times New Roman" w:cs="Times New Roman"/>
      <w:sz w:val="32"/>
      <w:szCs w:val="24"/>
    </w:rPr>
  </w:style>
  <w:style w:type="paragraph" w:styleId="2">
    <w:name w:val="Body Text First Indent 2"/>
    <w:basedOn w:val="a5"/>
    <w:link w:val="2Char0"/>
    <w:uiPriority w:val="99"/>
    <w:qFormat/>
    <w:rsid w:val="00BF62E1"/>
    <w:pPr>
      <w:spacing w:after="360"/>
      <w:ind w:leftChars="0" w:left="0" w:firstLineChars="200" w:firstLine="420"/>
    </w:pPr>
    <w:rPr>
      <w:kern w:val="1"/>
      <w:szCs w:val="20"/>
    </w:rPr>
  </w:style>
  <w:style w:type="character" w:customStyle="1" w:styleId="2Char0">
    <w:name w:val="正文首行缩进 2 Char"/>
    <w:basedOn w:val="Char1"/>
    <w:link w:val="2"/>
    <w:uiPriority w:val="99"/>
    <w:rsid w:val="00BF62E1"/>
    <w:rPr>
      <w:kern w:val="1"/>
      <w:szCs w:val="20"/>
    </w:rPr>
  </w:style>
  <w:style w:type="paragraph" w:customStyle="1" w:styleId="10">
    <w:name w:val="无间隔1"/>
    <w:uiPriority w:val="1"/>
    <w:qFormat/>
    <w:rsid w:val="00BF62E1"/>
    <w:pPr>
      <w:widowControl w:val="0"/>
      <w:jc w:val="both"/>
    </w:pPr>
    <w:rPr>
      <w:rFonts w:ascii="Times New Roman" w:eastAsia="宋体" w:hAnsi="Times New Roman" w:cs="Times New Roman"/>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16</Pages>
  <Words>1333</Words>
  <Characters>7602</Characters>
  <Application>Microsoft Office Word</Application>
  <DocSecurity>0</DocSecurity>
  <Lines>63</Lines>
  <Paragraphs>17</Paragraphs>
  <ScaleCrop>false</ScaleCrop>
  <Company>Lenovo</Company>
  <LinksUpToDate>false</LinksUpToDate>
  <CharactersWithSpaces>8918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21</cp:revision>
  <dcterms:created xsi:type="dcterms:W3CDTF">2022-08-21T03:34:00Z</dcterms:created>
  <dcterms:modified xsi:type="dcterms:W3CDTF">2022-08-21T09:11:00Z</dcterms:modified>
</cp:coreProperties>
</file>