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DD9" w:rsidRDefault="004A0DD9" w:rsidP="004A0DD9">
      <w:pPr>
        <w:spacing w:line="560" w:lineRule="exact"/>
        <w:jc w:val="center"/>
        <w:outlineLvl w:val="0"/>
        <w:rPr>
          <w:rFonts w:ascii="华文中宋" w:eastAsia="华文中宋" w:hAnsi="华文中宋" w:cs="华文中宋"/>
          <w:sz w:val="36"/>
          <w:szCs w:val="36"/>
        </w:rPr>
      </w:pPr>
      <w:bookmarkStart w:id="0" w:name="_Toc5732"/>
      <w:bookmarkStart w:id="1" w:name="_Toc21420"/>
      <w:r>
        <w:rPr>
          <w:rFonts w:ascii="华文中宋" w:eastAsia="华文中宋" w:hAnsi="华文中宋" w:cs="华文中宋" w:hint="eastAsia"/>
          <w:sz w:val="36"/>
          <w:szCs w:val="36"/>
        </w:rPr>
        <w:t>北京市人民检察院第二分院</w:t>
      </w:r>
      <w:bookmarkEnd w:id="0"/>
      <w:bookmarkEnd w:id="1"/>
    </w:p>
    <w:p w:rsidR="004A0DD9" w:rsidRDefault="004A0DD9" w:rsidP="004A0DD9">
      <w:pPr>
        <w:spacing w:line="560" w:lineRule="exact"/>
        <w:jc w:val="center"/>
        <w:outlineLvl w:val="0"/>
        <w:rPr>
          <w:rFonts w:ascii="方正小标宋简体" w:eastAsia="方正小标宋简体"/>
          <w:sz w:val="36"/>
          <w:szCs w:val="36"/>
        </w:rPr>
      </w:pPr>
      <w:bookmarkStart w:id="2" w:name="_Toc30173"/>
      <w:bookmarkStart w:id="3" w:name="_Toc28604"/>
      <w:bookmarkStart w:id="4" w:name="_Toc5316"/>
      <w:bookmarkStart w:id="5" w:name="_Toc20343"/>
      <w:r>
        <w:rPr>
          <w:rFonts w:ascii="华文中宋" w:eastAsia="华文中宋" w:hAnsi="华文中宋" w:cs="华文中宋" w:hint="eastAsia"/>
          <w:sz w:val="36"/>
          <w:szCs w:val="36"/>
        </w:rPr>
        <w:t>2021年度部门整体绩效评价报告</w:t>
      </w:r>
      <w:bookmarkEnd w:id="2"/>
      <w:bookmarkEnd w:id="3"/>
      <w:bookmarkEnd w:id="4"/>
      <w:bookmarkEnd w:id="5"/>
    </w:p>
    <w:p w:rsidR="004A0DD9" w:rsidRDefault="004A0DD9" w:rsidP="004A0DD9">
      <w:pPr>
        <w:jc w:val="center"/>
        <w:rPr>
          <w:rFonts w:ascii="仿宋_GB2312"/>
          <w:szCs w:val="30"/>
        </w:rPr>
      </w:pPr>
    </w:p>
    <w:p w:rsidR="004A0DD9" w:rsidRDefault="004A0DD9" w:rsidP="004A0DD9">
      <w:pPr>
        <w:spacing w:line="600" w:lineRule="exact"/>
        <w:ind w:firstLineChars="200" w:firstLine="640"/>
        <w:outlineLvl w:val="0"/>
        <w:rPr>
          <w:rFonts w:ascii="黑体" w:eastAsia="黑体" w:hAnsi="黑体" w:cs="宋体"/>
          <w:color w:val="000000"/>
          <w:kern w:val="0"/>
          <w:sz w:val="32"/>
          <w:szCs w:val="32"/>
        </w:rPr>
      </w:pPr>
      <w:bookmarkStart w:id="6" w:name="_Toc750"/>
      <w:bookmarkStart w:id="7" w:name="_Toc25270"/>
      <w:bookmarkStart w:id="8" w:name="_Toc8942"/>
      <w:r>
        <w:rPr>
          <w:rFonts w:ascii="黑体" w:eastAsia="黑体" w:hAnsi="黑体" w:cs="宋体" w:hint="eastAsia"/>
          <w:color w:val="000000"/>
          <w:kern w:val="0"/>
          <w:sz w:val="32"/>
          <w:szCs w:val="32"/>
        </w:rPr>
        <w:t>一、部门概况</w:t>
      </w:r>
      <w:bookmarkEnd w:id="6"/>
      <w:bookmarkEnd w:id="7"/>
      <w:bookmarkEnd w:id="8"/>
    </w:p>
    <w:p w:rsidR="004A0DD9" w:rsidRDefault="004A0DD9" w:rsidP="004A0DD9">
      <w:pPr>
        <w:spacing w:line="600" w:lineRule="exact"/>
        <w:ind w:firstLineChars="200" w:firstLine="640"/>
        <w:outlineLvl w:val="1"/>
        <w:rPr>
          <w:rFonts w:ascii="楷体_GB2312" w:eastAsia="楷体_GB2312"/>
          <w:sz w:val="32"/>
          <w:szCs w:val="32"/>
        </w:rPr>
      </w:pPr>
      <w:bookmarkStart w:id="9" w:name="_Toc19939"/>
      <w:bookmarkStart w:id="10" w:name="_Toc20982"/>
      <w:bookmarkStart w:id="11" w:name="_Toc26578"/>
      <w:r>
        <w:rPr>
          <w:rFonts w:ascii="楷体_GB2312" w:eastAsia="楷体_GB2312" w:hint="eastAsia"/>
          <w:sz w:val="32"/>
          <w:szCs w:val="32"/>
        </w:rPr>
        <w:t>（一）机构设置及职责工作任务情况</w:t>
      </w:r>
      <w:bookmarkEnd w:id="9"/>
      <w:bookmarkEnd w:id="10"/>
      <w:bookmarkEnd w:id="11"/>
    </w:p>
    <w:p w:rsidR="004A0DD9" w:rsidRDefault="004A0DD9" w:rsidP="004A0DD9">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北京市人民检察院第二分院（以下简称“二分院”）成立于1999年，司法辖区包括：东城区、西城区、丰台区、大兴区、房山区。截至</w:t>
      </w:r>
      <w:r w:rsidR="00C40FF3">
        <w:rPr>
          <w:rFonts w:ascii="仿宋_GB2312" w:eastAsia="仿宋_GB2312" w:hAnsi="仿宋_GB2312" w:cs="仿宋_GB2312" w:hint="eastAsia"/>
          <w:bCs/>
          <w:sz w:val="32"/>
          <w:szCs w:val="32"/>
        </w:rPr>
        <w:t>2021</w:t>
      </w:r>
      <w:r>
        <w:rPr>
          <w:rFonts w:ascii="仿宋_GB2312" w:eastAsia="仿宋_GB2312" w:hAnsi="仿宋_GB2312" w:cs="仿宋_GB2312" w:hint="eastAsia"/>
          <w:bCs/>
          <w:sz w:val="32"/>
          <w:szCs w:val="32"/>
        </w:rPr>
        <w:t>年12月31日，二分院单位性质为行政单位，预算级次为市级。根据2019年3月中共北京市委政法委员会、中共北京市委机构编制委员会办公室、北京市人民检察院关于印发《北京市检察机关内设机构改革方案》的要求，二分院共设置12个职能部门，分别为：第一检察部、第二检察部、第三检察部、第四检察部、第五检察部、第六检察部、第七检察部、第八检察部、第九检察部、办公室、行政事务管理部、检务督察部,另设政治部、机关党委、机关纪委。</w:t>
      </w:r>
    </w:p>
    <w:p w:rsidR="004A0DD9" w:rsidRDefault="004A0DD9" w:rsidP="004A0DD9">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二分院主要职责包括：对区域内可能判处无期徒刑、死刑的案件，危害国家安全、恐怖活动案件依法审查逮捕、提起公诉，并对全市危害国家安全类、证券期货类刑事犯罪案件依法实行集中管辖；对区域内刑事诉讼、民事诉讼和行政诉讼活动依法实行法律监督，对下级人民法院和本级人民法院已经发生法律效力、确有错误的判决和裁定，依法向北京市第二中级人民法院提起抗诉或提请北京市人民检察院向北京市高级人民法院提起抗诉；对区域内区级人民检察院做出的决定进行审查，纠正错误决定；受理公民控告、申诉、</w:t>
      </w:r>
      <w:r>
        <w:rPr>
          <w:rFonts w:ascii="仿宋_GB2312" w:eastAsia="仿宋_GB2312" w:hAnsi="仿宋_GB2312" w:cs="仿宋_GB2312" w:hint="eastAsia"/>
          <w:bCs/>
          <w:sz w:val="32"/>
          <w:szCs w:val="32"/>
        </w:rPr>
        <w:lastRenderedPageBreak/>
        <w:t>检举和举报，办理刑事赔偿事项。同时，依据北京市人民检察院授权，负责对区域内区级人民检察院开展办案指导工作。</w:t>
      </w:r>
    </w:p>
    <w:p w:rsidR="004A0DD9" w:rsidRDefault="004A0DD9" w:rsidP="004A0DD9">
      <w:pPr>
        <w:numPr>
          <w:ilvl w:val="0"/>
          <w:numId w:val="1"/>
        </w:numPr>
        <w:spacing w:line="600" w:lineRule="exact"/>
        <w:ind w:firstLineChars="200" w:firstLine="640"/>
        <w:outlineLvl w:val="1"/>
        <w:rPr>
          <w:rFonts w:ascii="楷体_GB2312" w:eastAsia="楷体_GB2312"/>
          <w:sz w:val="32"/>
          <w:szCs w:val="32"/>
        </w:rPr>
      </w:pPr>
      <w:bookmarkStart w:id="12" w:name="_Toc24620"/>
      <w:bookmarkStart w:id="13" w:name="_Toc4768"/>
      <w:bookmarkStart w:id="14" w:name="_Toc30883"/>
      <w:r>
        <w:rPr>
          <w:rFonts w:ascii="楷体_GB2312" w:eastAsia="楷体_GB2312" w:hint="eastAsia"/>
          <w:sz w:val="32"/>
          <w:szCs w:val="32"/>
        </w:rPr>
        <w:t>部门整体绩效目标设立情况</w:t>
      </w:r>
      <w:bookmarkEnd w:id="12"/>
      <w:bookmarkEnd w:id="13"/>
      <w:bookmarkEnd w:id="14"/>
    </w:p>
    <w:p w:rsidR="004A0DD9" w:rsidRDefault="004A0DD9" w:rsidP="004A0DD9">
      <w:pPr>
        <w:spacing w:line="560" w:lineRule="exact"/>
        <w:ind w:firstLine="641"/>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度，二分院以习近平中国特色社会主义思想为指导，深入贯彻党的十九大和十九届历次全会精神，全面贯彻习近平法治思想，坚决贯彻上级部署，紧扣检察业务绩效考评，最大限度提升办案质效；聚焦高质量发展主题，不断增强“四个意识”，坚定“四个自信”，做到“两个维护”，全面提升检察工作水平；充分履行检察职能，服务保障首都经济社会高质量发展。着力打造二分院“首都特色检察品牌”，牵引带动检察工作高质量发展。预算资金用于依法履行检察监督职能所必需的各项支出，以保障二分院检察工作的正常开展，保障首都检察事业的有序发展。</w:t>
      </w:r>
    </w:p>
    <w:p w:rsidR="004A0DD9" w:rsidRDefault="004A0DD9" w:rsidP="004A0DD9">
      <w:pPr>
        <w:spacing w:line="560" w:lineRule="exact"/>
        <w:ind w:firstLine="641"/>
        <w:rPr>
          <w:rFonts w:ascii="仿宋_GB2312" w:eastAsia="仿宋_GB2312" w:hAnsi="宋体" w:cs="宋体"/>
          <w:color w:val="000000"/>
          <w:kern w:val="0"/>
          <w:sz w:val="32"/>
          <w:szCs w:val="32"/>
          <w:highlight w:val="yellow"/>
        </w:rPr>
      </w:pPr>
      <w:r>
        <w:rPr>
          <w:rFonts w:ascii="仿宋_GB2312" w:eastAsia="仿宋_GB2312" w:hAnsi="宋体" w:cs="宋体" w:hint="eastAsia"/>
          <w:color w:val="000000"/>
          <w:kern w:val="0"/>
          <w:sz w:val="32"/>
          <w:szCs w:val="32"/>
        </w:rPr>
        <w:t>二分院2021年设立以下总体绩效目标：一是数量指标：按照财政预算批复金额执行；二是质量指标：保障我院办公办案所需场所，保障办公办案安全，保障信息化系统使用安全、便捷；三是进度指标：支出时间-当年12月底之前；四是成本指标：各项经费支出不超预算；五是保障二分院检察中心工作，扩大检察工作影响；六是服务对象满意度指标：全院检察人员满意度&gt;85%；七是坚持慎终如始，持续统筹做好疫情防控工作；八是按照高检院“稳进、落实、提升”、市院“三个全面”的要求,切实发挥好首都核心区检察机关服务保障作用；九是深入开展“以案为鉴、以案促改”专项警示教育，为全国政法队伍教育整顿筑牢基础；十是制定实</w:t>
      </w:r>
      <w:r>
        <w:rPr>
          <w:rFonts w:ascii="仿宋_GB2312" w:eastAsia="仿宋_GB2312" w:hAnsi="宋体" w:cs="宋体" w:hint="eastAsia"/>
          <w:color w:val="000000"/>
          <w:kern w:val="0"/>
          <w:sz w:val="32"/>
          <w:szCs w:val="32"/>
        </w:rPr>
        <w:lastRenderedPageBreak/>
        <w:t>施《全面推进人才发展体制机制综合改革试点工作实施方案》，加强高素质专业化人才建设。</w:t>
      </w:r>
    </w:p>
    <w:p w:rsidR="004A0DD9" w:rsidRDefault="004A0DD9" w:rsidP="004A0DD9">
      <w:pPr>
        <w:spacing w:line="600" w:lineRule="exact"/>
        <w:ind w:firstLineChars="200" w:firstLine="640"/>
        <w:outlineLvl w:val="0"/>
        <w:rPr>
          <w:rFonts w:ascii="黑体" w:eastAsia="黑体" w:hAnsi="黑体" w:cs="宋体"/>
          <w:color w:val="000000"/>
          <w:kern w:val="0"/>
          <w:sz w:val="32"/>
          <w:szCs w:val="32"/>
        </w:rPr>
      </w:pPr>
      <w:bookmarkStart w:id="15" w:name="_Toc25209"/>
      <w:bookmarkStart w:id="16" w:name="_Toc12438"/>
      <w:bookmarkStart w:id="17" w:name="_Toc8831"/>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w:t>
      </w:r>
      <w:bookmarkStart w:id="18" w:name="_GoBack"/>
      <w:bookmarkEnd w:id="18"/>
      <w:r>
        <w:rPr>
          <w:rFonts w:ascii="黑体" w:eastAsia="黑体" w:hAnsi="黑体" w:cs="宋体"/>
          <w:color w:val="000000"/>
          <w:kern w:val="0"/>
          <w:sz w:val="32"/>
          <w:szCs w:val="32"/>
        </w:rPr>
        <w:t>情况</w:t>
      </w:r>
      <w:bookmarkEnd w:id="15"/>
      <w:bookmarkEnd w:id="16"/>
      <w:bookmarkEnd w:id="17"/>
    </w:p>
    <w:p w:rsidR="004A0DD9" w:rsidRDefault="004A0DD9" w:rsidP="004A0DD9">
      <w:pPr>
        <w:spacing w:line="600" w:lineRule="exact"/>
        <w:ind w:firstLineChars="200" w:firstLine="640"/>
        <w:rPr>
          <w:rFonts w:ascii="仿宋_GB2312" w:eastAsia="仿宋_GB2312" w:hAnsi="宋体" w:cs="宋体"/>
          <w:color w:val="000000"/>
          <w:kern w:val="0"/>
          <w:sz w:val="32"/>
          <w:szCs w:val="32"/>
          <w:highlight w:val="yellow"/>
        </w:rPr>
      </w:pPr>
      <w:r>
        <w:rPr>
          <w:rFonts w:ascii="仿宋_GB2312" w:eastAsia="仿宋_GB2312" w:hAnsi="宋体" w:cs="宋体" w:hint="eastAsia"/>
          <w:color w:val="000000"/>
          <w:kern w:val="0"/>
          <w:sz w:val="32"/>
          <w:szCs w:val="32"/>
        </w:rPr>
        <w:t>2021年二分院</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预算数12,628.49万元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Pr>
          <w:rFonts w:ascii="仿宋_GB2312" w:eastAsia="仿宋_GB2312" w:hAnsi="宋体" w:cs="宋体" w:hint="eastAsia"/>
          <w:color w:val="000000"/>
          <w:kern w:val="0"/>
          <w:sz w:val="32"/>
          <w:szCs w:val="32"/>
        </w:rPr>
        <w:t>11,625.79</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项目支出预算数1,002.70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支出12,175.97</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11，245.04</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支出930.93</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96.42%。</w:t>
      </w:r>
    </w:p>
    <w:p w:rsidR="004A0DD9" w:rsidRDefault="004A0DD9" w:rsidP="004A0DD9">
      <w:pPr>
        <w:spacing w:line="600" w:lineRule="exact"/>
        <w:ind w:leftChars="50" w:left="105" w:firstLineChars="150" w:firstLine="480"/>
        <w:outlineLvl w:val="0"/>
        <w:rPr>
          <w:rFonts w:ascii="黑体" w:eastAsia="黑体" w:hAnsi="黑体" w:cs="宋体"/>
          <w:color w:val="000000"/>
          <w:kern w:val="0"/>
          <w:sz w:val="32"/>
          <w:szCs w:val="32"/>
        </w:rPr>
      </w:pPr>
      <w:bookmarkStart w:id="19" w:name="_Toc6166"/>
      <w:bookmarkStart w:id="20" w:name="_Toc21830"/>
      <w:bookmarkStart w:id="21" w:name="_Toc32745"/>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bookmarkEnd w:id="19"/>
      <w:bookmarkEnd w:id="20"/>
      <w:bookmarkEnd w:id="21"/>
    </w:p>
    <w:p w:rsidR="004A0DD9" w:rsidRDefault="004A0DD9" w:rsidP="004A0DD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2021年</w:t>
      </w:r>
      <w:r>
        <w:rPr>
          <w:rFonts w:ascii="仿宋_GB2312" w:eastAsia="仿宋_GB2312" w:hAnsi="宋体" w:cs="宋体" w:hint="eastAsia"/>
          <w:color w:val="000000"/>
          <w:kern w:val="0"/>
          <w:sz w:val="32"/>
          <w:szCs w:val="32"/>
        </w:rPr>
        <w:t>二分院本年</w:t>
      </w:r>
      <w:r>
        <w:rPr>
          <w:rFonts w:ascii="仿宋_GB2312" w:eastAsia="仿宋_GB2312" w:hAnsi="宋体" w:cs="宋体"/>
          <w:color w:val="000000"/>
          <w:kern w:val="0"/>
          <w:sz w:val="32"/>
          <w:szCs w:val="32"/>
        </w:rPr>
        <w:t>预算项目共</w:t>
      </w:r>
      <w:r>
        <w:rPr>
          <w:rFonts w:ascii="仿宋_GB2312" w:eastAsia="仿宋_GB2312" w:hAnsi="宋体" w:cs="宋体" w:hint="eastAsia"/>
          <w:color w:val="000000"/>
          <w:kern w:val="0"/>
          <w:sz w:val="32"/>
          <w:szCs w:val="32"/>
        </w:rPr>
        <w:t>6</w:t>
      </w:r>
      <w:r>
        <w:rPr>
          <w:rFonts w:ascii="仿宋_GB2312" w:eastAsia="仿宋_GB2312" w:hAnsi="宋体" w:cs="宋体"/>
          <w:color w:val="000000"/>
          <w:kern w:val="0"/>
          <w:sz w:val="32"/>
          <w:szCs w:val="32"/>
        </w:rPr>
        <w:t>个，预算金额</w:t>
      </w:r>
      <w:r>
        <w:rPr>
          <w:rFonts w:ascii="仿宋_GB2312" w:eastAsia="仿宋_GB2312" w:hAnsi="宋体" w:cs="宋体" w:hint="eastAsia"/>
          <w:color w:val="000000"/>
          <w:kern w:val="0"/>
          <w:sz w:val="32"/>
          <w:szCs w:val="32"/>
        </w:rPr>
        <w:t xml:space="preserve"> 763.64</w:t>
      </w:r>
      <w:r>
        <w:rPr>
          <w:rFonts w:ascii="仿宋_GB2312" w:eastAsia="仿宋_GB2312" w:hAnsi="宋体" w:cs="宋体"/>
          <w:color w:val="000000"/>
          <w:kern w:val="0"/>
          <w:sz w:val="32"/>
          <w:szCs w:val="32"/>
        </w:rPr>
        <w:t>万元，具体情况如下：</w:t>
      </w:r>
    </w:p>
    <w:p w:rsidR="004A0DD9" w:rsidRDefault="004A0DD9" w:rsidP="004A0DD9">
      <w:pPr>
        <w:spacing w:line="600" w:lineRule="exact"/>
        <w:ind w:leftChars="50" w:left="105" w:firstLineChars="150" w:firstLine="480"/>
        <w:outlineLvl w:val="1"/>
        <w:rPr>
          <w:rFonts w:ascii="楷体_GB2312" w:eastAsia="楷体_GB2312"/>
          <w:sz w:val="32"/>
          <w:szCs w:val="32"/>
        </w:rPr>
      </w:pPr>
      <w:bookmarkStart w:id="22" w:name="_Toc2865"/>
      <w:bookmarkStart w:id="23" w:name="_Toc1424"/>
      <w:bookmarkStart w:id="24" w:name="_Toc20529"/>
      <w:r>
        <w:rPr>
          <w:rFonts w:ascii="楷体_GB2312" w:eastAsia="楷体_GB2312" w:hint="eastAsia"/>
          <w:sz w:val="32"/>
          <w:szCs w:val="32"/>
        </w:rPr>
        <w:t>（一）产出完成情况分析</w:t>
      </w:r>
      <w:bookmarkEnd w:id="22"/>
      <w:bookmarkEnd w:id="23"/>
      <w:bookmarkEnd w:id="24"/>
    </w:p>
    <w:p w:rsidR="004A0DD9" w:rsidRDefault="004A0DD9" w:rsidP="004A0DD9">
      <w:pPr>
        <w:spacing w:line="600" w:lineRule="exact"/>
        <w:ind w:leftChars="50" w:left="105" w:firstLineChars="150" w:firstLine="48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1.产出数量：</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（1）办案业务费</w:t>
      </w:r>
    </w:p>
    <w:p w:rsidR="004A0DD9" w:rsidRDefault="00FC5E16"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年度指标值：满足检察机关政法执法办案需求，使用人员</w:t>
      </w:r>
      <w:r w:rsidR="004A0DD9">
        <w:rPr>
          <w:rFonts w:ascii="仿宋_GB2312" w:eastAsia="仿宋_GB2312" w:hAnsi="宋体" w:cs="宋体" w:hint="eastAsia"/>
          <w:color w:val="000000"/>
          <w:kern w:val="0"/>
          <w:sz w:val="32"/>
          <w:szCs w:val="32"/>
        </w:rPr>
        <w:t>满意度≥95%。</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全年实际值：2021年度，二分院</w:t>
      </w:r>
      <w:r>
        <w:rPr>
          <w:rFonts w:ascii="仿宋_GB2312" w:eastAsia="仿宋_GB2312" w:hAnsi="仿宋" w:cs="仿宋" w:hint="eastAsia"/>
          <w:sz w:val="32"/>
          <w:szCs w:val="32"/>
        </w:rPr>
        <w:t>全年共受理</w:t>
      </w:r>
      <w:r w:rsidR="00B14981">
        <w:rPr>
          <w:rFonts w:ascii="仿宋_GB2312" w:eastAsia="仿宋_GB2312" w:hAnsi="仿宋" w:cs="仿宋" w:hint="eastAsia"/>
          <w:sz w:val="32"/>
          <w:szCs w:val="32"/>
        </w:rPr>
        <w:t>刑事、民事、行政案件</w:t>
      </w:r>
      <w:r>
        <w:rPr>
          <w:rFonts w:ascii="仿宋_GB2312" w:eastAsia="仿宋_GB2312" w:hAnsi="仿宋" w:cs="仿宋" w:hint="eastAsia"/>
          <w:sz w:val="32"/>
          <w:szCs w:val="32"/>
        </w:rPr>
        <w:t>2906件，同比上升17.51%，在四个分院中受理案件数居首位。根据北京市检察业务绩效考评核心指标和评价标准体系统计结果，二分院2021</w:t>
      </w:r>
      <w:r w:rsidR="00C7260E">
        <w:rPr>
          <w:rFonts w:ascii="仿宋_GB2312" w:eastAsia="仿宋_GB2312" w:hAnsi="仿宋" w:cs="仿宋" w:hint="eastAsia"/>
          <w:sz w:val="32"/>
          <w:szCs w:val="32"/>
        </w:rPr>
        <w:t>年度全市分院</w:t>
      </w:r>
      <w:r>
        <w:rPr>
          <w:rFonts w:ascii="仿宋_GB2312" w:eastAsia="仿宋_GB2312" w:hAnsi="仿宋" w:cs="仿宋" w:hint="eastAsia"/>
          <w:sz w:val="32"/>
          <w:szCs w:val="32"/>
        </w:rPr>
        <w:t>排名第一。</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（2）检察业务工作经费</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年度指标值：确保检务公开、新媒体法制宣传、政策理论研究等相关检察工作的顺利开展</w:t>
      </w:r>
    </w:p>
    <w:p w:rsidR="004A0DD9" w:rsidRDefault="004A0DD9" w:rsidP="004A0DD9">
      <w:pPr>
        <w:spacing w:line="560" w:lineRule="exact"/>
        <w:ind w:firstLineChars="200" w:firstLine="640"/>
        <w:rPr>
          <w:rFonts w:ascii="仿宋_GB2312" w:eastAsia="仿宋_GB2312" w:hAnsi="仿宋_GB2312" w:cs="仿宋_GB2312"/>
          <w:bCs/>
          <w:sz w:val="32"/>
          <w:szCs w:val="32"/>
          <w:highlight w:val="yellow"/>
        </w:rPr>
      </w:pPr>
      <w:r>
        <w:rPr>
          <w:rFonts w:ascii="仿宋_GB2312" w:eastAsia="仿宋_GB2312" w:hAnsi="宋体" w:cs="宋体" w:hint="eastAsia"/>
          <w:color w:val="000000"/>
          <w:kern w:val="0"/>
          <w:sz w:val="32"/>
          <w:szCs w:val="32"/>
        </w:rPr>
        <w:t>全年实际值：2021年度，依法向社会和诉讼参与人公开</w:t>
      </w:r>
      <w:r>
        <w:rPr>
          <w:rFonts w:ascii="仿宋_GB2312" w:eastAsia="仿宋_GB2312" w:hAnsi="宋体" w:cs="宋体" w:hint="eastAsia"/>
          <w:color w:val="000000"/>
          <w:kern w:val="0"/>
          <w:sz w:val="32"/>
          <w:szCs w:val="32"/>
        </w:rPr>
        <w:lastRenderedPageBreak/>
        <w:t>检察职权透明度，相对不涉及国家和个人隐私等检察监督权领域定期向社会开放，开展检察业务交流咨询、新闻宣传等活动，制作了《认罪认罚教育宣传片》等宣传片，保障了二分院检察业务工作，扩大检察工作影响。</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（3）信息化运维</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年度指标值：开展信息化运维工作，保障项目基础设施、软件硬件正常运转，为业务开展提供支撑，系统正常运行率大于等于99.5%。</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全年实际值：检察信息化系统2021年全年运行态势平稳良好，保证了信息化网络设备稳定运行，满足了检察业务工作需要。</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（4）互联网接入费</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年度指标值：为推进检察信息化建设和应用工作，保障信息系统安全、有效、顺畅运行，需专线接入互联网。</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全年实际值：按照工作部署和要求，在2021年按要求完成项目进度并通过验收。保障检察业务公开与检察门户网站运行维护。</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（5）安保安检</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年度指标值：维护二分院正常办公秩序，各岗位配备安检安保人员数量达到规定标准。</w:t>
      </w:r>
    </w:p>
    <w:p w:rsidR="004A0DD9" w:rsidRPr="009B1832" w:rsidRDefault="004A0DD9" w:rsidP="009B1832">
      <w:pPr>
        <w:spacing w:line="560" w:lineRule="exact"/>
        <w:ind w:firstLineChars="200" w:firstLine="640"/>
        <w:rPr>
          <w:rFonts w:ascii="仿宋_GB2312" w:eastAsia="仿宋_GB2312" w:hAnsi="宋体" w:cs="宋体"/>
          <w:color w:val="000000"/>
          <w:kern w:val="0"/>
          <w:sz w:val="32"/>
          <w:szCs w:val="32"/>
        </w:rPr>
      </w:pPr>
      <w:r w:rsidRPr="009B1832">
        <w:rPr>
          <w:rFonts w:ascii="仿宋_GB2312" w:eastAsia="仿宋_GB2312" w:hAnsi="宋体" w:cs="宋体" w:hint="eastAsia"/>
          <w:color w:val="000000"/>
          <w:kern w:val="0"/>
          <w:sz w:val="32"/>
          <w:szCs w:val="32"/>
        </w:rPr>
        <w:t>全年实际值：2021年度，二分院保安队已按照约定配备保安员38名，并保证了每天24小时有人轮班在岗。保安员岗位设置如下：保安管理岗位3名，守卫巡逻岗位19名、</w:t>
      </w:r>
      <w:r w:rsidRPr="009B1832">
        <w:rPr>
          <w:rFonts w:ascii="仿宋_GB2312" w:eastAsia="仿宋_GB2312" w:hAnsi="宋体" w:cs="宋体" w:hint="eastAsia"/>
          <w:color w:val="000000"/>
          <w:kern w:val="0"/>
          <w:sz w:val="32"/>
          <w:szCs w:val="32"/>
        </w:rPr>
        <w:lastRenderedPageBreak/>
        <w:t>应急处置岗6名，技术防范岗位4名，安检岗位6名。</w:t>
      </w:r>
    </w:p>
    <w:p w:rsidR="004A0DD9" w:rsidRDefault="004A0DD9" w:rsidP="009B1832">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（6）绩效评审咨询服务费</w:t>
      </w:r>
    </w:p>
    <w:p w:rsidR="004A0DD9" w:rsidRDefault="004A0DD9" w:rsidP="009B1832">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年度指标值：绩效跟踪、绩效评价、绩效报告、内部控制手册修订和报告、其他会计审计服务</w:t>
      </w:r>
      <w:r w:rsidR="005D27D1">
        <w:rPr>
          <w:rFonts w:ascii="仿宋_GB2312" w:eastAsia="仿宋_GB2312" w:hAnsi="宋体" w:cs="宋体" w:hint="eastAsia"/>
          <w:color w:val="000000"/>
          <w:kern w:val="0"/>
          <w:sz w:val="32"/>
          <w:szCs w:val="32"/>
        </w:rPr>
        <w:t>。</w:t>
      </w:r>
    </w:p>
    <w:p w:rsidR="004A0DD9" w:rsidRPr="009B1832" w:rsidRDefault="004A0DD9" w:rsidP="009B1832">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全年实际值：对2021年现行内部控制手册进行修订与更新；2021年的绩效评价工作针对二分院的重点项目支出实施了绩效评价，评价项目2个，其中：普通评价1个，简易评价1个。</w:t>
      </w:r>
    </w:p>
    <w:p w:rsidR="004A0DD9" w:rsidRDefault="004A0DD9" w:rsidP="004A0DD9">
      <w:pPr>
        <w:spacing w:line="600" w:lineRule="exact"/>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2.产出</w:t>
      </w:r>
      <w:r>
        <w:rPr>
          <w:rFonts w:ascii="仿宋_GB2312" w:eastAsia="仿宋_GB2312" w:hAnsi="宋体" w:cs="宋体"/>
          <w:color w:val="000000"/>
          <w:kern w:val="0"/>
          <w:sz w:val="32"/>
          <w:szCs w:val="32"/>
        </w:rPr>
        <w:t>质量</w:t>
      </w:r>
    </w:p>
    <w:p w:rsidR="004A0DD9" w:rsidRDefault="004A0DD9" w:rsidP="004A0DD9">
      <w:pPr>
        <w:pStyle w:val="1"/>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w:t>
      </w:r>
      <w:r>
        <w:rPr>
          <w:rFonts w:ascii="仿宋_GB2312" w:eastAsia="仿宋_GB2312" w:hAnsi="宋体" w:cs="宋体" w:hint="eastAsia"/>
          <w:color w:val="000000"/>
          <w:kern w:val="0"/>
          <w:sz w:val="32"/>
          <w:szCs w:val="32"/>
        </w:rPr>
        <w:t>办案业务费的实施，</w:t>
      </w:r>
      <w:r>
        <w:rPr>
          <w:rFonts w:ascii="仿宋_GB2312" w:eastAsia="仿宋_GB2312" w:hAnsi="仿宋_GB2312" w:cs="仿宋_GB2312" w:hint="eastAsia"/>
          <w:color w:val="000000"/>
          <w:kern w:val="0"/>
          <w:sz w:val="32"/>
          <w:szCs w:val="32"/>
        </w:rPr>
        <w:t>提高了检察工作效率及检察监督的社会影响力、认知度；提升人民群众对检察工作的满意度。</w:t>
      </w:r>
    </w:p>
    <w:p w:rsidR="004A0DD9" w:rsidRDefault="004A0DD9" w:rsidP="004A0DD9">
      <w:pPr>
        <w:spacing w:line="560" w:lineRule="exact"/>
        <w:ind w:leftChars="50" w:left="105" w:firstLineChars="150" w:firstLine="48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（2）检察业务工作的开展， 确保了二分院2021年度检务公开、新媒体法制宣传、政策理论研究等相关检察工作的顺利开展。</w:t>
      </w:r>
    </w:p>
    <w:p w:rsidR="004A0DD9" w:rsidRDefault="004A0DD9" w:rsidP="004A0DD9">
      <w:pPr>
        <w:spacing w:line="560" w:lineRule="exact"/>
        <w:ind w:leftChars="50" w:left="105" w:firstLineChars="150" w:firstLine="480"/>
        <w:rPr>
          <w:rFonts w:ascii="仿宋_GB2312" w:eastAsia="仿宋_GB2312" w:hAnsi="仿宋_GB2312" w:cs="仿宋_GB2312"/>
          <w:color w:val="000000"/>
          <w:kern w:val="0"/>
          <w:sz w:val="32"/>
          <w:szCs w:val="32"/>
        </w:rPr>
      </w:pPr>
      <w:r>
        <w:rPr>
          <w:rFonts w:ascii="仿宋_GB2312" w:eastAsia="仿宋_GB2312" w:hAnsi="宋体" w:cs="宋体" w:hint="eastAsia"/>
          <w:color w:val="000000"/>
          <w:kern w:val="0"/>
          <w:sz w:val="32"/>
          <w:szCs w:val="32"/>
        </w:rPr>
        <w:t>（3）信息化运维项目的实施，</w:t>
      </w:r>
      <w:r>
        <w:rPr>
          <w:rFonts w:ascii="仿宋_GB2312" w:eastAsia="仿宋_GB2312" w:hAnsi="仿宋_GB2312" w:cs="仿宋_GB2312" w:hint="eastAsia"/>
          <w:bCs/>
          <w:sz w:val="32"/>
          <w:szCs w:val="32"/>
        </w:rPr>
        <w:t>保障项目基础设施、软件硬件正常运转，为业务开展提供支撑；提高工作效率，提高检察公信力的社会影响力、认知度。</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（4）互联网接入费满足了专线接入互联网的工作需求，保障了检察业务公开与检察门户网站运行维护。</w:t>
      </w:r>
    </w:p>
    <w:p w:rsidR="004A0DD9" w:rsidRDefault="004A0DD9" w:rsidP="004A0DD9">
      <w:pPr>
        <w:ind w:firstLineChars="200" w:firstLine="640"/>
        <w:rPr>
          <w:rFonts w:ascii="仿宋_GB2312" w:eastAsia="仿宋_GB2312" w:hAnsi="仿宋_GB2312" w:cs="仿宋_GB2312"/>
          <w:bCs/>
          <w:sz w:val="32"/>
          <w:szCs w:val="32"/>
        </w:rPr>
      </w:pPr>
      <w:r>
        <w:rPr>
          <w:rFonts w:ascii="仿宋_GB2312" w:eastAsia="仿宋_GB2312" w:hAnsi="宋体" w:cs="宋体" w:hint="eastAsia"/>
          <w:color w:val="000000"/>
          <w:kern w:val="0"/>
          <w:sz w:val="32"/>
          <w:szCs w:val="32"/>
        </w:rPr>
        <w:t>（5）安保安检项目的实施，保证了单位和职工的安全，为检察业务的有序开展提供了安全秩序的办公场所；维护了单位秩序，提供安全稳定的工作环境，避免不良事故，提升检察工作效率；提供有效的安保服务，对维持办公秩序，保</w:t>
      </w:r>
      <w:r>
        <w:rPr>
          <w:rFonts w:ascii="仿宋_GB2312" w:eastAsia="仿宋_GB2312" w:hAnsi="宋体" w:cs="宋体" w:hint="eastAsia"/>
          <w:color w:val="000000"/>
          <w:kern w:val="0"/>
          <w:sz w:val="32"/>
          <w:szCs w:val="32"/>
        </w:rPr>
        <w:lastRenderedPageBreak/>
        <w:t>障良好检察工作氛围起到了持续的影响。</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（6）绩效评审咨询服务费的开展，保障了二分院发挥政府履职所需辅助性服务职能，有效提升单位内部控制工作水平。</w:t>
      </w:r>
    </w:p>
    <w:p w:rsidR="004A0DD9" w:rsidRDefault="004A0DD9" w:rsidP="004A0DD9">
      <w:pPr>
        <w:spacing w:line="600" w:lineRule="exact"/>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3.产出</w:t>
      </w:r>
      <w:r>
        <w:rPr>
          <w:rFonts w:ascii="仿宋_GB2312" w:eastAsia="仿宋_GB2312" w:hAnsi="宋体" w:cs="宋体"/>
          <w:color w:val="000000"/>
          <w:kern w:val="0"/>
          <w:sz w:val="32"/>
          <w:szCs w:val="32"/>
        </w:rPr>
        <w:t>进度</w:t>
      </w:r>
    </w:p>
    <w:p w:rsidR="004A0DD9" w:rsidRDefault="004A0DD9" w:rsidP="004A0DD9">
      <w:pPr>
        <w:pStyle w:val="1"/>
        <w:numPr>
          <w:ilvl w:val="255"/>
          <w:numId w:val="0"/>
        </w:numPr>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（1）2021年办案业务费项目，已在2021年按要求完成项目进度，项目中涉及的合同、验收报告、技术鉴定等资料均齐全并及时归档。</w:t>
      </w:r>
    </w:p>
    <w:p w:rsidR="004A0DD9" w:rsidRDefault="004A0DD9" w:rsidP="004A0DD9">
      <w:pPr>
        <w:pStyle w:val="1"/>
        <w:ind w:firstLineChars="200" w:firstLine="640"/>
        <w:rPr>
          <w:rFonts w:ascii="仿宋_GB2312" w:eastAsia="仿宋_GB2312" w:hAnsi="宋体" w:cs="宋体"/>
          <w:color w:val="000000"/>
          <w:kern w:val="0"/>
          <w:sz w:val="32"/>
          <w:szCs w:val="32"/>
          <w:highlight w:val="yellow"/>
        </w:rPr>
      </w:pPr>
      <w:r>
        <w:rPr>
          <w:rFonts w:ascii="仿宋_GB2312" w:eastAsia="仿宋_GB2312" w:hAnsi="宋体" w:cs="宋体" w:hint="eastAsia"/>
          <w:color w:val="000000"/>
          <w:kern w:val="0"/>
          <w:sz w:val="32"/>
          <w:szCs w:val="32"/>
        </w:rPr>
        <w:t>（2）检察业务经费项目已在2021年按要求完成项目进度</w:t>
      </w:r>
      <w:r w:rsidR="00CF4F1B">
        <w:rPr>
          <w:rFonts w:ascii="仿宋_GB2312" w:eastAsia="仿宋_GB2312" w:hAnsi="宋体" w:cs="宋体" w:hint="eastAsia"/>
          <w:color w:val="000000"/>
          <w:kern w:val="0"/>
          <w:sz w:val="32"/>
          <w:szCs w:val="32"/>
        </w:rPr>
        <w:t>。</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（3）2021年信息化运维项目，截至评价日，该项目主要工作能够按照计划时间开展，产出时效性较好，按期完成了各阶段及年度总体工作任务。</w:t>
      </w:r>
    </w:p>
    <w:p w:rsidR="004A0DD9" w:rsidRDefault="004A0DD9" w:rsidP="004A0DD9">
      <w:pPr>
        <w:ind w:firstLineChars="200" w:firstLine="640"/>
      </w:pPr>
      <w:r>
        <w:rPr>
          <w:rFonts w:ascii="仿宋_GB2312" w:eastAsia="仿宋_GB2312" w:hAnsi="宋体" w:cs="宋体" w:hint="eastAsia"/>
          <w:color w:val="000000"/>
          <w:kern w:val="0"/>
          <w:sz w:val="32"/>
          <w:szCs w:val="32"/>
        </w:rPr>
        <w:t>（4）2021年互联网接入费项目，按要求完成项目进度并通过验收。</w:t>
      </w:r>
    </w:p>
    <w:p w:rsidR="004A0DD9" w:rsidRDefault="004A0DD9" w:rsidP="004A0DD9">
      <w:pPr>
        <w:pStyle w:val="1"/>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2021年度，安保安检项目与戎威远公司签订了安保安检服务合同并制定相应方案，保障了该项目的执行，并于2021年年底较好地完成了全年安保安检服务工作，保证了检务大厅申诉接待工作的正常秩序，确保了院区的安全稳定，实现了全年安全无事故的总体目标。</w:t>
      </w:r>
    </w:p>
    <w:p w:rsidR="004A0DD9" w:rsidRDefault="004A0DD9" w:rsidP="004A0DD9">
      <w:pPr>
        <w:numPr>
          <w:ilvl w:val="255"/>
          <w:numId w:val="0"/>
        </w:numPr>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（6）2021年绩效评审咨询服务费项目，已按要求完成项目进度，项目中涉及的合同、报告等资料均齐全并及时归</w:t>
      </w:r>
      <w:r>
        <w:rPr>
          <w:rFonts w:ascii="仿宋_GB2312" w:eastAsia="仿宋_GB2312" w:hAnsi="宋体" w:cs="宋体" w:hint="eastAsia"/>
          <w:color w:val="000000"/>
          <w:kern w:val="0"/>
          <w:sz w:val="32"/>
          <w:szCs w:val="32"/>
        </w:rPr>
        <w:lastRenderedPageBreak/>
        <w:t>档。</w:t>
      </w:r>
    </w:p>
    <w:p w:rsidR="004A0DD9" w:rsidRDefault="004A0DD9" w:rsidP="004A0DD9">
      <w:pPr>
        <w:pStyle w:val="1"/>
        <w:spacing w:line="600" w:lineRule="exact"/>
        <w:ind w:leftChars="50" w:left="105" w:firstLineChars="200" w:firstLine="640"/>
        <w:outlineLvl w:val="2"/>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p>
    <w:p w:rsidR="004A0DD9" w:rsidRDefault="004A0DD9" w:rsidP="004A0D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2021年，二分院项目支出预算数</w:t>
      </w:r>
      <w:r>
        <w:rPr>
          <w:rFonts w:ascii="仿宋_GB2312" w:eastAsia="仿宋_GB2312" w:hAnsi="宋体" w:cs="宋体"/>
          <w:color w:val="000000"/>
          <w:kern w:val="0"/>
          <w:sz w:val="32"/>
          <w:szCs w:val="32"/>
        </w:rPr>
        <w:t>1,002.70万元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项目</w:t>
      </w:r>
      <w:r>
        <w:rPr>
          <w:rFonts w:ascii="仿宋_GB2312" w:eastAsia="仿宋_GB2312" w:hAnsi="宋体" w:cs="宋体" w:hint="eastAsia"/>
          <w:color w:val="000000"/>
          <w:kern w:val="0"/>
          <w:sz w:val="32"/>
          <w:szCs w:val="32"/>
        </w:rPr>
        <w:t>支出决算数930.93</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其中：办案业务费产出成本321.93万元；检察业务费产出成本60.00万元；信息化运维费产出成本108.54万元；互联网接入费产出成本2.92万元；安保安检产出成本196.03万元；绩效评审咨询服务费产出成本8.00万元；楼宇监控和综合布线系统升级改造项目产出成本233.50万元。产出成本与预算存在差异，主要原因为</w:t>
      </w:r>
      <w:r w:rsidR="00AC5BB5">
        <w:rPr>
          <w:rFonts w:ascii="仿宋_GB2312" w:eastAsia="仿宋_GB2312" w:hAnsi="宋体" w:cs="宋体" w:hint="eastAsia"/>
          <w:color w:val="000000"/>
          <w:kern w:val="0"/>
          <w:sz w:val="32"/>
          <w:szCs w:val="32"/>
        </w:rPr>
        <w:t>部分项目经费核减</w:t>
      </w:r>
      <w:r>
        <w:rPr>
          <w:rFonts w:ascii="仿宋_GB2312" w:eastAsia="仿宋_GB2312" w:hAnsi="宋体" w:cs="宋体" w:hint="eastAsia"/>
          <w:color w:val="000000"/>
          <w:kern w:val="0"/>
          <w:sz w:val="32"/>
          <w:szCs w:val="32"/>
        </w:rPr>
        <w:t>。</w:t>
      </w:r>
    </w:p>
    <w:p w:rsidR="004A0DD9" w:rsidRDefault="004A0DD9" w:rsidP="004A0DD9">
      <w:pPr>
        <w:spacing w:line="600" w:lineRule="exact"/>
        <w:ind w:leftChars="50" w:left="105" w:firstLineChars="150" w:firstLine="480"/>
        <w:outlineLvl w:val="1"/>
        <w:rPr>
          <w:rFonts w:ascii="楷体_GB2312" w:eastAsia="楷体_GB2312"/>
          <w:sz w:val="32"/>
          <w:szCs w:val="32"/>
        </w:rPr>
      </w:pPr>
      <w:bookmarkStart w:id="25" w:name="_Toc1684"/>
      <w:bookmarkStart w:id="26" w:name="_Toc13932"/>
      <w:bookmarkStart w:id="27" w:name="_Toc8511"/>
      <w:r>
        <w:rPr>
          <w:rFonts w:ascii="楷体_GB2312" w:eastAsia="楷体_GB2312" w:hint="eastAsia"/>
          <w:sz w:val="32"/>
          <w:szCs w:val="32"/>
        </w:rPr>
        <w:t>（二）效果</w:t>
      </w:r>
      <w:r>
        <w:rPr>
          <w:rFonts w:ascii="楷体_GB2312" w:eastAsia="楷体_GB2312"/>
          <w:sz w:val="32"/>
          <w:szCs w:val="32"/>
        </w:rPr>
        <w:t>实现情况分析</w:t>
      </w:r>
      <w:bookmarkEnd w:id="25"/>
      <w:bookmarkEnd w:id="26"/>
      <w:bookmarkEnd w:id="27"/>
    </w:p>
    <w:p w:rsidR="004A0DD9" w:rsidRDefault="004A0DD9" w:rsidP="004A0DD9">
      <w:pPr>
        <w:pStyle w:val="20"/>
        <w:numPr>
          <w:ilvl w:val="255"/>
          <w:numId w:val="0"/>
        </w:numPr>
        <w:spacing w:line="560" w:lineRule="exact"/>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1.经济效益：</w:t>
      </w:r>
    </w:p>
    <w:p w:rsidR="004A0DD9" w:rsidRDefault="004A0DD9" w:rsidP="004A0DD9">
      <w:pPr>
        <w:pStyle w:val="20"/>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不涉及。</w:t>
      </w:r>
    </w:p>
    <w:p w:rsidR="004A0DD9" w:rsidRDefault="004A0DD9" w:rsidP="004A0DD9">
      <w:pPr>
        <w:pStyle w:val="20"/>
        <w:numPr>
          <w:ilvl w:val="255"/>
          <w:numId w:val="0"/>
        </w:numPr>
        <w:spacing w:line="560" w:lineRule="exact"/>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2.社会效益：</w:t>
      </w:r>
    </w:p>
    <w:p w:rsidR="004A0DD9" w:rsidRDefault="004A0DD9" w:rsidP="004A0DD9">
      <w:pPr>
        <w:pStyle w:val="20"/>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体自评认为，二分院通过项目的实施，更好地发挥了检察职能，贯彻落实中共中央“全面推进依法治国”决定，营造了公正、高效、权威的法治环境，为构建和谐社会提供有力的司法保障，更好地适应了和谐社会建设的新要求，并为维护国家和地区的长治久安、保障人民安居乐业提供强有力的支撑和保障。</w:t>
      </w:r>
    </w:p>
    <w:p w:rsidR="004A0DD9" w:rsidRDefault="004A0DD9" w:rsidP="004A0DD9">
      <w:pPr>
        <w:pStyle w:val="20"/>
        <w:numPr>
          <w:ilvl w:val="255"/>
          <w:numId w:val="0"/>
        </w:numPr>
        <w:spacing w:line="560" w:lineRule="exact"/>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3.环境效益</w:t>
      </w:r>
    </w:p>
    <w:p w:rsidR="004A0DD9" w:rsidRDefault="004A0DD9" w:rsidP="004A0DD9">
      <w:pPr>
        <w:pStyle w:val="20"/>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不涉及</w:t>
      </w:r>
    </w:p>
    <w:p w:rsidR="004A0DD9" w:rsidRDefault="004A0DD9" w:rsidP="004A0DD9">
      <w:pPr>
        <w:pStyle w:val="20"/>
        <w:numPr>
          <w:ilvl w:val="255"/>
          <w:numId w:val="0"/>
        </w:numPr>
        <w:spacing w:line="560" w:lineRule="exact"/>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4.可持续性影响</w:t>
      </w:r>
    </w:p>
    <w:p w:rsidR="004A0DD9" w:rsidRDefault="004A0DD9" w:rsidP="004A0DD9">
      <w:pPr>
        <w:pStyle w:val="20"/>
        <w:spacing w:line="56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总体自评认为，二分院分发挥单位职能，保障各项检察</w:t>
      </w:r>
      <w:r>
        <w:rPr>
          <w:rFonts w:ascii="仿宋_GB2312" w:eastAsia="仿宋_GB2312" w:hAnsi="宋体" w:cs="宋体" w:hint="eastAsia"/>
          <w:color w:val="000000"/>
          <w:kern w:val="0"/>
          <w:sz w:val="32"/>
          <w:szCs w:val="32"/>
        </w:rPr>
        <w:lastRenderedPageBreak/>
        <w:t>业务工作有序开展，围绕中心工作履行检察职能，在维护首都工作大局，维护社会安全稳定，强化法律监督等方面具有可持续性。</w:t>
      </w:r>
    </w:p>
    <w:p w:rsidR="004A0DD9" w:rsidRDefault="004A0DD9" w:rsidP="004A0DD9">
      <w:pPr>
        <w:ind w:leftChars="50" w:left="105" w:firstLineChars="150" w:firstLine="48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5.服务对象满意度</w:t>
      </w:r>
    </w:p>
    <w:p w:rsidR="004A0DD9" w:rsidRDefault="004A0DD9" w:rsidP="004A0DD9">
      <w:pPr>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总体自评认为，二分院项目满意度反馈信息不够全面，满意度调查有待完善。</w:t>
      </w:r>
    </w:p>
    <w:p w:rsidR="004A0DD9" w:rsidRDefault="004A0DD9" w:rsidP="004A0DD9">
      <w:pPr>
        <w:spacing w:line="600" w:lineRule="exact"/>
        <w:ind w:leftChars="50" w:left="105" w:firstLineChars="150" w:firstLine="480"/>
        <w:outlineLvl w:val="0"/>
        <w:rPr>
          <w:rFonts w:ascii="黑体" w:eastAsia="黑体" w:hAnsi="黑体" w:cs="宋体"/>
          <w:color w:val="000000"/>
          <w:kern w:val="0"/>
          <w:sz w:val="32"/>
          <w:szCs w:val="32"/>
        </w:rPr>
      </w:pPr>
      <w:bookmarkStart w:id="28" w:name="_Toc19106"/>
      <w:bookmarkStart w:id="29" w:name="_Toc2292"/>
      <w:bookmarkStart w:id="30" w:name="_Toc20310"/>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28"/>
      <w:bookmarkEnd w:id="29"/>
      <w:bookmarkEnd w:id="30"/>
    </w:p>
    <w:p w:rsidR="004A0DD9" w:rsidRDefault="004A0DD9" w:rsidP="004A0DD9">
      <w:pPr>
        <w:spacing w:line="600" w:lineRule="exact"/>
        <w:ind w:leftChars="50" w:left="105" w:firstLineChars="150" w:firstLine="480"/>
        <w:outlineLvl w:val="1"/>
        <w:rPr>
          <w:rFonts w:ascii="楷体_GB2312" w:eastAsia="楷体_GB2312"/>
          <w:sz w:val="32"/>
          <w:szCs w:val="32"/>
        </w:rPr>
      </w:pPr>
      <w:bookmarkStart w:id="31" w:name="_Toc27775"/>
      <w:bookmarkStart w:id="32" w:name="_Toc32474"/>
      <w:bookmarkStart w:id="33" w:name="_Toc8993"/>
      <w:r>
        <w:rPr>
          <w:rFonts w:ascii="楷体_GB2312" w:eastAsia="楷体_GB2312" w:hint="eastAsia"/>
          <w:sz w:val="32"/>
          <w:szCs w:val="32"/>
        </w:rPr>
        <w:t>（一）财务管理</w:t>
      </w:r>
      <w:bookmarkEnd w:id="31"/>
      <w:bookmarkEnd w:id="32"/>
      <w:bookmarkEnd w:id="33"/>
    </w:p>
    <w:p w:rsidR="00C27638" w:rsidRDefault="004A0DD9" w:rsidP="004A0D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sidR="002C1048">
        <w:rPr>
          <w:rFonts w:ascii="仿宋_GB2312" w:eastAsia="仿宋_GB2312" w:hAnsi="宋体" w:cs="宋体" w:hint="eastAsia"/>
          <w:color w:val="000000"/>
          <w:kern w:val="0"/>
          <w:sz w:val="32"/>
          <w:szCs w:val="32"/>
        </w:rPr>
        <w:t>财务管理制度健全性。</w:t>
      </w:r>
    </w:p>
    <w:p w:rsidR="004A0DD9" w:rsidRDefault="004A0DD9" w:rsidP="004A0D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二分院建立了《二分院经费支出管理办法》，《二分院采购管理办法》《二分院预算管理办法》、《二分院预算项目管理办法》等制度，财务</w:t>
      </w:r>
      <w:r>
        <w:rPr>
          <w:rFonts w:ascii="仿宋_GB2312" w:eastAsia="仿宋_GB2312" w:hAnsi="宋体" w:cs="宋体"/>
          <w:color w:val="000000"/>
          <w:kern w:val="0"/>
          <w:sz w:val="32"/>
          <w:szCs w:val="32"/>
        </w:rPr>
        <w:t>管理制度健全</w:t>
      </w:r>
      <w:r>
        <w:rPr>
          <w:rFonts w:ascii="仿宋_GB2312" w:eastAsia="仿宋_GB2312" w:hAnsi="宋体" w:cs="宋体" w:hint="eastAsia"/>
          <w:color w:val="000000"/>
          <w:kern w:val="0"/>
          <w:sz w:val="32"/>
          <w:szCs w:val="32"/>
        </w:rPr>
        <w:t>。实际执行中，严格按照财务制度执行，执行审核审批手续。</w:t>
      </w:r>
    </w:p>
    <w:p w:rsidR="00C27638" w:rsidRDefault="004A0DD9" w:rsidP="004A0D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sidR="002C1048">
        <w:rPr>
          <w:rFonts w:ascii="仿宋_GB2312" w:eastAsia="仿宋_GB2312" w:hAnsi="宋体" w:cs="宋体" w:hint="eastAsia"/>
          <w:color w:val="000000"/>
          <w:kern w:val="0"/>
          <w:sz w:val="32"/>
          <w:szCs w:val="32"/>
        </w:rPr>
        <w:t>资金使用合规性和安全性。</w:t>
      </w:r>
    </w:p>
    <w:p w:rsidR="004A0DD9" w:rsidRDefault="004A0DD9" w:rsidP="004A0D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二分院各项资金支出均参照国家、北京市相关制度及本单位相关财务制度执行，严格落实资金拨付审批程序，以保障资金及时发放到位。同时，配合市财政局开展项目监管检查、绩效评价相关工作，加强资金使用效果的监督、落实。</w:t>
      </w:r>
    </w:p>
    <w:p w:rsidR="002C1048" w:rsidRPr="002C1048" w:rsidRDefault="002C1048" w:rsidP="002C1048">
      <w:pPr>
        <w:spacing w:line="580" w:lineRule="exact"/>
        <w:ind w:leftChars="50" w:left="105" w:firstLineChars="150" w:firstLine="480"/>
        <w:rPr>
          <w:rFonts w:ascii="仿宋_GB2312" w:eastAsia="仿宋_GB2312" w:hAnsi="宋体" w:cs="宋体"/>
          <w:color w:val="000000"/>
          <w:kern w:val="0"/>
          <w:sz w:val="32"/>
          <w:szCs w:val="32"/>
        </w:rPr>
      </w:pPr>
      <w:r w:rsidRPr="002C1048">
        <w:rPr>
          <w:rFonts w:ascii="仿宋_GB2312" w:eastAsia="仿宋_GB2312" w:hAnsi="宋体" w:cs="宋体" w:hint="eastAsia"/>
          <w:color w:val="000000"/>
          <w:kern w:val="0"/>
          <w:sz w:val="32"/>
          <w:szCs w:val="32"/>
        </w:rPr>
        <w:t>3. 会计基础信息完善性</w:t>
      </w:r>
    </w:p>
    <w:p w:rsidR="002C1048" w:rsidRPr="00C27638" w:rsidRDefault="002C1048" w:rsidP="00C27638">
      <w:pPr>
        <w:spacing w:line="600" w:lineRule="exact"/>
        <w:ind w:leftChars="50" w:left="105" w:firstLineChars="150" w:firstLine="480"/>
        <w:rPr>
          <w:rFonts w:ascii="仿宋_GB2312" w:eastAsia="仿宋_GB2312" w:hAnsi="宋体" w:cs="宋体"/>
          <w:color w:val="000000"/>
          <w:kern w:val="0"/>
          <w:sz w:val="32"/>
          <w:szCs w:val="32"/>
        </w:rPr>
      </w:pPr>
      <w:r w:rsidRPr="002C1048">
        <w:rPr>
          <w:rFonts w:ascii="仿宋_GB2312" w:eastAsia="仿宋_GB2312" w:hAnsi="宋体" w:cs="宋体" w:hint="eastAsia"/>
          <w:color w:val="000000"/>
          <w:kern w:val="0"/>
          <w:sz w:val="32"/>
          <w:szCs w:val="32"/>
        </w:rPr>
        <w:t>2021年二分院各项资金支出均参照国家、北京市相关制度及本单位已制定的财务制度执行，资金支出审批程序齐全，资金使用合规、安全。会计信息准确、完整，会计核算和会</w:t>
      </w:r>
      <w:r w:rsidRPr="002C1048">
        <w:rPr>
          <w:rFonts w:ascii="仿宋_GB2312" w:eastAsia="仿宋_GB2312" w:hAnsi="宋体" w:cs="宋体" w:hint="eastAsia"/>
          <w:color w:val="000000"/>
          <w:kern w:val="0"/>
          <w:sz w:val="32"/>
          <w:szCs w:val="32"/>
        </w:rPr>
        <w:lastRenderedPageBreak/>
        <w:t>计监督均依照会计法律法规和国家统一的会计准则制度进行。</w:t>
      </w:r>
    </w:p>
    <w:p w:rsidR="004A0DD9" w:rsidRDefault="004A0DD9" w:rsidP="004A0DD9">
      <w:pPr>
        <w:spacing w:line="600" w:lineRule="exact"/>
        <w:ind w:leftChars="50" w:left="105" w:firstLineChars="150" w:firstLine="480"/>
        <w:outlineLvl w:val="1"/>
        <w:rPr>
          <w:rFonts w:ascii="楷体_GB2312" w:eastAsia="楷体_GB2312"/>
          <w:sz w:val="32"/>
          <w:szCs w:val="32"/>
        </w:rPr>
      </w:pPr>
      <w:bookmarkStart w:id="34" w:name="_Toc8185"/>
      <w:bookmarkStart w:id="35" w:name="_Toc30247"/>
      <w:bookmarkStart w:id="36" w:name="_Toc31488"/>
      <w:r>
        <w:rPr>
          <w:rFonts w:ascii="楷体_GB2312" w:eastAsia="楷体_GB2312" w:hint="eastAsia"/>
          <w:sz w:val="32"/>
          <w:szCs w:val="32"/>
        </w:rPr>
        <w:t>（二）资产管理</w:t>
      </w:r>
      <w:bookmarkEnd w:id="34"/>
      <w:bookmarkEnd w:id="35"/>
      <w:bookmarkEnd w:id="36"/>
    </w:p>
    <w:p w:rsidR="004A0DD9" w:rsidRDefault="004A0DD9" w:rsidP="004A0D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1.二分院建立了《二分院固定资产管理规定》、《二分院货币资金管理办法》等管理制度，资产</w:t>
      </w:r>
      <w:r>
        <w:rPr>
          <w:rFonts w:ascii="仿宋_GB2312" w:eastAsia="仿宋_GB2312" w:hAnsi="宋体" w:cs="宋体"/>
          <w:color w:val="000000"/>
          <w:kern w:val="0"/>
          <w:sz w:val="32"/>
          <w:szCs w:val="32"/>
        </w:rPr>
        <w:t>管理制度</w:t>
      </w:r>
      <w:r>
        <w:rPr>
          <w:rFonts w:ascii="仿宋_GB2312" w:eastAsia="仿宋_GB2312" w:hAnsi="宋体" w:cs="宋体" w:hint="eastAsia"/>
          <w:color w:val="000000"/>
          <w:kern w:val="0"/>
          <w:sz w:val="32"/>
          <w:szCs w:val="32"/>
        </w:rPr>
        <w:t>较为</w:t>
      </w:r>
      <w:r>
        <w:rPr>
          <w:rFonts w:ascii="仿宋_GB2312" w:eastAsia="仿宋_GB2312" w:hAnsi="宋体" w:cs="宋体"/>
          <w:color w:val="000000"/>
          <w:kern w:val="0"/>
          <w:sz w:val="32"/>
          <w:szCs w:val="32"/>
        </w:rPr>
        <w:t>健全</w:t>
      </w:r>
      <w:r>
        <w:rPr>
          <w:rFonts w:ascii="仿宋_GB2312" w:eastAsia="仿宋_GB2312" w:hAnsi="宋体" w:cs="宋体" w:hint="eastAsia"/>
          <w:color w:val="000000"/>
          <w:kern w:val="0"/>
          <w:sz w:val="32"/>
          <w:szCs w:val="32"/>
        </w:rPr>
        <w:t>。</w:t>
      </w:r>
    </w:p>
    <w:p w:rsidR="004A0DD9" w:rsidRDefault="004A0DD9" w:rsidP="004A0D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二分院在资产管理方面能够按照现有制度执行，科学合理做好资产配置，加强资产的日常管理维护，挖掘资产使用价值，规范和完善资产的处置流程，充分发挥资产在单位履行职能方面的物质基础作用，有效保证单位带给公共服务的需要。</w:t>
      </w:r>
    </w:p>
    <w:p w:rsidR="004A0DD9" w:rsidRDefault="004A0DD9" w:rsidP="004A0DD9">
      <w:pPr>
        <w:numPr>
          <w:ilvl w:val="0"/>
          <w:numId w:val="1"/>
        </w:numPr>
        <w:spacing w:line="600" w:lineRule="exact"/>
        <w:ind w:firstLineChars="200" w:firstLine="640"/>
        <w:outlineLvl w:val="1"/>
        <w:rPr>
          <w:rFonts w:ascii="楷体_GB2312" w:eastAsia="楷体_GB2312"/>
          <w:sz w:val="32"/>
          <w:szCs w:val="32"/>
        </w:rPr>
      </w:pPr>
      <w:bookmarkStart w:id="37" w:name="_Toc11551"/>
      <w:bookmarkStart w:id="38" w:name="_Toc28534"/>
      <w:bookmarkStart w:id="39" w:name="_Toc1653"/>
      <w:r>
        <w:rPr>
          <w:rFonts w:ascii="楷体_GB2312" w:eastAsia="楷体_GB2312" w:hint="eastAsia"/>
          <w:sz w:val="32"/>
          <w:szCs w:val="32"/>
        </w:rPr>
        <w:t>绩效</w:t>
      </w:r>
      <w:r>
        <w:rPr>
          <w:rFonts w:ascii="楷体_GB2312" w:eastAsia="楷体_GB2312"/>
          <w:sz w:val="32"/>
          <w:szCs w:val="32"/>
        </w:rPr>
        <w:t>管理</w:t>
      </w:r>
      <w:bookmarkEnd w:id="37"/>
      <w:bookmarkEnd w:id="38"/>
      <w:bookmarkEnd w:id="39"/>
    </w:p>
    <w:p w:rsidR="004A0DD9" w:rsidRDefault="004A0DD9" w:rsidP="004A0D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分院在部门预算绩效管理工作中，对具体项目的决策、执行、产出及效益等方面进行综合评价，评价结果经单位领导审批，确保评价结果的真实、准确、客观。通过绩效评价进一步强化了各部门对项目资金的绩效管理意识，提高了财政资金的使用效益。</w:t>
      </w:r>
    </w:p>
    <w:p w:rsidR="004A0DD9" w:rsidRDefault="004A0DD9" w:rsidP="004A0DD9">
      <w:pPr>
        <w:numPr>
          <w:ilvl w:val="0"/>
          <w:numId w:val="1"/>
        </w:numPr>
        <w:spacing w:line="600" w:lineRule="exact"/>
        <w:ind w:firstLineChars="200" w:firstLine="640"/>
        <w:outlineLvl w:val="1"/>
        <w:rPr>
          <w:rFonts w:ascii="楷体_GB2312" w:eastAsia="楷体_GB2312"/>
          <w:sz w:val="32"/>
          <w:szCs w:val="32"/>
        </w:rPr>
      </w:pPr>
      <w:bookmarkStart w:id="40" w:name="_Toc11233"/>
      <w:bookmarkStart w:id="41" w:name="_Toc21411"/>
      <w:bookmarkStart w:id="42" w:name="_Toc8893"/>
      <w:r>
        <w:rPr>
          <w:rFonts w:ascii="楷体_GB2312" w:eastAsia="楷体_GB2312" w:hint="eastAsia"/>
          <w:sz w:val="32"/>
          <w:szCs w:val="32"/>
        </w:rPr>
        <w:t>结转结余率</w:t>
      </w:r>
      <w:bookmarkEnd w:id="40"/>
      <w:bookmarkEnd w:id="41"/>
      <w:bookmarkEnd w:id="42"/>
    </w:p>
    <w:p w:rsidR="004A0DD9" w:rsidRDefault="00FB1F30" w:rsidP="004A0DD9">
      <w:pPr>
        <w:pStyle w:val="1"/>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w:t>
      </w:r>
      <w:r w:rsidR="004A0DD9">
        <w:rPr>
          <w:rFonts w:ascii="仿宋_GB2312" w:eastAsia="仿宋_GB2312" w:hAnsi="宋体" w:cs="宋体" w:hint="eastAsia"/>
          <w:color w:val="000000"/>
          <w:kern w:val="0"/>
          <w:sz w:val="32"/>
          <w:szCs w:val="32"/>
        </w:rPr>
        <w:t>2021年二分院结转结余率为</w:t>
      </w:r>
      <w:r w:rsidR="002E075B">
        <w:rPr>
          <w:rFonts w:ascii="仿宋_GB2312" w:eastAsia="仿宋_GB2312" w:hAnsi="宋体" w:cs="宋体" w:hint="eastAsia"/>
          <w:color w:val="000000"/>
          <w:kern w:val="0"/>
          <w:sz w:val="32"/>
          <w:szCs w:val="32"/>
        </w:rPr>
        <w:t>1.34</w:t>
      </w:r>
      <w:r w:rsidR="004A0DD9">
        <w:rPr>
          <w:rFonts w:ascii="仿宋_GB2312" w:eastAsia="仿宋_GB2312" w:hAnsi="宋体" w:cs="宋体" w:hint="eastAsia"/>
          <w:color w:val="000000"/>
          <w:kern w:val="0"/>
          <w:sz w:val="32"/>
          <w:szCs w:val="32"/>
        </w:rPr>
        <w:t>%。</w:t>
      </w:r>
    </w:p>
    <w:p w:rsidR="004A0DD9" w:rsidRDefault="004A0DD9" w:rsidP="004A0DD9">
      <w:pPr>
        <w:spacing w:line="600" w:lineRule="exact"/>
        <w:ind w:leftChars="50" w:left="105" w:firstLineChars="150" w:firstLine="480"/>
        <w:outlineLvl w:val="1"/>
        <w:rPr>
          <w:rFonts w:ascii="楷体_GB2312" w:eastAsia="楷体_GB2312"/>
          <w:sz w:val="32"/>
          <w:szCs w:val="32"/>
        </w:rPr>
      </w:pPr>
      <w:bookmarkStart w:id="43" w:name="_Toc12899"/>
      <w:bookmarkStart w:id="44" w:name="_Toc19888"/>
      <w:bookmarkStart w:id="45" w:name="_Toc15874"/>
      <w:r>
        <w:rPr>
          <w:rFonts w:ascii="楷体_GB2312" w:eastAsia="楷体_GB2312" w:hint="eastAsia"/>
          <w:sz w:val="32"/>
          <w:szCs w:val="32"/>
        </w:rPr>
        <w:t>（五）部门</w:t>
      </w:r>
      <w:r>
        <w:rPr>
          <w:rFonts w:ascii="楷体_GB2312" w:eastAsia="楷体_GB2312"/>
          <w:sz w:val="32"/>
          <w:szCs w:val="32"/>
        </w:rPr>
        <w:t>预决算差异率</w:t>
      </w:r>
      <w:bookmarkEnd w:id="43"/>
      <w:bookmarkEnd w:id="44"/>
      <w:bookmarkEnd w:id="45"/>
    </w:p>
    <w:p w:rsidR="004A0DD9" w:rsidRDefault="004A0DD9" w:rsidP="004A0DD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2021年二分院预决算差异率为</w:t>
      </w:r>
      <w:r w:rsidR="00C27638">
        <w:rPr>
          <w:rFonts w:ascii="仿宋_GB2312" w:eastAsia="仿宋_GB2312" w:hAnsi="宋体" w:cs="宋体" w:hint="eastAsia"/>
          <w:color w:val="000000"/>
          <w:kern w:val="0"/>
          <w:sz w:val="32"/>
          <w:szCs w:val="32"/>
        </w:rPr>
        <w:t>2.27</w:t>
      </w:r>
      <w:r>
        <w:rPr>
          <w:rFonts w:ascii="仿宋_GB2312" w:eastAsia="仿宋_GB2312" w:hAnsi="宋体" w:cs="宋体" w:hint="eastAsia"/>
          <w:color w:val="000000"/>
          <w:kern w:val="0"/>
          <w:sz w:val="32"/>
          <w:szCs w:val="32"/>
        </w:rPr>
        <w:t>%。</w:t>
      </w:r>
    </w:p>
    <w:p w:rsidR="004A0DD9" w:rsidRDefault="004A0DD9" w:rsidP="004A0DD9">
      <w:pPr>
        <w:spacing w:line="600" w:lineRule="exact"/>
        <w:ind w:leftChars="50" w:left="105" w:firstLineChars="150" w:firstLine="480"/>
        <w:outlineLvl w:val="0"/>
        <w:rPr>
          <w:rFonts w:ascii="黑体" w:eastAsia="黑体" w:hAnsi="黑体"/>
          <w:sz w:val="32"/>
          <w:szCs w:val="32"/>
        </w:rPr>
      </w:pPr>
      <w:bookmarkStart w:id="46" w:name="_Toc25757"/>
      <w:bookmarkStart w:id="47" w:name="_Toc7165"/>
      <w:bookmarkStart w:id="48" w:name="_Toc13471"/>
      <w:r>
        <w:rPr>
          <w:rFonts w:ascii="黑体" w:eastAsia="黑体" w:hAnsi="黑体" w:hint="eastAsia"/>
          <w:sz w:val="32"/>
          <w:szCs w:val="32"/>
        </w:rPr>
        <w:t>五、总体</w:t>
      </w:r>
      <w:r>
        <w:rPr>
          <w:rFonts w:ascii="黑体" w:eastAsia="黑体" w:hAnsi="黑体"/>
          <w:sz w:val="32"/>
          <w:szCs w:val="32"/>
        </w:rPr>
        <w:t>评价结论</w:t>
      </w:r>
      <w:bookmarkEnd w:id="46"/>
      <w:bookmarkEnd w:id="47"/>
      <w:bookmarkEnd w:id="48"/>
    </w:p>
    <w:p w:rsidR="004A0DD9" w:rsidRDefault="004A0DD9" w:rsidP="004A0DD9">
      <w:pPr>
        <w:spacing w:line="600" w:lineRule="exact"/>
        <w:ind w:leftChars="50" w:left="105" w:firstLineChars="150" w:firstLine="480"/>
        <w:outlineLvl w:val="1"/>
        <w:rPr>
          <w:rFonts w:ascii="楷体_GB2312" w:eastAsia="楷体_GB2312"/>
          <w:sz w:val="32"/>
          <w:szCs w:val="32"/>
        </w:rPr>
      </w:pPr>
      <w:bookmarkStart w:id="49" w:name="_Toc21074"/>
      <w:bookmarkStart w:id="50" w:name="_Toc84"/>
      <w:bookmarkStart w:id="51" w:name="_Toc10302"/>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bookmarkEnd w:id="49"/>
      <w:bookmarkEnd w:id="50"/>
      <w:bookmarkEnd w:id="51"/>
    </w:p>
    <w:p w:rsidR="004A0DD9" w:rsidRDefault="004A0DD9" w:rsidP="004A0DD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2021年二分院开展本年度绩效评价项目6个，占部门项</w:t>
      </w:r>
      <w:r>
        <w:rPr>
          <w:rFonts w:ascii="仿宋_GB2312" w:eastAsia="仿宋_GB2312" w:hAnsi="宋体" w:cs="宋体" w:hint="eastAsia"/>
          <w:color w:val="000000"/>
          <w:kern w:val="0"/>
          <w:sz w:val="32"/>
          <w:szCs w:val="32"/>
        </w:rPr>
        <w:lastRenderedPageBreak/>
        <w:t>目总数100%，涉及金额697.42万元。其中部门评价项目1个，涉及金额196.03万元，单位自评项目5个，涉及金额501.39万元。评价得分在90（含）—100分的项目5个，评价得分在80（含）—90分的项目1个。</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4A0"/>
      </w:tblPr>
      <w:tblGrid>
        <w:gridCol w:w="2913"/>
        <w:gridCol w:w="1730"/>
        <w:gridCol w:w="1937"/>
        <w:gridCol w:w="1939"/>
      </w:tblGrid>
      <w:tr w:rsidR="004A0DD9" w:rsidTr="00CF7AC0">
        <w:trPr>
          <w:trHeight w:val="450"/>
        </w:trPr>
        <w:tc>
          <w:tcPr>
            <w:tcW w:w="1709" w:type="pct"/>
            <w:shd w:val="clear" w:color="000000" w:fill="auto"/>
            <w:noWrap/>
            <w:vAlign w:val="center"/>
          </w:tcPr>
          <w:p w:rsidR="004A0DD9" w:rsidRDefault="004A0DD9" w:rsidP="00CF7AC0">
            <w:pPr>
              <w:widowControl/>
              <w:spacing w:line="560" w:lineRule="exact"/>
              <w:jc w:val="center"/>
              <w:rPr>
                <w:rFonts w:ascii="仿宋_GB2312" w:hAnsi="仿宋_GB2312" w:cs="仿宋_GB2312"/>
                <w:b/>
                <w:bCs/>
                <w:kern w:val="0"/>
                <w:szCs w:val="21"/>
              </w:rPr>
            </w:pPr>
            <w:r>
              <w:rPr>
                <w:rFonts w:ascii="仿宋_GB2312" w:hAnsi="仿宋_GB2312" w:cs="仿宋_GB2312" w:hint="eastAsia"/>
                <w:b/>
                <w:bCs/>
                <w:kern w:val="0"/>
                <w:szCs w:val="21"/>
              </w:rPr>
              <w:t>评价项目名称</w:t>
            </w:r>
          </w:p>
        </w:tc>
        <w:tc>
          <w:tcPr>
            <w:tcW w:w="1015" w:type="pct"/>
            <w:shd w:val="clear" w:color="000000" w:fill="auto"/>
            <w:noWrap/>
            <w:vAlign w:val="center"/>
          </w:tcPr>
          <w:p w:rsidR="004A0DD9" w:rsidRDefault="004A0DD9" w:rsidP="00CF7AC0">
            <w:pPr>
              <w:widowControl/>
              <w:spacing w:line="560" w:lineRule="exact"/>
              <w:jc w:val="center"/>
              <w:rPr>
                <w:rFonts w:ascii="仿宋_GB2312" w:hAnsi="仿宋_GB2312" w:cs="仿宋_GB2312"/>
                <w:b/>
                <w:bCs/>
                <w:kern w:val="0"/>
                <w:szCs w:val="21"/>
              </w:rPr>
            </w:pPr>
            <w:r>
              <w:rPr>
                <w:rFonts w:ascii="仿宋_GB2312" w:hAnsi="仿宋_GB2312" w:cs="仿宋_GB2312" w:hint="eastAsia"/>
                <w:b/>
                <w:bCs/>
                <w:kern w:val="0"/>
                <w:szCs w:val="21"/>
              </w:rPr>
              <w:t>分值</w:t>
            </w:r>
          </w:p>
        </w:tc>
        <w:tc>
          <w:tcPr>
            <w:tcW w:w="1137" w:type="pct"/>
            <w:shd w:val="clear" w:color="000000" w:fill="auto"/>
            <w:noWrap/>
            <w:vAlign w:val="center"/>
          </w:tcPr>
          <w:p w:rsidR="004A0DD9" w:rsidRDefault="004A0DD9" w:rsidP="00CF7AC0">
            <w:pPr>
              <w:widowControl/>
              <w:spacing w:line="560" w:lineRule="exact"/>
              <w:jc w:val="center"/>
              <w:rPr>
                <w:rFonts w:ascii="仿宋_GB2312" w:hAnsi="仿宋_GB2312" w:cs="仿宋_GB2312"/>
                <w:b/>
                <w:bCs/>
                <w:kern w:val="0"/>
                <w:szCs w:val="21"/>
              </w:rPr>
            </w:pPr>
            <w:r>
              <w:rPr>
                <w:rFonts w:ascii="仿宋_GB2312" w:hAnsi="仿宋_GB2312" w:cs="仿宋_GB2312" w:hint="eastAsia"/>
                <w:b/>
                <w:bCs/>
                <w:kern w:val="0"/>
                <w:szCs w:val="21"/>
              </w:rPr>
              <w:t>绩效评定级别</w:t>
            </w:r>
          </w:p>
        </w:tc>
        <w:tc>
          <w:tcPr>
            <w:tcW w:w="1138" w:type="pct"/>
            <w:shd w:val="clear" w:color="000000" w:fill="auto"/>
            <w:noWrap/>
            <w:vAlign w:val="center"/>
          </w:tcPr>
          <w:p w:rsidR="004A0DD9" w:rsidRDefault="004A0DD9" w:rsidP="00CF7AC0">
            <w:pPr>
              <w:widowControl/>
              <w:spacing w:line="560" w:lineRule="exact"/>
              <w:jc w:val="center"/>
              <w:rPr>
                <w:rFonts w:ascii="仿宋_GB2312" w:hAnsi="仿宋_GB2312" w:cs="仿宋_GB2312"/>
                <w:b/>
                <w:bCs/>
                <w:kern w:val="0"/>
                <w:szCs w:val="21"/>
              </w:rPr>
            </w:pPr>
            <w:r>
              <w:rPr>
                <w:rFonts w:ascii="仿宋_GB2312" w:hAnsi="仿宋_GB2312" w:cs="仿宋_GB2312" w:hint="eastAsia"/>
                <w:b/>
                <w:bCs/>
                <w:kern w:val="0"/>
                <w:szCs w:val="21"/>
              </w:rPr>
              <w:t>预算资金（万元）</w:t>
            </w:r>
          </w:p>
        </w:tc>
      </w:tr>
      <w:tr w:rsidR="004A0DD9" w:rsidTr="00CF7AC0">
        <w:trPr>
          <w:trHeight w:val="400"/>
        </w:trPr>
        <w:tc>
          <w:tcPr>
            <w:tcW w:w="1709"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2021</w:t>
            </w:r>
            <w:r>
              <w:rPr>
                <w:rFonts w:ascii="仿宋_GB2312" w:hAnsi="仿宋_GB2312" w:cs="仿宋_GB2312" w:hint="eastAsia"/>
                <w:kern w:val="0"/>
                <w:szCs w:val="21"/>
              </w:rPr>
              <w:t>年信息化运维项目</w:t>
            </w:r>
          </w:p>
        </w:tc>
        <w:tc>
          <w:tcPr>
            <w:tcW w:w="1015"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95</w:t>
            </w:r>
          </w:p>
        </w:tc>
        <w:tc>
          <w:tcPr>
            <w:tcW w:w="1137" w:type="pct"/>
            <w:shd w:val="clear" w:color="000000" w:fill="auto"/>
            <w:noWrap/>
            <w:vAlign w:val="center"/>
          </w:tcPr>
          <w:p w:rsidR="004A0DD9" w:rsidRDefault="004A0DD9" w:rsidP="00CF7AC0">
            <w:pPr>
              <w:widowControl/>
              <w:spacing w:line="560" w:lineRule="exact"/>
              <w:jc w:val="center"/>
              <w:rPr>
                <w:rFonts w:ascii="仿宋_GB2312" w:eastAsia="仿宋_GB2312" w:hAnsi="仿宋_GB2312" w:cs="仿宋_GB2312"/>
                <w:kern w:val="0"/>
                <w:szCs w:val="21"/>
              </w:rPr>
            </w:pPr>
            <w:r>
              <w:rPr>
                <w:rFonts w:ascii="仿宋_GB2312" w:hAnsi="仿宋_GB2312" w:cs="仿宋_GB2312" w:hint="eastAsia"/>
                <w:kern w:val="0"/>
                <w:szCs w:val="21"/>
              </w:rPr>
              <w:t>优</w:t>
            </w:r>
          </w:p>
        </w:tc>
        <w:tc>
          <w:tcPr>
            <w:tcW w:w="1138"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 xml:space="preserve">108.54 </w:t>
            </w:r>
          </w:p>
        </w:tc>
      </w:tr>
      <w:tr w:rsidR="004A0DD9" w:rsidTr="00CF7AC0">
        <w:trPr>
          <w:trHeight w:val="23"/>
        </w:trPr>
        <w:tc>
          <w:tcPr>
            <w:tcW w:w="1709"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2021</w:t>
            </w:r>
            <w:r>
              <w:rPr>
                <w:rFonts w:ascii="仿宋_GB2312" w:hAnsi="仿宋_GB2312" w:cs="仿宋_GB2312" w:hint="eastAsia"/>
                <w:kern w:val="0"/>
                <w:szCs w:val="21"/>
              </w:rPr>
              <w:t>年办案业务费</w:t>
            </w:r>
          </w:p>
        </w:tc>
        <w:tc>
          <w:tcPr>
            <w:tcW w:w="1015"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93.45</w:t>
            </w:r>
          </w:p>
        </w:tc>
        <w:tc>
          <w:tcPr>
            <w:tcW w:w="1137" w:type="pct"/>
            <w:shd w:val="clear" w:color="000000" w:fill="auto"/>
            <w:noWrap/>
            <w:vAlign w:val="center"/>
          </w:tcPr>
          <w:p w:rsidR="004A0DD9" w:rsidRDefault="004A0DD9" w:rsidP="00CF7AC0">
            <w:pPr>
              <w:widowControl/>
              <w:spacing w:line="560" w:lineRule="exact"/>
              <w:jc w:val="center"/>
              <w:rPr>
                <w:rFonts w:ascii="仿宋_GB2312" w:eastAsia="仿宋_GB2312" w:hAnsi="仿宋_GB2312" w:cs="仿宋_GB2312"/>
                <w:kern w:val="0"/>
                <w:szCs w:val="21"/>
              </w:rPr>
            </w:pPr>
            <w:r>
              <w:rPr>
                <w:rFonts w:ascii="仿宋_GB2312" w:hAnsi="仿宋_GB2312" w:cs="仿宋_GB2312" w:hint="eastAsia"/>
                <w:kern w:val="0"/>
                <w:szCs w:val="21"/>
              </w:rPr>
              <w:t>优</w:t>
            </w:r>
          </w:p>
        </w:tc>
        <w:tc>
          <w:tcPr>
            <w:tcW w:w="1138"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 xml:space="preserve">381.10 </w:t>
            </w:r>
          </w:p>
        </w:tc>
      </w:tr>
      <w:tr w:rsidR="004A0DD9" w:rsidTr="00CF7AC0">
        <w:trPr>
          <w:trHeight w:val="23"/>
        </w:trPr>
        <w:tc>
          <w:tcPr>
            <w:tcW w:w="1709"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2021</w:t>
            </w:r>
            <w:r>
              <w:rPr>
                <w:rFonts w:ascii="仿宋_GB2312" w:hAnsi="仿宋_GB2312" w:cs="仿宋_GB2312" w:hint="eastAsia"/>
                <w:kern w:val="0"/>
                <w:szCs w:val="21"/>
              </w:rPr>
              <w:t>年互联网接入费</w:t>
            </w:r>
          </w:p>
        </w:tc>
        <w:tc>
          <w:tcPr>
            <w:tcW w:w="1015"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92</w:t>
            </w:r>
          </w:p>
        </w:tc>
        <w:tc>
          <w:tcPr>
            <w:tcW w:w="1137"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优</w:t>
            </w:r>
          </w:p>
        </w:tc>
        <w:tc>
          <w:tcPr>
            <w:tcW w:w="1138" w:type="pct"/>
            <w:shd w:val="clear" w:color="000000" w:fill="auto"/>
            <w:noWrap/>
            <w:vAlign w:val="center"/>
          </w:tcPr>
          <w:p w:rsidR="004A0DD9" w:rsidRDefault="004A0DD9" w:rsidP="00CF7AC0">
            <w:pPr>
              <w:widowControl/>
              <w:jc w:val="center"/>
              <w:textAlignment w:val="center"/>
              <w:rPr>
                <w:rFonts w:ascii="宋体" w:hAnsi="宋体" w:cs="宋体"/>
                <w:color w:val="000000"/>
                <w:sz w:val="20"/>
                <w:szCs w:val="20"/>
              </w:rPr>
            </w:pPr>
            <w:r>
              <w:rPr>
                <w:rFonts w:ascii="仿宋_GB2312" w:hAnsi="仿宋_GB2312" w:cs="仿宋_GB2312" w:hint="eastAsia"/>
                <w:kern w:val="0"/>
                <w:szCs w:val="21"/>
              </w:rPr>
              <w:t xml:space="preserve">2.916 </w:t>
            </w:r>
          </w:p>
        </w:tc>
      </w:tr>
      <w:tr w:rsidR="004A0DD9" w:rsidTr="00CF7AC0">
        <w:trPr>
          <w:trHeight w:val="23"/>
        </w:trPr>
        <w:tc>
          <w:tcPr>
            <w:tcW w:w="1709"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2021</w:t>
            </w:r>
            <w:r>
              <w:rPr>
                <w:rFonts w:ascii="仿宋_GB2312" w:hAnsi="仿宋_GB2312" w:cs="仿宋_GB2312" w:hint="eastAsia"/>
                <w:kern w:val="0"/>
                <w:szCs w:val="21"/>
              </w:rPr>
              <w:t>年安保安检</w:t>
            </w:r>
          </w:p>
        </w:tc>
        <w:tc>
          <w:tcPr>
            <w:tcW w:w="1015"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91.99</w:t>
            </w:r>
          </w:p>
        </w:tc>
        <w:tc>
          <w:tcPr>
            <w:tcW w:w="1137"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优</w:t>
            </w:r>
          </w:p>
        </w:tc>
        <w:tc>
          <w:tcPr>
            <w:tcW w:w="1138"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196.08</w:t>
            </w:r>
          </w:p>
        </w:tc>
      </w:tr>
      <w:tr w:rsidR="004A0DD9" w:rsidTr="00CF7AC0">
        <w:trPr>
          <w:trHeight w:val="23"/>
        </w:trPr>
        <w:tc>
          <w:tcPr>
            <w:tcW w:w="1709"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2021</w:t>
            </w:r>
            <w:r>
              <w:rPr>
                <w:rFonts w:ascii="仿宋_GB2312" w:hAnsi="仿宋_GB2312" w:cs="仿宋_GB2312" w:hint="eastAsia"/>
                <w:kern w:val="0"/>
                <w:szCs w:val="21"/>
              </w:rPr>
              <w:t>年检察业务工作经费</w:t>
            </w:r>
          </w:p>
        </w:tc>
        <w:tc>
          <w:tcPr>
            <w:tcW w:w="1015"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95</w:t>
            </w:r>
          </w:p>
        </w:tc>
        <w:tc>
          <w:tcPr>
            <w:tcW w:w="1137"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优</w:t>
            </w:r>
          </w:p>
        </w:tc>
        <w:tc>
          <w:tcPr>
            <w:tcW w:w="1138"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60</w:t>
            </w:r>
          </w:p>
        </w:tc>
      </w:tr>
      <w:tr w:rsidR="004A0DD9" w:rsidTr="00CF7AC0">
        <w:trPr>
          <w:trHeight w:val="23"/>
        </w:trPr>
        <w:tc>
          <w:tcPr>
            <w:tcW w:w="1709"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2021</w:t>
            </w:r>
            <w:r>
              <w:rPr>
                <w:rFonts w:ascii="仿宋_GB2312" w:hAnsi="仿宋_GB2312" w:cs="仿宋_GB2312" w:hint="eastAsia"/>
                <w:kern w:val="0"/>
                <w:szCs w:val="21"/>
              </w:rPr>
              <w:t>年绩效评审咨询服务费</w:t>
            </w:r>
          </w:p>
        </w:tc>
        <w:tc>
          <w:tcPr>
            <w:tcW w:w="1015"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 xml:space="preserve"> 85.33 </w:t>
            </w:r>
          </w:p>
        </w:tc>
        <w:tc>
          <w:tcPr>
            <w:tcW w:w="1137"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良</w:t>
            </w:r>
          </w:p>
        </w:tc>
        <w:tc>
          <w:tcPr>
            <w:tcW w:w="1138"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15</w:t>
            </w:r>
          </w:p>
        </w:tc>
      </w:tr>
      <w:tr w:rsidR="004A0DD9" w:rsidTr="00CF7AC0">
        <w:trPr>
          <w:trHeight w:val="23"/>
        </w:trPr>
        <w:tc>
          <w:tcPr>
            <w:tcW w:w="2724" w:type="pct"/>
            <w:gridSpan w:val="2"/>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合计</w:t>
            </w:r>
          </w:p>
        </w:tc>
        <w:tc>
          <w:tcPr>
            <w:tcW w:w="1137"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p>
        </w:tc>
        <w:tc>
          <w:tcPr>
            <w:tcW w:w="1138" w:type="pct"/>
            <w:shd w:val="clear" w:color="000000" w:fill="auto"/>
            <w:noWrap/>
            <w:vAlign w:val="center"/>
          </w:tcPr>
          <w:p w:rsidR="004A0DD9" w:rsidRDefault="004A0DD9" w:rsidP="00CF7AC0">
            <w:pPr>
              <w:widowControl/>
              <w:spacing w:line="560" w:lineRule="exact"/>
              <w:jc w:val="center"/>
              <w:rPr>
                <w:rFonts w:ascii="仿宋_GB2312" w:hAnsi="仿宋_GB2312" w:cs="仿宋_GB2312"/>
                <w:kern w:val="0"/>
                <w:szCs w:val="21"/>
              </w:rPr>
            </w:pPr>
            <w:r>
              <w:rPr>
                <w:rFonts w:ascii="仿宋_GB2312" w:hAnsi="仿宋_GB2312" w:cs="仿宋_GB2312" w:hint="eastAsia"/>
                <w:kern w:val="0"/>
                <w:szCs w:val="21"/>
              </w:rPr>
              <w:t>763.64</w:t>
            </w:r>
          </w:p>
        </w:tc>
      </w:tr>
    </w:tbl>
    <w:p w:rsidR="004A0DD9" w:rsidRDefault="004A0DD9" w:rsidP="004A0DD9">
      <w:pPr>
        <w:numPr>
          <w:ilvl w:val="0"/>
          <w:numId w:val="2"/>
        </w:numPr>
        <w:spacing w:line="600" w:lineRule="exact"/>
        <w:ind w:leftChars="50" w:left="105" w:firstLineChars="150" w:firstLine="480"/>
        <w:outlineLvl w:val="1"/>
        <w:rPr>
          <w:rFonts w:ascii="楷体_GB2312" w:eastAsia="楷体_GB2312"/>
          <w:sz w:val="32"/>
          <w:szCs w:val="32"/>
        </w:rPr>
      </w:pPr>
      <w:bookmarkStart w:id="52" w:name="_Toc32289"/>
      <w:bookmarkStart w:id="53" w:name="_Toc31881"/>
      <w:bookmarkStart w:id="54" w:name="_Toc9265"/>
      <w:r>
        <w:rPr>
          <w:rFonts w:ascii="楷体_GB2312" w:eastAsia="楷体_GB2312" w:hint="eastAsia"/>
          <w:sz w:val="32"/>
          <w:szCs w:val="32"/>
        </w:rPr>
        <w:t>存在的问题及原因分析</w:t>
      </w:r>
      <w:bookmarkEnd w:id="52"/>
      <w:bookmarkEnd w:id="53"/>
      <w:bookmarkEnd w:id="54"/>
    </w:p>
    <w:p w:rsidR="004A0DD9" w:rsidRDefault="004A0DD9" w:rsidP="004A0DD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自评认为：本单位2021年度预算项目的实施总体良好，但还存在：</w:t>
      </w:r>
    </w:p>
    <w:p w:rsidR="004A0DD9" w:rsidRDefault="004A0DD9" w:rsidP="004A0DD9">
      <w:pPr>
        <w:spacing w:line="600" w:lineRule="exact"/>
        <w:ind w:leftChars="50" w:left="105" w:firstLineChars="150" w:firstLine="480"/>
        <w:outlineLvl w:val="1"/>
        <w:rPr>
          <w:rFonts w:ascii="仿宋_GB2312" w:eastAsia="仿宋_GB2312" w:hAnsi="宋体" w:cs="宋体"/>
          <w:color w:val="000000"/>
          <w:kern w:val="0"/>
          <w:sz w:val="32"/>
          <w:szCs w:val="32"/>
        </w:rPr>
      </w:pPr>
      <w:bookmarkStart w:id="55" w:name="_Toc9503"/>
      <w:r>
        <w:rPr>
          <w:rFonts w:ascii="仿宋_GB2312" w:eastAsia="仿宋_GB2312" w:hAnsi="宋体" w:cs="宋体" w:hint="eastAsia"/>
          <w:color w:val="000000"/>
          <w:kern w:val="0"/>
          <w:sz w:val="32"/>
          <w:szCs w:val="32"/>
        </w:rPr>
        <w:t>1.绩效目标设置不够合理。个别项目产出数量指标与项目内容对应性不强，不能全面反映项目内容，效益指标缺少细化量化指标，可衡量性不强，不利于后期考核评价。</w:t>
      </w:r>
      <w:bookmarkEnd w:id="55"/>
      <w:r w:rsidR="003B0A48">
        <w:rPr>
          <w:rFonts w:ascii="仿宋_GB2312" w:eastAsia="仿宋_GB2312" w:hAnsi="宋体" w:cs="宋体" w:hint="eastAsia"/>
          <w:color w:val="000000"/>
          <w:kern w:val="0"/>
          <w:sz w:val="32"/>
          <w:szCs w:val="32"/>
        </w:rPr>
        <w:t>主要原因是对绩效目标的理解过于笼统，</w:t>
      </w:r>
      <w:r w:rsidR="00101943">
        <w:rPr>
          <w:rFonts w:ascii="仿宋_GB2312" w:eastAsia="仿宋_GB2312" w:hAnsi="宋体" w:cs="宋体" w:hint="eastAsia"/>
          <w:color w:val="000000"/>
          <w:kern w:val="0"/>
          <w:sz w:val="32"/>
          <w:szCs w:val="32"/>
        </w:rPr>
        <w:t>在设置绩效指标是未</w:t>
      </w:r>
      <w:r w:rsidR="00C26392">
        <w:rPr>
          <w:rFonts w:ascii="仿宋_GB2312" w:eastAsia="仿宋_GB2312" w:hAnsi="宋体" w:cs="宋体" w:hint="eastAsia"/>
          <w:color w:val="000000"/>
          <w:kern w:val="0"/>
          <w:sz w:val="32"/>
          <w:szCs w:val="32"/>
        </w:rPr>
        <w:t>进一步</w:t>
      </w:r>
      <w:r w:rsidR="00101943">
        <w:rPr>
          <w:rFonts w:ascii="仿宋_GB2312" w:eastAsia="仿宋_GB2312" w:hAnsi="宋体" w:cs="宋体" w:hint="eastAsia"/>
          <w:color w:val="000000"/>
          <w:kern w:val="0"/>
          <w:sz w:val="32"/>
          <w:szCs w:val="32"/>
        </w:rPr>
        <w:t>细化。</w:t>
      </w:r>
    </w:p>
    <w:p w:rsidR="004A0DD9" w:rsidRDefault="004A0DD9" w:rsidP="004A0DD9">
      <w:pPr>
        <w:spacing w:line="600" w:lineRule="exact"/>
        <w:ind w:leftChars="50" w:left="105" w:firstLineChars="150" w:firstLine="480"/>
        <w:outlineLvl w:val="1"/>
        <w:rPr>
          <w:rFonts w:ascii="仿宋_GB2312" w:eastAsia="仿宋_GB2312" w:hAnsi="宋体" w:cs="宋体"/>
          <w:color w:val="000000"/>
          <w:kern w:val="0"/>
          <w:sz w:val="32"/>
          <w:szCs w:val="32"/>
        </w:rPr>
      </w:pPr>
      <w:bookmarkStart w:id="56" w:name="_Toc6245"/>
      <w:r>
        <w:rPr>
          <w:rFonts w:ascii="仿宋_GB2312" w:eastAsia="仿宋_GB2312" w:hAnsi="宋体" w:cs="宋体" w:hint="eastAsia"/>
          <w:color w:val="000000"/>
          <w:kern w:val="0"/>
          <w:sz w:val="32"/>
          <w:szCs w:val="32"/>
        </w:rPr>
        <w:t>2.</w:t>
      </w:r>
      <w:r w:rsidR="00101943">
        <w:rPr>
          <w:rFonts w:ascii="仿宋_GB2312" w:eastAsia="仿宋_GB2312" w:hAnsi="宋体" w:cs="宋体" w:hint="eastAsia"/>
          <w:color w:val="000000"/>
          <w:kern w:val="0"/>
          <w:sz w:val="32"/>
          <w:szCs w:val="32"/>
        </w:rPr>
        <w:t>个别项目预算编制不够精确，预决算存在一定误差。</w:t>
      </w:r>
      <w:r w:rsidR="0092340E">
        <w:rPr>
          <w:rFonts w:ascii="仿宋_GB2312" w:eastAsia="仿宋_GB2312" w:hAnsi="宋体" w:cs="宋体" w:hint="eastAsia"/>
          <w:color w:val="000000"/>
          <w:kern w:val="0"/>
          <w:sz w:val="32"/>
          <w:szCs w:val="32"/>
        </w:rPr>
        <w:t>主要原因是</w:t>
      </w:r>
      <w:r>
        <w:rPr>
          <w:rFonts w:ascii="仿宋_GB2312" w:eastAsia="仿宋_GB2312" w:hAnsi="宋体" w:cs="宋体" w:hint="eastAsia"/>
          <w:color w:val="000000"/>
          <w:kern w:val="0"/>
          <w:sz w:val="32"/>
          <w:szCs w:val="32"/>
        </w:rPr>
        <w:t>年初预算编制时未充分结合项目安排情况及项目资金的支出计划。</w:t>
      </w:r>
      <w:bookmarkEnd w:id="56"/>
    </w:p>
    <w:p w:rsidR="004A0DD9" w:rsidRDefault="004A0DD9" w:rsidP="004A0DD9">
      <w:pPr>
        <w:numPr>
          <w:ilvl w:val="255"/>
          <w:numId w:val="0"/>
        </w:numPr>
        <w:spacing w:line="600" w:lineRule="exact"/>
        <w:ind w:firstLineChars="200" w:firstLine="640"/>
        <w:rPr>
          <w:rFonts w:ascii="黑体" w:eastAsia="黑体" w:hAnsi="黑体" w:cs="宋体"/>
          <w:color w:val="000000"/>
          <w:kern w:val="0"/>
          <w:sz w:val="32"/>
          <w:szCs w:val="32"/>
        </w:rPr>
      </w:pPr>
      <w:bookmarkStart w:id="57" w:name="_Toc28243"/>
      <w:r>
        <w:rPr>
          <w:rFonts w:ascii="黑体" w:eastAsia="黑体" w:hAnsi="黑体" w:cs="宋体" w:hint="eastAsia"/>
          <w:color w:val="000000"/>
          <w:kern w:val="0"/>
          <w:sz w:val="32"/>
          <w:szCs w:val="32"/>
        </w:rPr>
        <w:lastRenderedPageBreak/>
        <w:t>六、措施建议</w:t>
      </w:r>
      <w:bookmarkEnd w:id="57"/>
    </w:p>
    <w:p w:rsidR="004A0DD9" w:rsidRDefault="004A0DD9" w:rsidP="004A0DD9">
      <w:pPr>
        <w:spacing w:line="600" w:lineRule="exact"/>
        <w:ind w:leftChars="50" w:left="105" w:firstLineChars="150" w:firstLine="480"/>
        <w:jc w:val="left"/>
        <w:outlineLvl w:val="1"/>
        <w:rPr>
          <w:rFonts w:ascii="仿宋_GB2312" w:eastAsia="仿宋_GB2312" w:hAnsi="宋体" w:cs="宋体"/>
          <w:color w:val="000000"/>
          <w:kern w:val="0"/>
          <w:sz w:val="32"/>
          <w:szCs w:val="32"/>
        </w:rPr>
      </w:pPr>
      <w:bookmarkStart w:id="58" w:name="_Toc3923"/>
      <w:r>
        <w:rPr>
          <w:rFonts w:ascii="仿宋_GB2312" w:eastAsia="仿宋_GB2312" w:hAnsi="宋体" w:cs="宋体" w:hint="eastAsia"/>
          <w:color w:val="000000"/>
          <w:kern w:val="0"/>
          <w:sz w:val="32"/>
          <w:szCs w:val="32"/>
        </w:rPr>
        <w:t>（一）结合项目内容，合理设置绩效目标与指标。加强对绩效指标体系理解。注意绩效目标与项目目标、项目内容的对应关系，合理设置项目绩效目标和各项产出指标，以定量和定性相结合的方式设置绩效指标，做到绩效目标明确，绩效指标细化、量化、可衡量。</w:t>
      </w:r>
      <w:bookmarkEnd w:id="58"/>
    </w:p>
    <w:p w:rsidR="004A0DD9" w:rsidRDefault="004A0DD9" w:rsidP="004A0DD9">
      <w:pPr>
        <w:spacing w:line="600" w:lineRule="exact"/>
        <w:ind w:leftChars="50" w:left="105" w:firstLineChars="150" w:firstLine="480"/>
        <w:outlineLvl w:val="1"/>
      </w:pPr>
      <w:bookmarkStart w:id="59" w:name="_Toc24442"/>
      <w:r>
        <w:rPr>
          <w:rFonts w:ascii="仿宋_GB2312" w:eastAsia="仿宋_GB2312" w:hAnsi="宋体" w:cs="宋体" w:hint="eastAsia"/>
          <w:color w:val="000000"/>
          <w:kern w:val="0"/>
          <w:sz w:val="32"/>
          <w:szCs w:val="32"/>
        </w:rPr>
        <w:t>（二）根据项目实际情况科学编制项目预算，依据二分院的实际需求合理界定拟实施项目的工作量，明确预算测算过程及测算依据，提升项目预算资金申请的合理性。</w:t>
      </w:r>
      <w:bookmarkEnd w:id="59"/>
    </w:p>
    <w:p w:rsidR="004A0DD9" w:rsidRDefault="004A0DD9" w:rsidP="004A0DD9">
      <w:pPr>
        <w:pStyle w:val="2"/>
        <w:ind w:firstLine="640"/>
      </w:pPr>
    </w:p>
    <w:p w:rsidR="00306AFB" w:rsidRPr="004A0DD9" w:rsidRDefault="00306AFB"/>
    <w:sectPr w:rsidR="00306AFB" w:rsidRPr="004A0DD9" w:rsidSect="00FD380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ECE" w:rsidRDefault="00593ECE" w:rsidP="004A0DD9">
      <w:r>
        <w:separator/>
      </w:r>
    </w:p>
  </w:endnote>
  <w:endnote w:type="continuationSeparator" w:id="1">
    <w:p w:rsidR="00593ECE" w:rsidRDefault="00593ECE" w:rsidP="004A0D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auto"/>
    <w:pitch w:val="default"/>
    <w:sig w:usb0="00000000"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03818"/>
      <w:docPartObj>
        <w:docPartGallery w:val="Page Numbers (Bottom of Page)"/>
        <w:docPartUnique/>
      </w:docPartObj>
    </w:sdtPr>
    <w:sdtContent>
      <w:p w:rsidR="006F5619" w:rsidRDefault="00155673">
        <w:pPr>
          <w:pStyle w:val="a4"/>
          <w:jc w:val="center"/>
        </w:pPr>
        <w:fldSimple w:instr=" PAGE   \* MERGEFORMAT ">
          <w:r w:rsidR="00C7260E" w:rsidRPr="00C7260E">
            <w:rPr>
              <w:noProof/>
              <w:lang w:val="zh-CN"/>
            </w:rPr>
            <w:t>6</w:t>
          </w:r>
        </w:fldSimple>
      </w:p>
    </w:sdtContent>
  </w:sdt>
  <w:p w:rsidR="006F5619" w:rsidRDefault="006F561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ECE" w:rsidRDefault="00593ECE" w:rsidP="004A0DD9">
      <w:r>
        <w:separator/>
      </w:r>
    </w:p>
  </w:footnote>
  <w:footnote w:type="continuationSeparator" w:id="1">
    <w:p w:rsidR="00593ECE" w:rsidRDefault="00593ECE" w:rsidP="004A0D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95759B"/>
    <w:multiLevelType w:val="singleLevel"/>
    <w:tmpl w:val="9795759B"/>
    <w:lvl w:ilvl="0">
      <w:start w:val="2"/>
      <w:numFmt w:val="chineseCounting"/>
      <w:suff w:val="nothing"/>
      <w:lvlText w:val="（%1）"/>
      <w:lvlJc w:val="left"/>
      <w:rPr>
        <w:rFonts w:hint="eastAsia"/>
      </w:rPr>
    </w:lvl>
  </w:abstractNum>
  <w:abstractNum w:abstractNumId="1">
    <w:nsid w:val="A65835EA"/>
    <w:multiLevelType w:val="singleLevel"/>
    <w:tmpl w:val="A65835EA"/>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0DD9"/>
    <w:rsid w:val="000C4EFF"/>
    <w:rsid w:val="00101943"/>
    <w:rsid w:val="001024B1"/>
    <w:rsid w:val="00155673"/>
    <w:rsid w:val="00190B9D"/>
    <w:rsid w:val="002C1048"/>
    <w:rsid w:val="002D7CF7"/>
    <w:rsid w:val="002E075B"/>
    <w:rsid w:val="00306AFB"/>
    <w:rsid w:val="003118E6"/>
    <w:rsid w:val="003B0A48"/>
    <w:rsid w:val="00433E50"/>
    <w:rsid w:val="00484035"/>
    <w:rsid w:val="004A0DD9"/>
    <w:rsid w:val="00593ECE"/>
    <w:rsid w:val="005B00FE"/>
    <w:rsid w:val="005D27D1"/>
    <w:rsid w:val="006B3164"/>
    <w:rsid w:val="006F5619"/>
    <w:rsid w:val="00753559"/>
    <w:rsid w:val="0092340E"/>
    <w:rsid w:val="009B1832"/>
    <w:rsid w:val="009D0986"/>
    <w:rsid w:val="00AC5BB5"/>
    <w:rsid w:val="00B14981"/>
    <w:rsid w:val="00C0555F"/>
    <w:rsid w:val="00C26392"/>
    <w:rsid w:val="00C27638"/>
    <w:rsid w:val="00C40FF3"/>
    <w:rsid w:val="00C65BD7"/>
    <w:rsid w:val="00C7260E"/>
    <w:rsid w:val="00CF4F1B"/>
    <w:rsid w:val="00D24371"/>
    <w:rsid w:val="00D824EF"/>
    <w:rsid w:val="00EA5095"/>
    <w:rsid w:val="00ED5F63"/>
    <w:rsid w:val="00F16804"/>
    <w:rsid w:val="00F33D59"/>
    <w:rsid w:val="00F862F3"/>
    <w:rsid w:val="00FB1F30"/>
    <w:rsid w:val="00FC5E16"/>
    <w:rsid w:val="00FC7F90"/>
    <w:rsid w:val="00FD38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4A0DD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0D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0DD9"/>
    <w:rPr>
      <w:sz w:val="18"/>
      <w:szCs w:val="18"/>
    </w:rPr>
  </w:style>
  <w:style w:type="paragraph" w:styleId="a4">
    <w:name w:val="footer"/>
    <w:basedOn w:val="a"/>
    <w:link w:val="Char0"/>
    <w:uiPriority w:val="99"/>
    <w:unhideWhenUsed/>
    <w:rsid w:val="004A0DD9"/>
    <w:pPr>
      <w:tabs>
        <w:tab w:val="center" w:pos="4153"/>
        <w:tab w:val="right" w:pos="8306"/>
      </w:tabs>
      <w:snapToGrid w:val="0"/>
      <w:jc w:val="left"/>
    </w:pPr>
    <w:rPr>
      <w:sz w:val="18"/>
      <w:szCs w:val="18"/>
    </w:rPr>
  </w:style>
  <w:style w:type="character" w:customStyle="1" w:styleId="Char0">
    <w:name w:val="页脚 Char"/>
    <w:basedOn w:val="a0"/>
    <w:link w:val="a4"/>
    <w:uiPriority w:val="99"/>
    <w:rsid w:val="004A0DD9"/>
    <w:rPr>
      <w:sz w:val="18"/>
      <w:szCs w:val="18"/>
    </w:rPr>
  </w:style>
  <w:style w:type="paragraph" w:styleId="a5">
    <w:name w:val="Body Text Indent"/>
    <w:basedOn w:val="a"/>
    <w:link w:val="Char1"/>
    <w:uiPriority w:val="99"/>
    <w:semiHidden/>
    <w:unhideWhenUsed/>
    <w:rsid w:val="004A0DD9"/>
    <w:pPr>
      <w:spacing w:after="120"/>
      <w:ind w:leftChars="200" w:left="420"/>
    </w:pPr>
  </w:style>
  <w:style w:type="character" w:customStyle="1" w:styleId="Char1">
    <w:name w:val="正文文本缩进 Char"/>
    <w:basedOn w:val="a0"/>
    <w:link w:val="a5"/>
    <w:uiPriority w:val="99"/>
    <w:semiHidden/>
    <w:rsid w:val="004A0DD9"/>
    <w:rPr>
      <w:rFonts w:ascii="Times New Roman" w:eastAsia="宋体" w:hAnsi="Times New Roman" w:cs="Times New Roman"/>
      <w:szCs w:val="24"/>
    </w:rPr>
  </w:style>
  <w:style w:type="paragraph" w:styleId="2">
    <w:name w:val="Body Text First Indent 2"/>
    <w:basedOn w:val="a5"/>
    <w:link w:val="2Char"/>
    <w:uiPriority w:val="99"/>
    <w:qFormat/>
    <w:rsid w:val="004A0DD9"/>
    <w:pPr>
      <w:spacing w:after="360"/>
      <w:ind w:leftChars="0" w:left="0" w:firstLineChars="200" w:firstLine="420"/>
    </w:pPr>
    <w:rPr>
      <w:rFonts w:eastAsia="仿宋_GB2312"/>
      <w:kern w:val="1"/>
      <w:sz w:val="32"/>
      <w:szCs w:val="20"/>
    </w:rPr>
  </w:style>
  <w:style w:type="character" w:customStyle="1" w:styleId="2Char">
    <w:name w:val="正文首行缩进 2 Char"/>
    <w:basedOn w:val="Char1"/>
    <w:link w:val="2"/>
    <w:uiPriority w:val="99"/>
    <w:rsid w:val="004A0DD9"/>
    <w:rPr>
      <w:rFonts w:eastAsia="仿宋_GB2312"/>
      <w:kern w:val="1"/>
      <w:sz w:val="32"/>
      <w:szCs w:val="20"/>
    </w:rPr>
  </w:style>
  <w:style w:type="paragraph" w:customStyle="1" w:styleId="1">
    <w:name w:val="无间隔1"/>
    <w:uiPriority w:val="1"/>
    <w:qFormat/>
    <w:rsid w:val="004A0DD9"/>
    <w:pPr>
      <w:widowControl w:val="0"/>
      <w:jc w:val="both"/>
    </w:pPr>
    <w:rPr>
      <w:rFonts w:ascii="Times New Roman" w:eastAsia="宋体" w:hAnsi="Times New Roman" w:cs="Times New Roman"/>
      <w:szCs w:val="20"/>
    </w:rPr>
  </w:style>
  <w:style w:type="paragraph" w:customStyle="1" w:styleId="20">
    <w:name w:val="列出段落2"/>
    <w:basedOn w:val="a"/>
    <w:uiPriority w:val="34"/>
    <w:qFormat/>
    <w:rsid w:val="004A0DD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11</Pages>
  <Words>761</Words>
  <Characters>4338</Characters>
  <Application>Microsoft Office Word</Application>
  <DocSecurity>0</DocSecurity>
  <Lines>36</Lines>
  <Paragraphs>10</Paragraphs>
  <ScaleCrop>false</ScaleCrop>
  <Company>Lenovo</Company>
  <LinksUpToDate>false</LinksUpToDate>
  <CharactersWithSpaces>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25</cp:revision>
  <dcterms:created xsi:type="dcterms:W3CDTF">2022-08-21T03:33:00Z</dcterms:created>
  <dcterms:modified xsi:type="dcterms:W3CDTF">2022-08-26T03:10:00Z</dcterms:modified>
</cp:coreProperties>
</file>