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center"/>
        <w:rPr>
          <w:rFonts w:hint="eastAsia" w:ascii="方正小标宋简体" w:hAnsi="方正小标宋简体" w:eastAsia="方正小标宋简体" w:cs="方正小标宋简体"/>
          <w:sz w:val="44"/>
          <w:szCs w:val="44"/>
        </w:rPr>
      </w:pPr>
      <w:bookmarkStart w:id="0" w:name="OLE_LINK4"/>
      <w:r>
        <w:rPr>
          <w:rFonts w:hint="eastAsia" w:ascii="方正小标宋简体" w:hAnsi="方正小标宋简体" w:eastAsia="方正小标宋简体" w:cs="方正小标宋简体"/>
          <w:sz w:val="44"/>
          <w:szCs w:val="44"/>
        </w:rPr>
        <w:t xml:space="preserve"> </w:t>
      </w:r>
      <w:bookmarkStart w:id="1" w:name="OLE_LINK3"/>
      <w:r>
        <w:rPr>
          <w:rFonts w:hint="eastAsia" w:ascii="方正小标宋简体" w:hAnsi="方正小标宋简体" w:eastAsia="方正小标宋简体" w:cs="方正小标宋简体"/>
          <w:sz w:val="44"/>
          <w:szCs w:val="44"/>
        </w:rPr>
        <w:t>2021年度部门整体绩效评价报告</w:t>
      </w:r>
      <w:bookmarkEnd w:id="1"/>
    </w:p>
    <w:bookmarkEnd w:id="0"/>
    <w:p>
      <w:pPr>
        <w:ind w:firstLine="560" w:firstLineChars="200"/>
        <w:rPr>
          <w:rFonts w:hint="eastAsia" w:ascii="黑体" w:eastAsia="黑体"/>
          <w:sz w:val="28"/>
          <w:szCs w:val="28"/>
          <w:highlight w:val="yellow"/>
        </w:rPr>
      </w:pPr>
    </w:p>
    <w:p>
      <w:pPr>
        <w:numPr>
          <w:ilvl w:val="0"/>
          <w:numId w:val="1"/>
        </w:numPr>
        <w:spacing w:line="580" w:lineRule="exact"/>
        <w:ind w:firstLine="560" w:firstLineChars="200"/>
        <w:rPr>
          <w:rFonts w:hint="eastAsia" w:ascii="黑体" w:eastAsia="黑体"/>
          <w:sz w:val="28"/>
          <w:szCs w:val="28"/>
        </w:rPr>
      </w:pPr>
      <w:r>
        <w:rPr>
          <w:rFonts w:hint="eastAsia" w:ascii="黑体" w:eastAsia="黑体"/>
          <w:sz w:val="28"/>
          <w:szCs w:val="28"/>
        </w:rPr>
        <w:t>部门概况</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1.机构设置及职责工作任务情况</w:t>
      </w:r>
    </w:p>
    <w:p>
      <w:pPr>
        <w:pStyle w:val="2"/>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北京市人民政府研究室</w:t>
      </w:r>
      <w:r>
        <w:rPr>
          <w:rFonts w:hint="eastAsia" w:ascii="仿宋_GB2312" w:hAnsi="仿宋_GB2312" w:eastAsia="仿宋_GB2312" w:cs="仿宋_GB2312"/>
          <w:sz w:val="28"/>
          <w:szCs w:val="28"/>
          <w:highlight w:val="none"/>
        </w:rPr>
        <w:t>（以下简称：市政府研究室）</w:t>
      </w:r>
      <w:r>
        <w:rPr>
          <w:rFonts w:hint="eastAsia" w:ascii="仿宋_GB2312" w:hAnsi="仿宋_GB2312" w:eastAsia="仿宋_GB2312" w:cs="仿宋_GB2312"/>
          <w:sz w:val="28"/>
          <w:szCs w:val="28"/>
        </w:rPr>
        <w:t>是承担综合性政策研究和咨询任务的市政府直属机构。主要职责：负责起草《政府工作报告》，牵头组织市政府重要会议的文件起草，参与市委重要会议的文件起草工作；根据市政府领导同志指示，单独或组织、协助有关方面起草、修改市政府有关重要文件和报告，起草市政府领导同志重要讲话等文稿；对首都经济社会发展重大问题进行调查研究，提出政策性建议和咨询意见；收集、分析、整理经济社会发展的重要信息，为市政府领导同志提供参考建议；承办市政府交办的其他事项。</w:t>
      </w:r>
    </w:p>
    <w:p>
      <w:pPr>
        <w:pStyle w:val="2"/>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市政府研究室设11个内设机构和机关党委（工会）</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工作任务主要为起草《政府工作报告》及领导重要讲话、调查研究、重大经济专题分析等。</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2.部门整体绩效目标设立情况</w:t>
      </w:r>
    </w:p>
    <w:p>
      <w:pPr>
        <w:pStyle w:val="2"/>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2021年度部门整体绩效目标的设立依据，主要包括市编办核定的市政府研究室“三定”方案、部门职责职能，以及</w:t>
      </w:r>
      <w:r>
        <w:rPr>
          <w:rFonts w:hint="eastAsia" w:ascii="仿宋_GB2312" w:hAnsi="仿宋_GB2312" w:eastAsia="仿宋_GB2312" w:cs="仿宋_GB2312"/>
          <w:sz w:val="28"/>
          <w:szCs w:val="28"/>
          <w:lang w:eastAsia="zh-CN"/>
        </w:rPr>
        <w:t>当</w:t>
      </w:r>
      <w:r>
        <w:rPr>
          <w:rFonts w:hint="eastAsia" w:ascii="仿宋_GB2312" w:hAnsi="仿宋_GB2312" w:eastAsia="仿宋_GB2312" w:cs="仿宋_GB2312"/>
          <w:sz w:val="28"/>
          <w:szCs w:val="28"/>
        </w:rPr>
        <w:t>年的主要工作任务。部门整体绩效目标设置与部门职能定位相符，部门整体绩效目标对2021年度计划重点工作内容体现较为全面。</w:t>
      </w:r>
    </w:p>
    <w:p>
      <w:pPr>
        <w:numPr>
          <w:ilvl w:val="0"/>
          <w:numId w:val="1"/>
        </w:numPr>
        <w:spacing w:line="580" w:lineRule="exact"/>
        <w:ind w:firstLine="560" w:firstLineChars="200"/>
        <w:rPr>
          <w:rFonts w:hint="eastAsia" w:ascii="黑体" w:eastAsia="黑体"/>
          <w:sz w:val="28"/>
          <w:szCs w:val="28"/>
        </w:rPr>
      </w:pPr>
      <w:r>
        <w:rPr>
          <w:rFonts w:hint="eastAsia" w:ascii="黑体" w:eastAsia="黑体"/>
          <w:sz w:val="28"/>
          <w:szCs w:val="28"/>
        </w:rPr>
        <w:t>当年预算执行情况</w:t>
      </w:r>
    </w:p>
    <w:p>
      <w:pPr>
        <w:spacing w:line="58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2021年全年预算数3,106.95万元，其中，基本支出预算数2,524.42万元，项目支出预算数582.53万元。资金总体支出</w:t>
      </w:r>
      <w:r>
        <w:rPr>
          <w:rFonts w:hint="eastAsia" w:ascii="仿宋_GB2312" w:hAnsi="仿宋_GB2312" w:eastAsia="仿宋_GB2312" w:cs="仿宋_GB2312"/>
          <w:kern w:val="0"/>
          <w:sz w:val="28"/>
          <w:szCs w:val="28"/>
          <w:lang w:eastAsia="zh-CN"/>
        </w:rPr>
        <w:t>决算数</w:t>
      </w:r>
      <w:r>
        <w:rPr>
          <w:rFonts w:hint="eastAsia" w:ascii="仿宋_GB2312" w:hAnsi="仿宋_GB2312" w:eastAsia="仿宋_GB2312" w:cs="仿宋_GB2312"/>
          <w:kern w:val="0"/>
          <w:sz w:val="28"/>
          <w:szCs w:val="28"/>
        </w:rPr>
        <w:t>2,875.70万元，其中，基本支出2,405.87万元，项目支出469.83万元。预算执行率为92.56%。</w:t>
      </w:r>
    </w:p>
    <w:p>
      <w:pPr>
        <w:pStyle w:val="2"/>
        <w:ind w:firstLine="420"/>
        <w:rPr>
          <w:rFonts w:hint="eastAsia"/>
        </w:rPr>
      </w:pPr>
    </w:p>
    <w:p>
      <w:pPr>
        <w:numPr>
          <w:ilvl w:val="0"/>
          <w:numId w:val="1"/>
        </w:numPr>
        <w:spacing w:line="580" w:lineRule="exact"/>
        <w:ind w:firstLine="560" w:firstLineChars="200"/>
        <w:rPr>
          <w:rFonts w:hint="eastAsia" w:ascii="黑体" w:eastAsia="黑体"/>
          <w:sz w:val="28"/>
          <w:szCs w:val="28"/>
        </w:rPr>
      </w:pPr>
      <w:r>
        <w:rPr>
          <w:rFonts w:hint="eastAsia" w:ascii="黑体" w:eastAsia="黑体"/>
          <w:sz w:val="28"/>
          <w:szCs w:val="28"/>
        </w:rPr>
        <w:t>整体绩效目标实现情况</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2021年，紧紧围绕全市中心工作，系统谋划，密切协同，不断提升决策咨询服务质量和工作水平，有力发挥了决策咨询和参谋助手的作用。</w:t>
      </w:r>
    </w:p>
    <w:p>
      <w:pPr>
        <w:spacing w:line="5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1.</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全力保障重大活动。按照最高标准、最严要求、最实作风要求，</w:t>
      </w:r>
      <w:r>
        <w:rPr>
          <w:rFonts w:hint="eastAsia" w:ascii="仿宋_GB2312" w:hAnsi="仿宋_GB2312" w:eastAsia="仿宋_GB2312" w:cs="仿宋_GB2312"/>
          <w:sz w:val="28"/>
          <w:szCs w:val="28"/>
          <w:lang w:eastAsia="zh-CN"/>
        </w:rPr>
        <w:t>高质量</w:t>
      </w:r>
      <w:r>
        <w:rPr>
          <w:rFonts w:hint="eastAsia" w:ascii="仿宋_GB2312" w:hAnsi="仿宋_GB2312" w:eastAsia="仿宋_GB2312" w:cs="仿宋_GB2312"/>
          <w:sz w:val="28"/>
          <w:szCs w:val="28"/>
        </w:rPr>
        <w:t>完成中国共产党成立100周年文稿</w:t>
      </w:r>
      <w:r>
        <w:rPr>
          <w:rFonts w:hint="eastAsia" w:ascii="仿宋_GB2312" w:hAnsi="仿宋_GB2312" w:eastAsia="仿宋_GB2312" w:cs="仿宋_GB2312"/>
          <w:sz w:val="28"/>
          <w:szCs w:val="28"/>
          <w:lang w:eastAsia="zh-CN"/>
        </w:rPr>
        <w:t>任务。</w:t>
      </w:r>
      <w:r>
        <w:rPr>
          <w:rFonts w:hint="eastAsia" w:ascii="仿宋_GB2312" w:hAnsi="仿宋_GB2312" w:eastAsia="仿宋_GB2312" w:cs="仿宋_GB2312"/>
          <w:sz w:val="28"/>
          <w:szCs w:val="28"/>
        </w:rPr>
        <w:t>全程参与北京疫情防控领导小组办公室工作，持续做好疫情防控文稿保障。全力</w:t>
      </w:r>
      <w:r>
        <w:rPr>
          <w:rFonts w:hint="eastAsia" w:ascii="仿宋_GB2312" w:hAnsi="仿宋_GB2312" w:eastAsia="仿宋_GB2312" w:cs="仿宋_GB2312"/>
          <w:sz w:val="28"/>
          <w:szCs w:val="28"/>
          <w:lang w:eastAsia="zh-CN"/>
        </w:rPr>
        <w:t>服务</w:t>
      </w:r>
      <w:r>
        <w:rPr>
          <w:rFonts w:hint="eastAsia" w:ascii="仿宋_GB2312" w:hAnsi="仿宋_GB2312" w:eastAsia="仿宋_GB2312" w:cs="仿宋_GB2312"/>
          <w:sz w:val="28"/>
          <w:szCs w:val="28"/>
        </w:rPr>
        <w:t>冬奥筹办，认真做好冬奥相关文稿服务保障。</w:t>
      </w:r>
    </w:p>
    <w:p>
      <w:pPr>
        <w:spacing w:line="5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高站位起草政府工作报告。统筹全室力量，充分吸纳各区各部门、社会各界和基层干部群众意见建议，形成高质量的精炼短报告和具体详实的任务清单，创新内容体系，压缩报告时长，受到各方面充分肯定，在人代会上获得高票通过。</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全方位做好文稿服务保障。加强与</w:t>
      </w:r>
      <w:r>
        <w:rPr>
          <w:rFonts w:hint="eastAsia" w:ascii="仿宋_GB2312" w:hAnsi="仿宋_GB2312" w:eastAsia="仿宋_GB2312" w:cs="仿宋_GB2312"/>
          <w:sz w:val="28"/>
          <w:szCs w:val="28"/>
          <w:lang w:eastAsia="zh-CN"/>
        </w:rPr>
        <w:t>市委、市政府、</w:t>
      </w:r>
      <w:r>
        <w:rPr>
          <w:rFonts w:hint="eastAsia" w:ascii="仿宋_GB2312" w:hAnsi="仿宋_GB2312" w:eastAsia="仿宋_GB2312" w:cs="仿宋_GB2312"/>
          <w:sz w:val="28"/>
          <w:szCs w:val="28"/>
        </w:rPr>
        <w:t>办公厅、各委办局工作对接，建立信息沟通机制，高标准完成各类文稿任务。坚持主动向前，勇于担当，切实做好文稿保障工作，获得充分肯定。</w:t>
      </w:r>
    </w:p>
    <w:p>
      <w:pPr>
        <w:spacing w:line="580" w:lineRule="exact"/>
        <w:ind w:left="105" w:leftChars="50" w:firstLine="420" w:firstLineChars="150"/>
        <w:rPr>
          <w:rFonts w:hint="eastAsia" w:ascii="仿宋_GB2312" w:hAnsi="仿宋_GB2312" w:eastAsia="仿宋_GB2312" w:cs="仿宋_GB2312"/>
          <w:sz w:val="28"/>
          <w:szCs w:val="28"/>
        </w:rPr>
      </w:pPr>
      <w:bookmarkStart w:id="2" w:name="OLE_LINK1"/>
      <w:r>
        <w:rPr>
          <w:rFonts w:hint="eastAsia" w:ascii="仿宋_GB2312" w:hAnsi="仿宋_GB2312" w:eastAsia="仿宋_GB2312" w:cs="仿宋_GB2312"/>
          <w:sz w:val="28"/>
          <w:szCs w:val="28"/>
        </w:rPr>
        <w:t>4.</w:t>
      </w:r>
      <w:bookmarkEnd w:id="2"/>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高质量研究首都发展问题。着力提升调查研究深度和广度，围绕全市经济社会发展重大问题开展系列研究。扎实推进智慧城市等年度重点课题研究，高质量完成了科技园区发展、社会投资便利化、国际人才引进等市领导交办的调研任务。多篇报告通过多形式转化，有力推进了全市相关工作。</w:t>
      </w:r>
      <w:r>
        <w:rPr>
          <w:rFonts w:hint="eastAsia" w:ascii="仿宋_GB2312" w:hAnsi="仿宋_GB2312" w:eastAsia="仿宋_GB2312" w:cs="仿宋_GB2312"/>
          <w:sz w:val="28"/>
          <w:szCs w:val="28"/>
        </w:rPr>
        <w:tab/>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.高水平开展决策咨询服务。建立外脑常态化合作机制，搭建思想交流、合作研究、信息沟通、成果转化四大合作平台，为开展决策研究工作提供智力支持。</w:t>
      </w:r>
    </w:p>
    <w:p>
      <w:pPr>
        <w:spacing w:line="580" w:lineRule="exact"/>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对照职能职</w:t>
      </w:r>
      <w:r>
        <w:rPr>
          <w:rFonts w:hint="eastAsia" w:ascii="仿宋_GB2312" w:hAnsi="仿宋_GB2312" w:eastAsia="仿宋_GB2312" w:cs="仿宋_GB2312"/>
          <w:sz w:val="28"/>
          <w:szCs w:val="28"/>
          <w:highlight w:val="none"/>
        </w:rPr>
        <w:t>责</w:t>
      </w:r>
      <w:r>
        <w:rPr>
          <w:rFonts w:hint="eastAsia" w:ascii="仿宋_GB2312" w:hAnsi="仿宋_GB2312" w:eastAsia="仿宋_GB2312" w:cs="仿宋_GB2312"/>
          <w:sz w:val="28"/>
          <w:szCs w:val="28"/>
          <w:highlight w:val="none"/>
          <w:lang w:eastAsia="zh-CN"/>
        </w:rPr>
        <w:t>和</w:t>
      </w:r>
      <w:r>
        <w:rPr>
          <w:rFonts w:hint="eastAsia" w:ascii="仿宋_GB2312" w:hAnsi="仿宋_GB2312" w:eastAsia="仿宋_GB2312" w:cs="仿宋_GB2312"/>
          <w:sz w:val="28"/>
          <w:szCs w:val="28"/>
          <w:highlight w:val="none"/>
        </w:rPr>
        <w:t>年初</w:t>
      </w:r>
      <w:r>
        <w:rPr>
          <w:rFonts w:hint="eastAsia" w:ascii="仿宋_GB2312" w:hAnsi="仿宋_GB2312" w:eastAsia="仿宋_GB2312" w:cs="仿宋_GB2312"/>
          <w:sz w:val="28"/>
          <w:szCs w:val="28"/>
        </w:rPr>
        <w:t>设定的绩效目标，积极开展了各项工作，着力提升了政策研究和咨询质量以及机关信息化建设，整体支出绩效达到了年初绩效目标。</w:t>
      </w:r>
    </w:p>
    <w:p>
      <w:pPr>
        <w:numPr>
          <w:ilvl w:val="0"/>
          <w:numId w:val="1"/>
        </w:numPr>
        <w:spacing w:line="580" w:lineRule="exact"/>
        <w:ind w:firstLine="560" w:firstLineChars="200"/>
        <w:rPr>
          <w:rFonts w:hint="eastAsia" w:ascii="黑体" w:eastAsia="黑体"/>
          <w:sz w:val="28"/>
          <w:szCs w:val="28"/>
        </w:rPr>
      </w:pPr>
      <w:r>
        <w:rPr>
          <w:rFonts w:hint="eastAsia" w:ascii="黑体" w:eastAsia="黑体"/>
          <w:sz w:val="28"/>
          <w:szCs w:val="28"/>
        </w:rPr>
        <w:t>预算管理情况分析</w:t>
      </w:r>
    </w:p>
    <w:p>
      <w:pPr>
        <w:spacing w:line="5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1.</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财务管理</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（1）财务管理制度健全性</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市政府研究室按照财政部《行政事业单位内部控制规范（试行）》（财会</w:t>
      </w:r>
      <w:r>
        <w:rPr>
          <w:rFonts w:hint="eastAsia" w:ascii="微软雅黑" w:hAnsi="微软雅黑" w:eastAsia="微软雅黑" w:cs="微软雅黑"/>
          <w:sz w:val="28"/>
          <w:szCs w:val="28"/>
        </w:rPr>
        <w:t>〔</w:t>
      </w:r>
      <w:r>
        <w:rPr>
          <w:rFonts w:hint="eastAsia" w:ascii="仿宋_GB2312" w:hAnsi="仿宋_GB2312" w:eastAsia="仿宋_GB2312" w:cs="仿宋_GB2312"/>
          <w:sz w:val="28"/>
          <w:szCs w:val="28"/>
        </w:rPr>
        <w:t>201</w:t>
      </w:r>
      <w:r>
        <w:rPr>
          <w:rFonts w:hint="eastAsia" w:ascii="仿宋_GB2312" w:hAnsi="仿宋_GB2312" w:eastAsia="仿宋_GB2312" w:cs="仿宋_GB2312"/>
          <w:sz w:val="28"/>
          <w:szCs w:val="28"/>
          <w:lang w:val="en-US" w:eastAsia="zh-CN"/>
        </w:rPr>
        <w:t>2</w:t>
      </w:r>
      <w:r>
        <w:rPr>
          <w:rFonts w:hint="eastAsia" w:ascii="微软雅黑" w:hAnsi="微软雅黑" w:eastAsia="微软雅黑" w:cs="微软雅黑"/>
          <w:sz w:val="28"/>
          <w:szCs w:val="28"/>
        </w:rPr>
        <w:t>〕</w:t>
      </w:r>
      <w:r>
        <w:rPr>
          <w:rFonts w:hint="eastAsia" w:ascii="仿宋_GB2312" w:hAnsi="仿宋_GB2312" w:eastAsia="仿宋_GB2312" w:cs="仿宋_GB2312"/>
          <w:sz w:val="28"/>
          <w:szCs w:val="28"/>
        </w:rPr>
        <w:t>21号）及市财政局的相关要求，在原有《北京市人民政府研究室工作手册》基础上，</w:t>
      </w:r>
      <w:r>
        <w:rPr>
          <w:rFonts w:hint="eastAsia" w:ascii="仿宋_GB2312" w:hAnsi="仿宋_GB2312" w:eastAsia="仿宋_GB2312" w:cs="仿宋_GB2312"/>
          <w:sz w:val="28"/>
          <w:szCs w:val="28"/>
          <w:highlight w:val="none"/>
        </w:rPr>
        <w:t>编制</w:t>
      </w:r>
      <w:r>
        <w:rPr>
          <w:rFonts w:hint="eastAsia" w:ascii="仿宋_GB2312" w:hAnsi="仿宋_GB2312" w:eastAsia="仿宋_GB2312" w:cs="仿宋_GB2312"/>
          <w:color w:val="auto"/>
          <w:sz w:val="28"/>
          <w:szCs w:val="28"/>
          <w:highlight w:val="none"/>
          <w:lang w:eastAsia="zh-CN"/>
        </w:rPr>
        <w:t>修订</w:t>
      </w:r>
      <w:r>
        <w:rPr>
          <w:rFonts w:hint="eastAsia" w:ascii="仿宋_GB2312" w:hAnsi="仿宋_GB2312" w:eastAsia="仿宋_GB2312" w:cs="仿宋_GB2312"/>
          <w:sz w:val="28"/>
          <w:szCs w:val="28"/>
          <w:highlight w:val="none"/>
        </w:rPr>
        <w:t>了</w:t>
      </w:r>
      <w:r>
        <w:rPr>
          <w:rFonts w:hint="eastAsia" w:ascii="仿宋_GB2312" w:hAnsi="仿宋_GB2312" w:eastAsia="仿宋_GB2312" w:cs="仿宋_GB2312"/>
          <w:sz w:val="28"/>
          <w:szCs w:val="28"/>
        </w:rPr>
        <w:t>《北京市人民政府研究室内部控制管理手册》，财务管理制度较为健全。</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（2）资金使用合规性和安全性</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严格遵守财经秩序</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严格执行财务管理制度，项目资金严格实行专款专用、单独核算，避免出现财政资金被挤占、挪用等违规行为，保障了项目支出合规、按预算开展。</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（3）会计基础信息完善性</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认真</w:t>
      </w:r>
      <w:r>
        <w:rPr>
          <w:rFonts w:hint="eastAsia" w:ascii="仿宋_GB2312" w:hAnsi="仿宋_GB2312" w:eastAsia="仿宋_GB2312" w:cs="仿宋_GB2312"/>
          <w:sz w:val="28"/>
          <w:szCs w:val="28"/>
        </w:rPr>
        <w:t>执行政府会计准则（财政部令第78号）及系列具体准则、应用指南、《政府会计制度——行政事业单位会计科目和报表》（财会</w:t>
      </w:r>
      <w:r>
        <w:rPr>
          <w:rFonts w:hint="eastAsia" w:ascii="微软雅黑" w:hAnsi="微软雅黑" w:eastAsia="微软雅黑" w:cs="微软雅黑"/>
          <w:sz w:val="28"/>
          <w:szCs w:val="28"/>
        </w:rPr>
        <w:t>〔</w:t>
      </w:r>
      <w:r>
        <w:rPr>
          <w:rFonts w:hint="eastAsia" w:ascii="仿宋_GB2312" w:hAnsi="仿宋_GB2312" w:eastAsia="仿宋_GB2312" w:cs="仿宋_GB2312"/>
          <w:sz w:val="28"/>
          <w:szCs w:val="28"/>
        </w:rPr>
        <w:t>2017</w:t>
      </w:r>
      <w:r>
        <w:rPr>
          <w:rFonts w:hint="eastAsia" w:ascii="微软雅黑" w:hAnsi="微软雅黑" w:eastAsia="微软雅黑" w:cs="微软雅黑"/>
          <w:sz w:val="28"/>
          <w:szCs w:val="28"/>
        </w:rPr>
        <w:t>〕</w:t>
      </w:r>
      <w:r>
        <w:rPr>
          <w:rFonts w:hint="eastAsia" w:ascii="仿宋_GB2312" w:hAnsi="仿宋_GB2312" w:eastAsia="仿宋_GB2312" w:cs="仿宋_GB2312"/>
          <w:sz w:val="28"/>
          <w:szCs w:val="28"/>
        </w:rPr>
        <w:t>25号）以及政府会计准则及制度解释等文件规定。按照政府会计准则及制度设置会计科目，进行日常会计核算，编制财务会计报表和部门决算报表，会计基础信息较为完善。</w:t>
      </w:r>
    </w:p>
    <w:p>
      <w:pPr>
        <w:spacing w:line="5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资产管理</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根据《行政事业性国有资产管理条例》（2021年2月1日 国务院令第738号）、《行政单位国有资产管理暂行办法》以及北京市财政局相关规定，结合本单位实际情况，制定了《固定资产管理办法》资产管理制度，建立健全资产管理台账，定期维护行政事业资产管理信息系统中的资产基础信息，进一步规范和加强了单位日常资产管理工作，</w:t>
      </w:r>
      <w:r>
        <w:rPr>
          <w:rFonts w:hint="eastAsia" w:ascii="仿宋_GB2312" w:hAnsi="仿宋_GB2312" w:eastAsia="仿宋_GB2312" w:cs="仿宋_GB2312"/>
          <w:sz w:val="28"/>
          <w:szCs w:val="28"/>
          <w:lang w:eastAsia="zh-CN"/>
        </w:rPr>
        <w:t>使得</w:t>
      </w:r>
      <w:r>
        <w:rPr>
          <w:rFonts w:hint="eastAsia" w:ascii="仿宋_GB2312" w:hAnsi="仿宋_GB2312" w:eastAsia="仿宋_GB2312" w:cs="仿宋_GB2312"/>
          <w:sz w:val="28"/>
          <w:szCs w:val="28"/>
        </w:rPr>
        <w:t>国有资产的安全完整、合理配置和有效利用。</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截至2021年12月31日，市政府研究室资产总额为669.07万元，其中：流动资产336.43万元、固定资产156.62万元、在建工程176.02万元。2021年度，市政府研究室新增固定资产0.35万元，无报废固定资产。</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绩效管理</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认真贯彻落实市财政有关深化全面预算绩效管理方面的文件精神及规定，紧紧围绕“预算编制有目标、预算执行有监控、预算完成有评价、评价结果有反馈、反馈结果有应用”的预算绩效管理要求，建立健全工作机制，组织开展工作，突出预算绩效管理，提高资金使用效益。</w:t>
      </w:r>
    </w:p>
    <w:p>
      <w:pPr>
        <w:spacing w:line="5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（1）绩效目标方面</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紧紧围绕当年任务开展工作，推进绩效目标编审与预算编审流程相融合，绩效目标编制与预算编制实现布置、编制、审核、批复四个同步，进一步发挥事前审核、事中监控、事后检查的综合作用。</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（2）绩效目标运行监控方面</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建立项目辅助核算明细账，加强项目预算执行，优化项目资金管理，促进项目目标实现。在项目推进工作中，一是积极协调，确保项目资金及时到位；二是严格审批项目资金发放标准，确保项目资金合规合法。</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（3）绩效评价方面</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积极落实中央和市委市政府相关文件精神，抓实抓细绩效评价基础管理工作，借助第三方机构的专业力量，完善绩效评价质量管理机制。</w:t>
      </w:r>
      <w:bookmarkStart w:id="4" w:name="_GoBack"/>
      <w:bookmarkEnd w:id="4"/>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（4）结果应用方面</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完善绩效评价结果反馈机制，及时对评价发现的问题进行整改，提升绩效评价的效果。</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结转结余率</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rPr>
        <w:t>2021年末结转结余资金231.25万元，全部上交财政。2021年支出预算总额3,106.95万元</w:t>
      </w:r>
      <w:r>
        <w:rPr>
          <w:rFonts w:hint="eastAsia" w:ascii="仿宋_GB2312" w:hAnsi="仿宋_GB2312" w:eastAsia="仿宋_GB2312" w:cs="仿宋_GB2312"/>
          <w:sz w:val="28"/>
          <w:szCs w:val="28"/>
          <w:highlight w:val="none"/>
          <w:lang w:eastAsia="zh-CN"/>
        </w:rPr>
        <w:t>，</w:t>
      </w:r>
      <w:bookmarkStart w:id="3" w:name="OLE_LINK2"/>
      <w:r>
        <w:rPr>
          <w:rFonts w:hint="eastAsia" w:ascii="仿宋_GB2312" w:hAnsi="仿宋_GB2312" w:eastAsia="仿宋_GB2312" w:cs="仿宋_GB2312"/>
          <w:sz w:val="28"/>
          <w:szCs w:val="28"/>
          <w:highlight w:val="none"/>
        </w:rPr>
        <w:t>结转</w:t>
      </w:r>
      <w:bookmarkEnd w:id="3"/>
      <w:r>
        <w:rPr>
          <w:rFonts w:hint="eastAsia" w:ascii="仿宋_GB2312" w:hAnsi="仿宋_GB2312" w:eastAsia="仿宋_GB2312" w:cs="仿宋_GB2312"/>
          <w:sz w:val="28"/>
          <w:szCs w:val="28"/>
          <w:highlight w:val="none"/>
        </w:rPr>
        <w:t>结余率7.44%。</w:t>
      </w:r>
      <w:r>
        <w:rPr>
          <w:rFonts w:hint="eastAsia" w:ascii="仿宋_GB2312" w:hAnsi="仿宋_GB2312" w:eastAsia="仿宋_GB2312" w:cs="仿宋_GB2312"/>
          <w:sz w:val="28"/>
          <w:szCs w:val="28"/>
          <w:lang w:eastAsia="zh-CN"/>
        </w:rPr>
        <w:t>今年</w:t>
      </w:r>
      <w:r>
        <w:rPr>
          <w:rFonts w:hint="eastAsia" w:ascii="仿宋_GB2312" w:hAnsi="仿宋_GB2312" w:eastAsia="仿宋_GB2312" w:cs="仿宋_GB2312"/>
          <w:sz w:val="28"/>
          <w:szCs w:val="28"/>
        </w:rPr>
        <w:t>受新冠肺炎疫情影响，会议、培训改为线上进行，外出调研、出国（境）等工作计划无法正常进行，整体支出进度受阻。</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部门预决算差异率</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（1）部门收入预决算差异率</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2021年度部门收入预算总额3,105.87万元，其中：财政拨款预算数3,104.83万元、其他收入预算数1.04万元。2021年度部门收入决算总额3,105.87万元，其中：财政拨款决算数3,104</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color w:val="auto"/>
          <w:sz w:val="28"/>
          <w:szCs w:val="28"/>
          <w:highlight w:val="none"/>
        </w:rPr>
        <w:t>万</w:t>
      </w:r>
      <w:r>
        <w:rPr>
          <w:rFonts w:hint="eastAsia" w:ascii="仿宋_GB2312" w:hAnsi="仿宋_GB2312" w:eastAsia="仿宋_GB2312" w:cs="仿宋_GB2312"/>
          <w:sz w:val="28"/>
          <w:szCs w:val="28"/>
        </w:rPr>
        <w:t>元、其他收入决算数1.04万元。部门收入预决算差异率0%。</w:t>
      </w:r>
    </w:p>
    <w:p>
      <w:pPr>
        <w:spacing w:line="580" w:lineRule="exact"/>
        <w:ind w:left="105" w:leftChars="50"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（2）部门支出预决算差异率</w:t>
      </w:r>
    </w:p>
    <w:p>
      <w:pPr>
        <w:spacing w:line="580" w:lineRule="exact"/>
        <w:ind w:left="105" w:leftChars="5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sz w:val="28"/>
          <w:szCs w:val="28"/>
        </w:rPr>
        <w:t>2021年末部门支出预算总额3,106.95万元，其中：基本支出预算数2,524.42万元，项目支出预算数582.53万元。2021年部门支出决算总额2,875.70万元，其中，基本支出决算数2,405.87万元，项目支出决算数469.83万元。部门支出预决算差异率</w:t>
      </w:r>
      <w:r>
        <w:rPr>
          <w:rFonts w:hint="eastAsia" w:ascii="仿宋_GB2312" w:hAnsi="仿宋_GB2312" w:eastAsia="仿宋_GB2312" w:cs="仿宋_GB2312"/>
          <w:b w:val="0"/>
          <w:bCs w:val="0"/>
          <w:color w:val="auto"/>
          <w:sz w:val="28"/>
          <w:szCs w:val="28"/>
        </w:rPr>
        <w:t>7.44%。</w:t>
      </w:r>
    </w:p>
    <w:p>
      <w:pPr>
        <w:numPr>
          <w:ilvl w:val="0"/>
          <w:numId w:val="1"/>
        </w:numPr>
        <w:spacing w:line="580" w:lineRule="exact"/>
        <w:ind w:firstLine="560" w:firstLineChars="200"/>
        <w:rPr>
          <w:rFonts w:hint="eastAsia" w:ascii="黑体" w:eastAsia="黑体"/>
          <w:sz w:val="28"/>
          <w:szCs w:val="28"/>
        </w:rPr>
      </w:pPr>
      <w:r>
        <w:rPr>
          <w:rFonts w:hint="eastAsia" w:ascii="黑体" w:eastAsia="黑体"/>
          <w:sz w:val="28"/>
          <w:szCs w:val="28"/>
        </w:rPr>
        <w:t>总体评价结论</w:t>
      </w:r>
    </w:p>
    <w:p>
      <w:pPr>
        <w:pStyle w:val="2"/>
        <w:spacing w:line="580" w:lineRule="exact"/>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评价得分情况</w:t>
      </w:r>
    </w:p>
    <w:p>
      <w:pPr>
        <w:pStyle w:val="2"/>
        <w:spacing w:line="580" w:lineRule="exact"/>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按照市财政年初批复并经预算信息公开的市政府研究室《部门整体支出绩效目标表》，结合实际情况，经综合评价后，部门整体绩效评价综合得分</w:t>
      </w:r>
      <w:r>
        <w:rPr>
          <w:rFonts w:hint="eastAsia" w:ascii="仿宋_GB2312" w:hAnsi="仿宋_GB2312" w:eastAsia="仿宋_GB2312" w:cs="仿宋_GB2312"/>
          <w:sz w:val="28"/>
          <w:szCs w:val="28"/>
          <w:highlight w:val="none"/>
        </w:rPr>
        <w:t>9</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rPr>
        <w:t>.87</w:t>
      </w:r>
      <w:r>
        <w:rPr>
          <w:rFonts w:hint="eastAsia" w:ascii="仿宋_GB2312" w:hAnsi="仿宋_GB2312" w:eastAsia="仿宋_GB2312" w:cs="仿宋_GB2312"/>
          <w:sz w:val="28"/>
          <w:szCs w:val="28"/>
        </w:rPr>
        <w:t>分，绩效级别评定为“优”。</w:t>
      </w:r>
    </w:p>
    <w:p>
      <w:pPr>
        <w:pStyle w:val="2"/>
        <w:spacing w:line="580" w:lineRule="exact"/>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存在的问题及原因分析</w:t>
      </w:r>
    </w:p>
    <w:p>
      <w:pPr>
        <w:pStyle w:val="2"/>
        <w:spacing w:line="580" w:lineRule="exact"/>
        <w:ind w:firstLine="56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部门整体绩效目标设定不够全面，不利于全方位反映绩效目标实现情况。</w:t>
      </w:r>
    </w:p>
    <w:p>
      <w:pPr>
        <w:pStyle w:val="2"/>
        <w:numPr>
          <w:ilvl w:val="0"/>
          <w:numId w:val="0"/>
        </w:numPr>
        <w:spacing w:line="580" w:lineRule="exac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 xml:space="preserve">   </w:t>
      </w:r>
      <w:r>
        <w:rPr>
          <w:rFonts w:hint="eastAsia" w:ascii="黑体" w:eastAsia="黑体" w:hAnsiTheme="minorHAnsi" w:cstheme="minorBidi"/>
          <w:kern w:val="2"/>
          <w:sz w:val="28"/>
          <w:szCs w:val="28"/>
          <w:lang w:val="en-US" w:eastAsia="zh-CN" w:bidi="ar-SA"/>
        </w:rPr>
        <w:t xml:space="preserve"> 六、措施建议</w:t>
      </w:r>
    </w:p>
    <w:p>
      <w:pPr>
        <w:pStyle w:val="2"/>
        <w:numPr>
          <w:ilvl w:val="0"/>
          <w:numId w:val="0"/>
        </w:numPr>
        <w:spacing w:line="580" w:lineRule="exac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进一步提高对设定绩效目标的认识，强化成本绩效意识，严格按照相关规定以及“指向明确、细化量化、合理可行、相应匹配”的要求，全面</w:t>
      </w:r>
      <w:r>
        <w:rPr>
          <w:rFonts w:hint="eastAsia" w:ascii="仿宋_GB2312" w:hAnsi="仿宋_GB2312" w:eastAsia="仿宋_GB2312" w:cs="仿宋_GB2312"/>
          <w:kern w:val="0"/>
          <w:sz w:val="28"/>
          <w:szCs w:val="28"/>
          <w:lang w:eastAsia="zh-CN"/>
        </w:rPr>
        <w:t>科学</w:t>
      </w:r>
      <w:r>
        <w:rPr>
          <w:rFonts w:hint="eastAsia" w:ascii="仿宋_GB2312" w:hAnsi="仿宋_GB2312" w:eastAsia="仿宋_GB2312" w:cs="仿宋_GB2312"/>
          <w:kern w:val="0"/>
          <w:sz w:val="28"/>
          <w:szCs w:val="28"/>
        </w:rPr>
        <w:t>地设置</w:t>
      </w:r>
      <w:r>
        <w:rPr>
          <w:rFonts w:hint="eastAsia" w:ascii="仿宋_GB2312" w:hAnsi="仿宋_GB2312" w:eastAsia="仿宋_GB2312" w:cs="仿宋_GB2312"/>
          <w:kern w:val="0"/>
          <w:sz w:val="28"/>
          <w:szCs w:val="28"/>
          <w:lang w:eastAsia="zh-CN"/>
        </w:rPr>
        <w:t>相应</w:t>
      </w:r>
      <w:r>
        <w:rPr>
          <w:rFonts w:hint="eastAsia" w:ascii="仿宋_GB2312" w:hAnsi="仿宋_GB2312" w:eastAsia="仿宋_GB2312" w:cs="仿宋_GB2312"/>
          <w:kern w:val="0"/>
          <w:sz w:val="28"/>
          <w:szCs w:val="28"/>
        </w:rPr>
        <w:t>指标。</w:t>
      </w:r>
    </w:p>
    <w:p>
      <w:pPr>
        <w:spacing w:line="580" w:lineRule="exact"/>
        <w:ind w:firstLine="560" w:firstLineChars="200"/>
        <w:rPr>
          <w:rFonts w:hint="eastAsia" w:ascii="黑体" w:eastAsia="黑体"/>
          <w:sz w:val="28"/>
          <w:szCs w:val="28"/>
        </w:rPr>
      </w:pPr>
    </w:p>
    <w:p>
      <w:pPr>
        <w:spacing w:line="480" w:lineRule="exact"/>
        <w:jc w:val="both"/>
        <w:rPr>
          <w:rFonts w:ascii="黑体" w:eastAsia="黑体"/>
          <w:sz w:val="32"/>
          <w:szCs w:val="32"/>
        </w:rPr>
      </w:pPr>
    </w:p>
    <w:p>
      <w:pPr>
        <w:spacing w:line="480" w:lineRule="exact"/>
        <w:jc w:val="center"/>
        <w:rPr>
          <w:rFonts w:hint="eastAsia" w:ascii="黑体" w:eastAsia="黑体"/>
          <w:color w:val="FF0000"/>
          <w:sz w:val="32"/>
          <w:szCs w:val="32"/>
        </w:rPr>
      </w:pPr>
      <w:r>
        <w:rPr>
          <w:rFonts w:hint="eastAsia" w:ascii="黑体" w:eastAsia="黑体"/>
          <w:color w:val="FF0000"/>
          <w:sz w:val="32"/>
          <w:szCs w:val="32"/>
        </w:rPr>
        <w:t xml:space="preserve"> </w:t>
      </w:r>
    </w:p>
    <w:p/>
    <w:sectPr>
      <w:footerReference r:id="rId3" w:type="default"/>
      <w:footerReference r:id="rId4"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fldChar w:fldCharType="begin"/>
    </w:r>
    <w:r>
      <w:rPr>
        <w:rStyle w:val="5"/>
      </w:rPr>
      <w:instrText xml:space="preserve">PAGE  </w:instrText>
    </w:r>
    <w:r>
      <w:fldChar w:fldCharType="separate"/>
    </w:r>
    <w:r>
      <w:rPr>
        <w:rStyle w:val="5"/>
      </w:rPr>
      <w:t>24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fldChar w:fldCharType="begin"/>
    </w:r>
    <w:r>
      <w:rPr>
        <w:rStyle w:val="5"/>
      </w:rPr>
      <w:instrText xml:space="preserve">PAGE  </w:instrText>
    </w:r>
    <w:r>
      <w:fldChar w:fldCharType="separate"/>
    </w:r>
    <w:r>
      <w:rPr>
        <w:rStyle w:val="5"/>
      </w:rPr>
      <w:t>15</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FFB472"/>
    <w:multiLevelType w:val="singleLevel"/>
    <w:tmpl w:val="D7FFB47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991E87"/>
    <w:rsid w:val="12686431"/>
    <w:rsid w:val="223036D6"/>
    <w:rsid w:val="356A1278"/>
    <w:rsid w:val="486E1E3F"/>
    <w:rsid w:val="5ACB5A35"/>
    <w:rsid w:val="61F048F3"/>
    <w:rsid w:val="6A5100D7"/>
    <w:rsid w:val="6DE27D44"/>
    <w:rsid w:val="704643EA"/>
    <w:rsid w:val="770E2450"/>
    <w:rsid w:val="78451BE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2022-09-01T03:47:25Z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