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10" w:rsidRDefault="004631B1">
      <w:pPr>
        <w:spacing w:line="480" w:lineRule="exact"/>
        <w:jc w:val="center"/>
        <w:rPr>
          <w:rFonts w:ascii="方正小标宋简体" w:eastAsia="方正小标宋简体" w:hAnsi="黑体"/>
          <w:sz w:val="36"/>
          <w:szCs w:val="36"/>
        </w:rPr>
      </w:pPr>
      <w:bookmarkStart w:id="0" w:name="_GoBack"/>
      <w:bookmarkEnd w:id="0"/>
      <w:r>
        <w:rPr>
          <w:rFonts w:ascii="方正小标宋简体" w:eastAsia="方正小标宋简体" w:hAnsi="黑体" w:hint="eastAsia"/>
          <w:sz w:val="36"/>
          <w:szCs w:val="36"/>
        </w:rPr>
        <w:t>项目支出绩效自评表</w:t>
      </w:r>
    </w:p>
    <w:p w:rsidR="00041B10" w:rsidRDefault="004631B1">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   </w:t>
      </w:r>
      <w:r>
        <w:rPr>
          <w:rFonts w:ascii="仿宋_GB2312" w:eastAsia="仿宋_GB2312" w:hAnsi="宋体"/>
          <w:sz w:val="28"/>
          <w:szCs w:val="28"/>
        </w:rPr>
        <w:t xml:space="preserve">2021  </w:t>
      </w:r>
      <w:r>
        <w:rPr>
          <w:rFonts w:ascii="仿宋_GB2312" w:eastAsia="仿宋_GB2312" w:hAnsi="宋体" w:hint="eastAsia"/>
          <w:sz w:val="28"/>
          <w:szCs w:val="28"/>
        </w:rPr>
        <w:t xml:space="preserve"> 年度）</w:t>
      </w:r>
    </w:p>
    <w:p w:rsidR="00041B10" w:rsidRDefault="00041B10">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127"/>
        <w:gridCol w:w="296"/>
        <w:gridCol w:w="836"/>
        <w:gridCol w:w="848"/>
        <w:gridCol w:w="279"/>
        <w:gridCol w:w="305"/>
        <w:gridCol w:w="399"/>
        <w:gridCol w:w="310"/>
        <w:gridCol w:w="536"/>
        <w:gridCol w:w="710"/>
      </w:tblGrid>
      <w:tr w:rsidR="00041B10">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菌种</w:t>
            </w:r>
            <w:r>
              <w:rPr>
                <w:rFonts w:ascii="仿宋_GB2312" w:eastAsia="仿宋_GB2312" w:hAnsi="宋体" w:cs="宋体"/>
                <w:kern w:val="0"/>
                <w:szCs w:val="21"/>
              </w:rPr>
              <w:t>资源开发与应用技术平台构建</w:t>
            </w:r>
          </w:p>
        </w:tc>
      </w:tr>
      <w:tr w:rsidR="00041B10">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 w:val="16"/>
                <w:szCs w:val="21"/>
              </w:rPr>
              <w:t>中国</w:t>
            </w:r>
            <w:r>
              <w:rPr>
                <w:rFonts w:ascii="仿宋_GB2312" w:eastAsia="仿宋_GB2312" w:hAnsi="宋体" w:cs="宋体"/>
                <w:kern w:val="0"/>
                <w:sz w:val="16"/>
                <w:szCs w:val="21"/>
              </w:rPr>
              <w:t>肉类食品综合研究中心</w:t>
            </w:r>
          </w:p>
        </w:tc>
      </w:tr>
      <w:tr w:rsidR="00041B10">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王守伟</w:t>
            </w:r>
          </w:p>
        </w:tc>
        <w:tc>
          <w:tcPr>
            <w:tcW w:w="1127" w:type="dxa"/>
            <w:gridSpan w:val="2"/>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041B10">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1132" w:type="dxa"/>
            <w:gridSpan w:val="2"/>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w:t>
            </w:r>
            <w:r>
              <w:rPr>
                <w:rFonts w:ascii="仿宋_GB2312" w:eastAsia="仿宋_GB2312" w:hAnsi="宋体" w:cs="宋体"/>
                <w:kern w:val="0"/>
                <w:szCs w:val="21"/>
              </w:rPr>
              <w:t>0</w:t>
            </w:r>
          </w:p>
        </w:tc>
        <w:tc>
          <w:tcPr>
            <w:tcW w:w="1127" w:type="dxa"/>
            <w:gridSpan w:val="2"/>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704" w:type="dxa"/>
            <w:gridSpan w:val="2"/>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710" w:type="dxa"/>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041B10">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1132" w:type="dxa"/>
            <w:gridSpan w:val="2"/>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1127" w:type="dxa"/>
            <w:gridSpan w:val="2"/>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704" w:type="dxa"/>
            <w:gridSpan w:val="2"/>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710" w:type="dxa"/>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041B10">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041B10">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041B10">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041B10">
        <w:trPr>
          <w:trHeight w:hRule="exact" w:val="3103"/>
          <w:jc w:val="center"/>
        </w:trPr>
        <w:tc>
          <w:tcPr>
            <w:tcW w:w="585" w:type="dxa"/>
            <w:vMerge/>
            <w:tcBorders>
              <w:top w:val="nil"/>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ind w:firstLineChars="200" w:firstLine="420"/>
              <w:rPr>
                <w:rFonts w:ascii="仿宋_GB2312" w:eastAsia="仿宋_GB2312" w:hAnsi="宋体" w:cs="宋体"/>
                <w:kern w:val="0"/>
                <w:szCs w:val="21"/>
              </w:rPr>
            </w:pPr>
            <w:r>
              <w:rPr>
                <w:rFonts w:ascii="仿宋_GB2312" w:eastAsia="仿宋_GB2312" w:hAnsi="宋体" w:cs="宋体" w:hint="eastAsia"/>
                <w:kern w:val="0"/>
                <w:szCs w:val="21"/>
              </w:rPr>
              <w:t>项目实施将提升本单位菌种资源开发与应用创新团队的科研实力及检测仪器设备水平，有效提升本单位菌种资源开发与应用技术储备及科技创新能力，同时也不断提高本单位</w:t>
            </w:r>
            <w:proofErr w:type="gramStart"/>
            <w:r>
              <w:rPr>
                <w:rFonts w:ascii="仿宋_GB2312" w:eastAsia="仿宋_GB2312" w:hAnsi="宋体" w:cs="宋体" w:hint="eastAsia"/>
                <w:kern w:val="0"/>
                <w:szCs w:val="21"/>
              </w:rPr>
              <w:t>对首农食品</w:t>
            </w:r>
            <w:proofErr w:type="gramEnd"/>
            <w:r>
              <w:rPr>
                <w:rFonts w:ascii="仿宋_GB2312" w:eastAsia="仿宋_GB2312" w:hAnsi="宋体" w:cs="宋体" w:hint="eastAsia"/>
                <w:kern w:val="0"/>
                <w:szCs w:val="21"/>
              </w:rPr>
              <w:t>集团和北京地区食品发酵技术和微生物检测技术的支撑能力，进而提升集团及相关企业食品质量安全过程控制技术水平，助力推动食品产业健康发展，项目社会效益明显。其项目目标根据政府和产业需求，结合单位自身的发展规划制定。</w:t>
            </w:r>
          </w:p>
          <w:p w:rsidR="00041B10" w:rsidRDefault="004631B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 xml:space="preserve">   预期将发表多篇核心期刊文章，申请多项专利技术，培养多方面人才，预计2021年产生经济效益800万。</w:t>
            </w:r>
          </w:p>
        </w:tc>
        <w:tc>
          <w:tcPr>
            <w:tcW w:w="3387" w:type="dxa"/>
            <w:gridSpan w:val="7"/>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 xml:space="preserve">    达到预期目标。完成便携式纳米孔测序仪等5台设备购置，有效提升了本单位菌种资源开发与应用方面的装备水平和科技创新能力，也提升了本单位</w:t>
            </w:r>
            <w:proofErr w:type="gramStart"/>
            <w:r>
              <w:rPr>
                <w:rFonts w:ascii="仿宋_GB2312" w:eastAsia="仿宋_GB2312" w:hAnsi="宋体" w:cs="宋体" w:hint="eastAsia"/>
                <w:kern w:val="0"/>
                <w:szCs w:val="21"/>
              </w:rPr>
              <w:t>对首农食品</w:t>
            </w:r>
            <w:proofErr w:type="gramEnd"/>
            <w:r>
              <w:rPr>
                <w:rFonts w:ascii="仿宋_GB2312" w:eastAsia="仿宋_GB2312" w:hAnsi="宋体" w:cs="宋体" w:hint="eastAsia"/>
                <w:kern w:val="0"/>
                <w:szCs w:val="21"/>
              </w:rPr>
              <w:t>集团和北京地区食品发酵技术和微生物检测技术的支撑能力。发表高水平科技论文2篇，获得授权专利4件，获得软件著作权3项，</w:t>
            </w:r>
            <w:proofErr w:type="gramStart"/>
            <w:r>
              <w:rPr>
                <w:rFonts w:ascii="仿宋_GB2312" w:eastAsia="仿宋_GB2312" w:hAnsi="宋体" w:cs="宋体" w:hint="eastAsia"/>
                <w:kern w:val="0"/>
                <w:szCs w:val="21"/>
              </w:rPr>
              <w:t>培养正</w:t>
            </w:r>
            <w:proofErr w:type="gramEnd"/>
            <w:r>
              <w:rPr>
                <w:rFonts w:ascii="仿宋_GB2312" w:eastAsia="仿宋_GB2312" w:hAnsi="宋体" w:cs="宋体" w:hint="eastAsia"/>
                <w:kern w:val="0"/>
                <w:szCs w:val="21"/>
              </w:rPr>
              <w:t>高级职称人员2人，副高级职称人员2人，中级职称2人。2021年产生经济效益1000万。</w:t>
            </w:r>
          </w:p>
        </w:tc>
      </w:tr>
      <w:tr w:rsidR="00041B10">
        <w:trPr>
          <w:trHeight w:hRule="exact" w:val="864"/>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246"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041B10">
        <w:trPr>
          <w:trHeight w:hRule="exact" w:val="45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购置</w:t>
            </w:r>
            <w:r>
              <w:rPr>
                <w:rFonts w:ascii="仿宋_GB2312" w:eastAsia="仿宋_GB2312" w:hAnsi="宋体" w:cs="宋体"/>
                <w:color w:val="000000"/>
                <w:kern w:val="0"/>
                <w:szCs w:val="21"/>
              </w:rPr>
              <w:t>仪器设备</w:t>
            </w:r>
            <w:r>
              <w:rPr>
                <w:rFonts w:ascii="仿宋_GB2312" w:eastAsia="仿宋_GB2312" w:hAnsi="宋体" w:cs="宋体" w:hint="eastAsia"/>
                <w:color w:val="000000"/>
                <w:kern w:val="0"/>
                <w:szCs w:val="21"/>
              </w:rPr>
              <w:t>数量</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5台</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5台</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66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保洁</w:t>
            </w:r>
            <w:r>
              <w:rPr>
                <w:rFonts w:ascii="仿宋_GB2312" w:eastAsia="仿宋_GB2312" w:hAnsi="宋体" w:cs="宋体"/>
                <w:color w:val="000000"/>
                <w:kern w:val="0"/>
                <w:szCs w:val="21"/>
              </w:rPr>
              <w:t>区域</w:t>
            </w:r>
            <w:r>
              <w:rPr>
                <w:rFonts w:ascii="仿宋_GB2312" w:eastAsia="仿宋_GB2312" w:hAnsi="宋体" w:cs="宋体" w:hint="eastAsia"/>
                <w:color w:val="000000"/>
                <w:kern w:val="0"/>
                <w:szCs w:val="21"/>
              </w:rPr>
              <w:t>卫生</w:t>
            </w:r>
            <w:r>
              <w:rPr>
                <w:rFonts w:ascii="仿宋_GB2312" w:eastAsia="仿宋_GB2312" w:hAnsi="宋体" w:cs="宋体"/>
                <w:color w:val="000000"/>
                <w:kern w:val="0"/>
                <w:szCs w:val="21"/>
              </w:rPr>
              <w:t>状况</w:t>
            </w:r>
            <w:r>
              <w:rPr>
                <w:rFonts w:ascii="仿宋_GB2312" w:eastAsia="仿宋_GB2312" w:hAnsi="宋体" w:cs="宋体" w:hint="eastAsia"/>
                <w:color w:val="000000"/>
                <w:kern w:val="0"/>
                <w:szCs w:val="21"/>
              </w:rPr>
              <w:t>良好率</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37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任务按时完成</w:t>
            </w:r>
            <w:r>
              <w:rPr>
                <w:rFonts w:ascii="仿宋_GB2312" w:eastAsia="仿宋_GB2312" w:hAnsi="宋体" w:cs="宋体"/>
                <w:color w:val="000000"/>
                <w:kern w:val="0"/>
                <w:szCs w:val="21"/>
              </w:rPr>
              <w:t>率</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58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w:t>
            </w:r>
            <w:r>
              <w:rPr>
                <w:rFonts w:ascii="仿宋_GB2312" w:eastAsia="仿宋_GB2312" w:hAnsi="宋体" w:cs="宋体"/>
                <w:color w:val="000000"/>
                <w:kern w:val="0"/>
                <w:szCs w:val="21"/>
              </w:rPr>
              <w:t>控制数</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450万元</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450万元</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2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52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2021年产生</w:t>
            </w:r>
            <w:r>
              <w:rPr>
                <w:rFonts w:ascii="仿宋_GB2312" w:eastAsia="仿宋_GB2312" w:hAnsi="宋体" w:cs="宋体"/>
                <w:color w:val="000000"/>
                <w:kern w:val="0"/>
                <w:szCs w:val="21"/>
              </w:rPr>
              <w:t>效益</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300万元</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300万元</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95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是否提升本单位菌种资源开发与应用技术储备及科技创新能力</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96</w:t>
            </w:r>
            <w:r>
              <w:rPr>
                <w:rFonts w:ascii="仿宋_GB2312" w:eastAsia="仿宋_GB2312" w:hAnsi="宋体" w:cs="宋体"/>
                <w:kern w:val="0"/>
                <w:szCs w:val="21"/>
              </w:rPr>
              <w:t>%</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Pr>
                <w:rFonts w:ascii="仿宋_GB2312" w:eastAsia="仿宋_GB2312" w:hAnsi="宋体" w:cs="宋体"/>
                <w:kern w:val="0"/>
                <w:szCs w:val="21"/>
              </w:rPr>
              <w:t>8</w:t>
            </w:r>
          </w:p>
        </w:tc>
        <w:tc>
          <w:tcPr>
            <w:tcW w:w="12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85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是否提升集团及相关企业食品质量安全过程控制技术水平</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96%</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4.8</w:t>
            </w:r>
          </w:p>
        </w:tc>
        <w:tc>
          <w:tcPr>
            <w:tcW w:w="12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w:t>
            </w:r>
          </w:p>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节能设施</w:t>
            </w:r>
            <w:r>
              <w:rPr>
                <w:rFonts w:ascii="仿宋_GB2312" w:eastAsia="仿宋_GB2312" w:hAnsi="宋体" w:cs="宋体"/>
                <w:color w:val="000000"/>
                <w:kern w:val="0"/>
                <w:szCs w:val="21"/>
              </w:rPr>
              <w:t>覆盖率</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2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38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环保</w:t>
            </w:r>
            <w:r>
              <w:rPr>
                <w:rFonts w:ascii="仿宋_GB2312" w:eastAsia="仿宋_GB2312" w:hAnsi="宋体" w:cs="宋体"/>
                <w:color w:val="000000"/>
                <w:kern w:val="0"/>
                <w:szCs w:val="21"/>
              </w:rPr>
              <w:t>措施</w:t>
            </w:r>
            <w:r>
              <w:rPr>
                <w:rFonts w:ascii="仿宋_GB2312" w:eastAsia="仿宋_GB2312" w:hAnsi="宋体" w:cs="宋体" w:hint="eastAsia"/>
                <w:color w:val="000000"/>
                <w:kern w:val="0"/>
                <w:szCs w:val="21"/>
              </w:rPr>
              <w:t>执行率</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2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49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对外</w:t>
            </w:r>
            <w:r>
              <w:rPr>
                <w:rFonts w:ascii="仿宋_GB2312" w:eastAsia="仿宋_GB2312" w:hAnsi="宋体" w:cs="宋体"/>
                <w:color w:val="000000"/>
                <w:kern w:val="0"/>
                <w:szCs w:val="21"/>
              </w:rPr>
              <w:t>服务能力</w:t>
            </w:r>
            <w:r>
              <w:rPr>
                <w:rFonts w:ascii="仿宋_GB2312" w:eastAsia="仿宋_GB2312" w:hAnsi="宋体" w:cs="宋体" w:hint="eastAsia"/>
                <w:color w:val="000000"/>
                <w:kern w:val="0"/>
                <w:szCs w:val="21"/>
              </w:rPr>
              <w:t>提升</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5%</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w:t>
            </w:r>
          </w:p>
        </w:tc>
        <w:tc>
          <w:tcPr>
            <w:tcW w:w="12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30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w:t>
            </w:r>
            <w:proofErr w:type="gramStart"/>
            <w:r>
              <w:rPr>
                <w:rFonts w:ascii="仿宋_GB2312" w:eastAsia="仿宋_GB2312" w:hAnsi="宋体" w:cs="宋体" w:hint="eastAsia"/>
                <w:kern w:val="0"/>
                <w:szCs w:val="21"/>
              </w:rPr>
              <w:t>满意度标</w:t>
            </w:r>
            <w:proofErr w:type="gramEnd"/>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政府</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r>
              <w:rPr>
                <w:rFonts w:ascii="仿宋_GB2312" w:eastAsia="仿宋_GB2312" w:hAnsi="宋体" w:cs="宋体"/>
                <w:kern w:val="0"/>
                <w:szCs w:val="21"/>
              </w:rPr>
              <w:t>%</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5.88</w:t>
            </w:r>
          </w:p>
        </w:tc>
        <w:tc>
          <w:tcPr>
            <w:tcW w:w="12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企业</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95%</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5.7</w:t>
            </w:r>
          </w:p>
        </w:tc>
        <w:tc>
          <w:tcPr>
            <w:tcW w:w="12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c>
          <w:tcPr>
            <w:tcW w:w="2150" w:type="dxa"/>
            <w:gridSpan w:val="3"/>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color w:val="000000"/>
                <w:kern w:val="0"/>
                <w:szCs w:val="21"/>
              </w:rPr>
              <w:t>消费者</w:t>
            </w:r>
          </w:p>
        </w:tc>
        <w:tc>
          <w:tcPr>
            <w:tcW w:w="836"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848" w:type="dxa"/>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2%</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.52</w:t>
            </w:r>
          </w:p>
        </w:tc>
        <w:tc>
          <w:tcPr>
            <w:tcW w:w="1246" w:type="dxa"/>
            <w:gridSpan w:val="2"/>
            <w:tcBorders>
              <w:top w:val="single" w:sz="4" w:space="0" w:color="auto"/>
              <w:left w:val="nil"/>
              <w:bottom w:val="single" w:sz="4" w:space="0" w:color="auto"/>
              <w:right w:val="single" w:sz="4" w:space="0" w:color="auto"/>
            </w:tcBorders>
            <w:vAlign w:val="center"/>
          </w:tcPr>
          <w:p w:rsidR="00041B10" w:rsidRDefault="00041B10">
            <w:pPr>
              <w:widowControl/>
              <w:spacing w:line="240" w:lineRule="exact"/>
              <w:jc w:val="center"/>
              <w:rPr>
                <w:rFonts w:ascii="仿宋_GB2312" w:eastAsia="仿宋_GB2312" w:hAnsi="宋体" w:cs="宋体"/>
                <w:kern w:val="0"/>
                <w:szCs w:val="21"/>
              </w:rPr>
            </w:pPr>
          </w:p>
        </w:tc>
      </w:tr>
      <w:tr w:rsidR="00041B10">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84"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709"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98.2</w:t>
            </w:r>
          </w:p>
        </w:tc>
        <w:tc>
          <w:tcPr>
            <w:tcW w:w="1246" w:type="dxa"/>
            <w:gridSpan w:val="2"/>
            <w:tcBorders>
              <w:top w:val="single" w:sz="4" w:space="0" w:color="auto"/>
              <w:left w:val="nil"/>
              <w:bottom w:val="single" w:sz="4" w:space="0" w:color="auto"/>
              <w:right w:val="single" w:sz="4" w:space="0" w:color="auto"/>
            </w:tcBorders>
            <w:vAlign w:val="center"/>
          </w:tcPr>
          <w:p w:rsidR="00041B10" w:rsidRDefault="004631B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r>
    </w:tbl>
    <w:p w:rsidR="00041B10" w:rsidRDefault="00041B10">
      <w:pPr>
        <w:rPr>
          <w:rFonts w:ascii="仿宋_GB2312" w:eastAsia="仿宋_GB2312"/>
          <w:vanish/>
          <w:sz w:val="32"/>
          <w:szCs w:val="32"/>
        </w:rPr>
      </w:pPr>
    </w:p>
    <w:p w:rsidR="00041B10" w:rsidRDefault="00041B10">
      <w:pPr>
        <w:widowControl/>
        <w:jc w:val="left"/>
        <w:rPr>
          <w:rFonts w:ascii="仿宋_GB2312" w:eastAsia="仿宋_GB2312" w:hAnsi="宋体" w:cs="宋体"/>
          <w:color w:val="000000"/>
          <w:kern w:val="0"/>
          <w:sz w:val="32"/>
          <w:szCs w:val="32"/>
        </w:rPr>
      </w:pPr>
    </w:p>
    <w:sectPr w:rsidR="00041B10" w:rsidSect="00511CC4">
      <w:footerReference w:type="default" r:id="rId9"/>
      <w:pgSz w:w="11906" w:h="16838"/>
      <w:pgMar w:top="1871" w:right="1474" w:bottom="1418" w:left="1531"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1F4" w:rsidRDefault="003631F4">
      <w:r>
        <w:separator/>
      </w:r>
    </w:p>
  </w:endnote>
  <w:endnote w:type="continuationSeparator" w:id="0">
    <w:p w:rsidR="003631F4" w:rsidRDefault="0036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B10" w:rsidRDefault="004631B1">
    <w:pPr>
      <w:pStyle w:val="a5"/>
      <w:jc w:val="right"/>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14:anchorId="517245D4" wp14:editId="27EDA7B0">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41B10" w:rsidRDefault="004631B1">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47F90" w:rsidRPr="00C47F90">
                            <w:rPr>
                              <w:rFonts w:ascii="宋体" w:hAnsi="宋体"/>
                              <w:noProof/>
                              <w:sz w:val="28"/>
                              <w:szCs w:val="28"/>
                              <w:lang w:val="zh-CN"/>
                            </w:rPr>
                            <w:t>-</w:t>
                          </w:r>
                          <w:r w:rsidR="00C47F90">
                            <w:rPr>
                              <w:rFonts w:ascii="宋体" w:hAnsi="宋体"/>
                              <w:noProof/>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041B10" w:rsidRDefault="004631B1">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47F90" w:rsidRPr="00C47F90">
                      <w:rPr>
                        <w:rFonts w:ascii="宋体" w:hAnsi="宋体"/>
                        <w:noProof/>
                        <w:sz w:val="28"/>
                        <w:szCs w:val="28"/>
                        <w:lang w:val="zh-CN"/>
                      </w:rPr>
                      <w:t>-</w:t>
                    </w:r>
                    <w:r w:rsidR="00C47F90">
                      <w:rPr>
                        <w:rFonts w:ascii="宋体" w:hAnsi="宋体"/>
                        <w:noProof/>
                        <w:sz w:val="28"/>
                        <w:szCs w:val="28"/>
                      </w:rPr>
                      <w:t xml:space="preserve"> 2 -</w:t>
                    </w:r>
                    <w:r>
                      <w:rPr>
                        <w:rFonts w:ascii="宋体" w:hAnsi="宋体"/>
                        <w:sz w:val="28"/>
                        <w:szCs w:val="28"/>
                      </w:rPr>
                      <w:fldChar w:fldCharType="end"/>
                    </w:r>
                  </w:p>
                </w:txbxContent>
              </v:textbox>
              <w10:wrap anchorx="margin"/>
            </v:shape>
          </w:pict>
        </mc:Fallback>
      </mc:AlternateContent>
    </w:r>
  </w:p>
  <w:p w:rsidR="00041B10" w:rsidRDefault="00041B1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1F4" w:rsidRDefault="003631F4">
      <w:r>
        <w:separator/>
      </w:r>
    </w:p>
  </w:footnote>
  <w:footnote w:type="continuationSeparator" w:id="0">
    <w:p w:rsidR="003631F4" w:rsidRDefault="003631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CEFD3F3D"/>
    <w:rsid w:val="EA3F77F2"/>
    <w:rsid w:val="EEFE5989"/>
    <w:rsid w:val="EFCF3EAE"/>
    <w:rsid w:val="F5B764A2"/>
    <w:rsid w:val="F77F09F4"/>
    <w:rsid w:val="FFD7BFFC"/>
    <w:rsid w:val="FFFA6B0F"/>
    <w:rsid w:val="00041B10"/>
    <w:rsid w:val="00057A2A"/>
    <w:rsid w:val="001405B8"/>
    <w:rsid w:val="001850A8"/>
    <w:rsid w:val="001D711E"/>
    <w:rsid w:val="001E71CC"/>
    <w:rsid w:val="002352BB"/>
    <w:rsid w:val="00253859"/>
    <w:rsid w:val="002557A3"/>
    <w:rsid w:val="00271360"/>
    <w:rsid w:val="0028537D"/>
    <w:rsid w:val="002D5CE4"/>
    <w:rsid w:val="00334846"/>
    <w:rsid w:val="0035593A"/>
    <w:rsid w:val="0036050D"/>
    <w:rsid w:val="003631F4"/>
    <w:rsid w:val="00393559"/>
    <w:rsid w:val="003D4331"/>
    <w:rsid w:val="00411A3E"/>
    <w:rsid w:val="00413065"/>
    <w:rsid w:val="004562EA"/>
    <w:rsid w:val="0046098A"/>
    <w:rsid w:val="004631B1"/>
    <w:rsid w:val="00483C45"/>
    <w:rsid w:val="005019FD"/>
    <w:rsid w:val="00507759"/>
    <w:rsid w:val="00511CC4"/>
    <w:rsid w:val="005513AD"/>
    <w:rsid w:val="00556616"/>
    <w:rsid w:val="00556D16"/>
    <w:rsid w:val="005B13B7"/>
    <w:rsid w:val="005C4581"/>
    <w:rsid w:val="005F6A30"/>
    <w:rsid w:val="0066685D"/>
    <w:rsid w:val="006707D4"/>
    <w:rsid w:val="006779A9"/>
    <w:rsid w:val="006B119A"/>
    <w:rsid w:val="006D1D33"/>
    <w:rsid w:val="00737565"/>
    <w:rsid w:val="00761021"/>
    <w:rsid w:val="007629C3"/>
    <w:rsid w:val="00793038"/>
    <w:rsid w:val="0086146D"/>
    <w:rsid w:val="00862692"/>
    <w:rsid w:val="008834D9"/>
    <w:rsid w:val="00883941"/>
    <w:rsid w:val="00887D47"/>
    <w:rsid w:val="00892551"/>
    <w:rsid w:val="00894D3E"/>
    <w:rsid w:val="008E78D9"/>
    <w:rsid w:val="008F0406"/>
    <w:rsid w:val="00916001"/>
    <w:rsid w:val="00A11229"/>
    <w:rsid w:val="00A45078"/>
    <w:rsid w:val="00AA7F90"/>
    <w:rsid w:val="00AB111B"/>
    <w:rsid w:val="00AB2E8D"/>
    <w:rsid w:val="00AB7070"/>
    <w:rsid w:val="00AB72B6"/>
    <w:rsid w:val="00AE4EB8"/>
    <w:rsid w:val="00B21BC1"/>
    <w:rsid w:val="00B33CD3"/>
    <w:rsid w:val="00B72191"/>
    <w:rsid w:val="00B7728A"/>
    <w:rsid w:val="00BC41DB"/>
    <w:rsid w:val="00BC73B3"/>
    <w:rsid w:val="00BD54F9"/>
    <w:rsid w:val="00C15F34"/>
    <w:rsid w:val="00C34492"/>
    <w:rsid w:val="00C410C8"/>
    <w:rsid w:val="00C447D3"/>
    <w:rsid w:val="00C47F90"/>
    <w:rsid w:val="00C514F6"/>
    <w:rsid w:val="00CA0AC0"/>
    <w:rsid w:val="00CA543D"/>
    <w:rsid w:val="00CA5D50"/>
    <w:rsid w:val="00CD7EEE"/>
    <w:rsid w:val="00D07F92"/>
    <w:rsid w:val="00D12BA9"/>
    <w:rsid w:val="00D6564E"/>
    <w:rsid w:val="00D713A3"/>
    <w:rsid w:val="00DA0F2E"/>
    <w:rsid w:val="00DB292F"/>
    <w:rsid w:val="00DB7E86"/>
    <w:rsid w:val="00DF0CAE"/>
    <w:rsid w:val="00E066B4"/>
    <w:rsid w:val="00F2217C"/>
    <w:rsid w:val="00F93A0C"/>
    <w:rsid w:val="00FD1398"/>
    <w:rsid w:val="00FE67F1"/>
    <w:rsid w:val="0D8256A8"/>
    <w:rsid w:val="132C0590"/>
    <w:rsid w:val="168E50BE"/>
    <w:rsid w:val="1F3B5DFC"/>
    <w:rsid w:val="20AA51EA"/>
    <w:rsid w:val="2E3E3FAA"/>
    <w:rsid w:val="2E6764C9"/>
    <w:rsid w:val="2EFF2BA5"/>
    <w:rsid w:val="37173543"/>
    <w:rsid w:val="379540A7"/>
    <w:rsid w:val="38804D57"/>
    <w:rsid w:val="3FF76880"/>
    <w:rsid w:val="45AF7C5C"/>
    <w:rsid w:val="4D1F6494"/>
    <w:rsid w:val="4EC05A55"/>
    <w:rsid w:val="50A43C01"/>
    <w:rsid w:val="545F21A9"/>
    <w:rsid w:val="584A6390"/>
    <w:rsid w:val="58847AF3"/>
    <w:rsid w:val="5FF4730D"/>
    <w:rsid w:val="665C20B0"/>
    <w:rsid w:val="666B40A1"/>
    <w:rsid w:val="6BEE7306"/>
    <w:rsid w:val="6D0B213A"/>
    <w:rsid w:val="6FA65ECF"/>
    <w:rsid w:val="784F55D0"/>
    <w:rsid w:val="7AB7FF50"/>
    <w:rsid w:val="7BFEB0DB"/>
    <w:rsid w:val="7E9C2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uiPriority="99"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rPr>
      <w:rFonts w:asciiTheme="minorHAnsi" w:eastAsiaTheme="minorEastAsia" w:hAnsiTheme="minorHAnsi" w:cstheme="minorBidi"/>
      <w:szCs w:val="22"/>
    </w:rPr>
  </w:style>
  <w:style w:type="paragraph" w:styleId="a4">
    <w:name w:val="Balloon Text"/>
    <w:basedOn w:val="a"/>
    <w:link w:val="Char0"/>
    <w:qFormat/>
    <w:rPr>
      <w:sz w:val="18"/>
      <w:szCs w:val="18"/>
    </w:rPr>
  </w:style>
  <w:style w:type="paragraph" w:styleId="a5">
    <w:name w:val="footer"/>
    <w:basedOn w:val="a"/>
    <w:uiPriority w:val="99"/>
    <w:qFormat/>
    <w:pPr>
      <w:tabs>
        <w:tab w:val="center" w:pos="4153"/>
        <w:tab w:val="right" w:pos="8306"/>
      </w:tabs>
      <w:snapToGrid w:val="0"/>
      <w:jc w:val="left"/>
    </w:pPr>
    <w:rPr>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annotation subject"/>
    <w:basedOn w:val="a3"/>
    <w:next w:val="a3"/>
    <w:link w:val="Char1"/>
    <w:qFormat/>
    <w:rPr>
      <w:rFonts w:ascii="Times New Roman" w:eastAsia="宋体" w:hAnsi="Times New Roman" w:cs="Times New Roman"/>
      <w:b/>
      <w:bCs/>
      <w:szCs w:val="24"/>
    </w:rPr>
  </w:style>
  <w:style w:type="character" w:styleId="a8">
    <w:name w:val="annotation reference"/>
    <w:basedOn w:val="a0"/>
    <w:uiPriority w:val="99"/>
    <w:unhideWhenUsed/>
    <w:qFormat/>
    <w:rPr>
      <w:sz w:val="21"/>
      <w:szCs w:val="21"/>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Char">
    <w:name w:val="批注文字 Char"/>
    <w:basedOn w:val="a0"/>
    <w:link w:val="a3"/>
    <w:uiPriority w:val="99"/>
    <w:qFormat/>
    <w:rPr>
      <w:kern w:val="2"/>
      <w:sz w:val="21"/>
      <w:szCs w:val="22"/>
    </w:rPr>
  </w:style>
  <w:style w:type="character" w:customStyle="1" w:styleId="Char0">
    <w:name w:val="批注框文本 Char"/>
    <w:basedOn w:val="a0"/>
    <w:link w:val="a4"/>
    <w:qFormat/>
    <w:rPr>
      <w:rFonts w:ascii="Times New Roman" w:eastAsia="宋体" w:hAnsi="Times New Roman" w:cs="Times New Roman"/>
      <w:kern w:val="2"/>
      <w:sz w:val="18"/>
      <w:szCs w:val="18"/>
    </w:rPr>
  </w:style>
  <w:style w:type="character" w:customStyle="1" w:styleId="Char1">
    <w:name w:val="批注主题 Char"/>
    <w:basedOn w:val="Char"/>
    <w:link w:val="a7"/>
    <w:qFormat/>
    <w:rPr>
      <w:rFonts w:ascii="Times New Roman" w:eastAsia="宋体" w:hAnsi="Times New Roman" w:cs="Times New Roman"/>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uiPriority="99"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rPr>
      <w:rFonts w:asciiTheme="minorHAnsi" w:eastAsiaTheme="minorEastAsia" w:hAnsiTheme="minorHAnsi" w:cstheme="minorBidi"/>
      <w:szCs w:val="22"/>
    </w:rPr>
  </w:style>
  <w:style w:type="paragraph" w:styleId="a4">
    <w:name w:val="Balloon Text"/>
    <w:basedOn w:val="a"/>
    <w:link w:val="Char0"/>
    <w:qFormat/>
    <w:rPr>
      <w:sz w:val="18"/>
      <w:szCs w:val="18"/>
    </w:rPr>
  </w:style>
  <w:style w:type="paragraph" w:styleId="a5">
    <w:name w:val="footer"/>
    <w:basedOn w:val="a"/>
    <w:uiPriority w:val="99"/>
    <w:qFormat/>
    <w:pPr>
      <w:tabs>
        <w:tab w:val="center" w:pos="4153"/>
        <w:tab w:val="right" w:pos="8306"/>
      </w:tabs>
      <w:snapToGrid w:val="0"/>
      <w:jc w:val="left"/>
    </w:pPr>
    <w:rPr>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annotation subject"/>
    <w:basedOn w:val="a3"/>
    <w:next w:val="a3"/>
    <w:link w:val="Char1"/>
    <w:qFormat/>
    <w:rPr>
      <w:rFonts w:ascii="Times New Roman" w:eastAsia="宋体" w:hAnsi="Times New Roman" w:cs="Times New Roman"/>
      <w:b/>
      <w:bCs/>
      <w:szCs w:val="24"/>
    </w:rPr>
  </w:style>
  <w:style w:type="character" w:styleId="a8">
    <w:name w:val="annotation reference"/>
    <w:basedOn w:val="a0"/>
    <w:uiPriority w:val="99"/>
    <w:unhideWhenUsed/>
    <w:qFormat/>
    <w:rPr>
      <w:sz w:val="21"/>
      <w:szCs w:val="21"/>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Char">
    <w:name w:val="批注文字 Char"/>
    <w:basedOn w:val="a0"/>
    <w:link w:val="a3"/>
    <w:uiPriority w:val="99"/>
    <w:qFormat/>
    <w:rPr>
      <w:kern w:val="2"/>
      <w:sz w:val="21"/>
      <w:szCs w:val="22"/>
    </w:rPr>
  </w:style>
  <w:style w:type="character" w:customStyle="1" w:styleId="Char0">
    <w:name w:val="批注框文本 Char"/>
    <w:basedOn w:val="a0"/>
    <w:link w:val="a4"/>
    <w:qFormat/>
    <w:rPr>
      <w:rFonts w:ascii="Times New Roman" w:eastAsia="宋体" w:hAnsi="Times New Roman" w:cs="Times New Roman"/>
      <w:kern w:val="2"/>
      <w:sz w:val="18"/>
      <w:szCs w:val="18"/>
    </w:rPr>
  </w:style>
  <w:style w:type="character" w:customStyle="1" w:styleId="Char1">
    <w:name w:val="批注主题 Char"/>
    <w:basedOn w:val="Char"/>
    <w:link w:val="a7"/>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320ED4-7534-41BB-A22E-0B68AC178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185</Words>
  <Characters>1060</Characters>
  <Application>Microsoft Office Word</Application>
  <DocSecurity>0</DocSecurity>
  <Lines>8</Lines>
  <Paragraphs>2</Paragraphs>
  <ScaleCrop>false</ScaleCrop>
  <Company/>
  <LinksUpToDate>false</LinksUpToDate>
  <CharactersWithSpaces>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陈杰</cp:lastModifiedBy>
  <cp:revision>7</cp:revision>
  <cp:lastPrinted>2022-03-24T10:01:00Z</cp:lastPrinted>
  <dcterms:created xsi:type="dcterms:W3CDTF">2022-04-13T02:00:00Z</dcterms:created>
  <dcterms:modified xsi:type="dcterms:W3CDTF">2022-06-07T05:46:00Z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616FFE8EBB4F46FF9D1D30E13286F0F5</vt:lpwstr>
  </property>
</Properties>
</file>