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center"/>
        <w:textAlignment w:val="auto"/>
        <w:rPr>
          <w:rFonts w:hint="eastAsia" w:ascii="黑体" w:eastAsia="黑体"/>
          <w:sz w:val="28"/>
          <w:szCs w:val="28"/>
          <w:highlight w:val="none"/>
        </w:rPr>
      </w:pPr>
      <w:r>
        <w:rPr>
          <w:rFonts w:hint="eastAsia" w:ascii="黑体" w:eastAsia="黑体"/>
          <w:sz w:val="28"/>
          <w:szCs w:val="28"/>
          <w:highlight w:val="none"/>
        </w:rPr>
        <w:t>项目</w:t>
      </w:r>
      <w:r>
        <w:rPr>
          <w:rFonts w:hint="eastAsia" w:ascii="黑体" w:eastAsia="黑体"/>
          <w:sz w:val="28"/>
          <w:szCs w:val="28"/>
          <w:highlight w:val="none"/>
          <w:lang w:eastAsia="zh-CN"/>
        </w:rPr>
        <w:t>支出</w:t>
      </w:r>
      <w:r>
        <w:rPr>
          <w:rFonts w:hint="eastAsia" w:ascii="黑体" w:eastAsia="黑体"/>
          <w:sz w:val="28"/>
          <w:szCs w:val="28"/>
          <w:highlight w:val="none"/>
        </w:rPr>
        <w:t>绩效评价报告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（一）</w:t>
      </w:r>
      <w:r>
        <w:rPr>
          <w:rFonts w:hint="eastAsia" w:ascii="仿宋_GB2312" w:hAnsi="仿宋_GB2312" w:eastAsia="仿宋_GB2312" w:cs="仿宋_GB2312"/>
          <w:sz w:val="28"/>
          <w:szCs w:val="28"/>
        </w:rPr>
        <w:t>基本情况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项目概况。包括项目背景、主要内容及实施情况、资金投入和使用情况等。</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项目背景</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落实中共中央办公厅、国务院办公厅《关于完善矛盾纠纷多元化解机制的意见》的精神及最高法院《关于人民法院进一步深化多元化纠纷解决机制改革的意见》、《关于人民法院特邀调解的规定》的要求，巩固和扩大北京法院多元化纠纷解决机制优势，开创分调裁工作新格局，为当事人提供更加高效、便捷的纠纷解决环境，怀柔法院整合立案庭、速裁庭和诉服办组建了审判管理的“大前端”，形成了“多元调解+速裁”的创新工作机制。该机制旨在为群众提供“一站式”服务，有助于减少当事人往返的诉讼成本，实现人性化、便捷化的诉讼体验。</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随着该项工作的不断推进，诉调对接工作需求与诉调对接场所不足之间的矛盾日益显现，成为制约这项工作可持续深入发展的重要因素。一是调解场所不足制约了调解工作的开展。二是人民调解员难以进驻法院，诉调对接成效受到限制。三是行业性专业性调解组织分散，制约了调解案件导出。北京多元调解发展促进会有72家成员单位，但因法院办公场所紧张，绝大多数行业性专业性调解组织不能派人进驻法院进行调解工作，极大影响了专业性类型化纠纷的导出。当事人因不愿往返法院和调解组织之间选择放弃多元调解，法院与调解组织之间交接案件也十分不便。</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项目主要内容</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租赁房屋1层为立案服务区域，2-4层为诉前调解及审判区域。</w:t>
      </w:r>
    </w:p>
    <w:p>
      <w:pPr>
        <w:pStyle w:val="2"/>
        <w:numPr>
          <w:ilvl w:val="0"/>
          <w:numId w:val="1"/>
        </w:numP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项目实施</w:t>
      </w:r>
      <w:r>
        <w:rPr>
          <w:rFonts w:hint="eastAsia" w:ascii="仿宋_GB2312" w:hAnsi="仿宋_GB2312" w:eastAsia="仿宋_GB2312" w:cs="仿宋_GB2312"/>
          <w:sz w:val="28"/>
          <w:szCs w:val="28"/>
          <w:lang w:eastAsia="zh-CN"/>
        </w:rPr>
        <w:t>情况</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“诉调对接中心租金”项目批复预算资金为260.4万元，均为诉调对接中心租金。项目实际支出260.4万元，预算执行率100.00%。</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“诉调对接中心租金”项目由北京市怀柔区人民法院具体实施。</w:t>
      </w:r>
    </w:p>
    <w:p>
      <w:pPr>
        <w:pStyle w:val="2"/>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资金投入和使用情况</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“诉调对接中心租金”项目2021年财政预算资金260.4万元，实际支出资金260.4万元，本年支出进度100.00%。</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项目绩效目标。包括总体目标和阶段性目标。</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w:t>
      </w:r>
      <w:r>
        <w:rPr>
          <w:rFonts w:hint="eastAsia" w:ascii="仿宋_GB2312" w:hAnsi="仿宋_GB2312" w:eastAsia="仿宋_GB2312" w:cs="仿宋_GB2312"/>
          <w:sz w:val="28"/>
          <w:szCs w:val="28"/>
        </w:rPr>
        <w:t>绩效评价工作开展情况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绩效评价目的、对象和范围。</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评价目的</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绩效评价，全面、客观反映并科学评价项目的工作成效，对预算管理执行过程中存在的不足提出合理化建议，强化支出责任，使预算管理更加科学、完善，进而规范资金的使用管理，提高资金使用效益和效率。</w:t>
      </w:r>
    </w:p>
    <w:p>
      <w:pPr>
        <w:pStyle w:val="2"/>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评价对象</w:t>
      </w:r>
    </w:p>
    <w:p>
      <w:pPr>
        <w:pStyle w:val="2"/>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北京市怀柔区人民法院诉调对接中心租金项目。</w:t>
      </w:r>
    </w:p>
    <w:p>
      <w:pPr>
        <w:pStyle w:val="2"/>
        <w:rPr>
          <w:rFonts w:hint="eastAsia" w:ascii="仿宋_GB2312" w:hAnsi="仿宋_GB2312" w:eastAsia="仿宋_GB2312" w:cs="仿宋_GB2312"/>
          <w:sz w:val="28"/>
          <w:szCs w:val="28"/>
          <w:lang w:eastAsia="zh-CN"/>
        </w:rPr>
      </w:pPr>
    </w:p>
    <w:p>
      <w:pPr>
        <w:pStyle w:val="2"/>
        <w:rPr>
          <w:rFonts w:hint="eastAsia" w:ascii="仿宋_GB2312" w:hAnsi="仿宋_GB2312" w:eastAsia="仿宋_GB2312" w:cs="仿宋_GB2312"/>
          <w:sz w:val="28"/>
          <w:szCs w:val="28"/>
          <w:lang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绩效评价原则、评价指标体系、评价方法、评价标准等。</w:t>
      </w:r>
    </w:p>
    <w:p>
      <w:pPr>
        <w:pStyle w:val="2"/>
        <w:numPr>
          <w:ilvl w:val="0"/>
          <w:numId w:val="0"/>
        </w:numPr>
        <w:ind w:firstLine="280" w:firstLineChars="1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w:t>
      </w:r>
      <w:r>
        <w:rPr>
          <w:rFonts w:hint="eastAsia" w:ascii="仿宋_GB2312" w:hAnsi="仿宋_GB2312" w:eastAsia="仿宋_GB2312" w:cs="仿宋_GB2312"/>
          <w:sz w:val="28"/>
          <w:szCs w:val="28"/>
        </w:rPr>
        <w:t>绩效</w:t>
      </w:r>
      <w:r>
        <w:rPr>
          <w:rFonts w:hint="eastAsia" w:ascii="仿宋_GB2312" w:hAnsi="仿宋_GB2312" w:eastAsia="仿宋_GB2312" w:cs="仿宋_GB2312"/>
          <w:kern w:val="2"/>
          <w:sz w:val="28"/>
          <w:szCs w:val="28"/>
          <w:lang w:val="en-US" w:eastAsia="zh-CN" w:bidi="ar-SA"/>
        </w:rPr>
        <w:t>评价原则</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本次绩效评价工作遵循“科学规范原则、公正公开原则、分级分类原则、绩效相关原则”。</w:t>
      </w:r>
    </w:p>
    <w:p>
      <w:pPr>
        <w:pStyle w:val="2"/>
        <w:numPr>
          <w:ilvl w:val="0"/>
          <w:numId w:val="0"/>
        </w:numPr>
        <w:ind w:firstLine="280" w:firstLineChars="1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（2）评价方法</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主要采用成本效益分析法、比较法、因素分析法、最低成本法、公共评判法等。我们遵循简便有效的原则，根据评价对象的具体情况，采用成本效益分析法、比较法、因素分析法、最低成本法进行绩效评价。</w:t>
      </w:r>
    </w:p>
    <w:p>
      <w:pPr>
        <w:pStyle w:val="2"/>
        <w:numPr>
          <w:ilvl w:val="0"/>
          <w:numId w:val="0"/>
        </w:numPr>
        <w:ind w:firstLine="280" w:firstLineChars="1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（3）指标体系说明（附表详见评分表）</w:t>
      </w:r>
      <w:bookmarkStart w:id="0" w:name="_GoBack"/>
      <w:bookmarkEnd w:id="0"/>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考评指标体系是参照“项目指标体系（范本）”的基础上，结合项目特点，增设了三级指标和四级指标。在项目决策的指标下增设项目目标是否已明确落实、项目目标是否能够实现、项目制定了规范的程序、项目与本单位职能的相符性、项目是否符合区域发展规划、项目可行性研究开展情况、审批程序履行情况、风险预测和防范情况八个四级指标，以反应项目的绩效目标及决策过程情况；在项目管理指标下增设预算编制的准确、预算执行与预算编制是否相符、预算是否有合理执行计划、项目单位向资金使用单位拨付资金是否足额及时、资金到位率、财务管理制度的健全性、会计核算制度的合法完整、财务管理制度执行的有效性、财务管理制度监督情况、财务资料是否完整规范性、项目单位是否成立工作领导小组、项目单位是否建立相应工作机构、项目单位是否制定实施方案、项目单位是否落实专人负责、项目单位内部制度的制定情况、项目单位内部制度的执行情况、项目分工是否合理和责任是否明确、所有项目是否严格按相关文件执行、项目管理是否规范和有效十九个四级指标，以反应项目资金及项目实施的情况；在项目绩效指标下增设项目按计划完成比率、项目产出数量是否达到绩效目标、项目产出实效是否达到绩效目标、项目全年结算总价和目标成本比例、项目的实施对社会影响力的影响、项目对公共主页的影响、项目的实施对网上办案影响、项目的实施对便捷群众的影响、项目实施政策和服务效果的满意程度十个四级指标，以反应项目的产出及效果情况。</w:t>
      </w:r>
    </w:p>
    <w:p>
      <w:pPr>
        <w:pStyle w:val="2"/>
        <w:numPr>
          <w:ilvl w:val="0"/>
          <w:numId w:val="0"/>
        </w:numPr>
        <w:ind w:firstLine="280" w:firstLineChars="1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（4）评价标准</w:t>
      </w:r>
    </w:p>
    <w:p>
      <w:pPr>
        <w:pStyle w:val="2"/>
        <w:numPr>
          <w:ilvl w:val="0"/>
          <w:numId w:val="0"/>
        </w:numPr>
        <w:ind w:firstLine="560" w:firstLineChars="200"/>
        <w:rPr>
          <w:rFonts w:hint="eastAsia"/>
        </w:rPr>
      </w:pPr>
      <w:r>
        <w:rPr>
          <w:rFonts w:hint="eastAsia" w:ascii="仿宋_GB2312" w:hAnsi="仿宋_GB2312" w:eastAsia="仿宋_GB2312" w:cs="仿宋_GB2312"/>
          <w:kern w:val="2"/>
          <w:sz w:val="28"/>
          <w:szCs w:val="28"/>
          <w:lang w:val="en-US" w:eastAsia="zh-CN" w:bidi="ar-SA"/>
        </w:rPr>
        <w:t>绩效评价级别评定结论分为优秀、良好、一般和较差四个档次，其中综合得分在90分（含90分）以上，绩效级别评定为优秀；综合得分在75分-90分（含75分），绩效级别评定为良好；综合得分在60分-75分（含60分），绩效级别评定为一般；综合得分在60分以下，绩效级别评定为较差。</w:t>
      </w:r>
    </w:p>
    <w:p>
      <w:pPr>
        <w:pStyle w:val="2"/>
        <w:numPr>
          <w:ilvl w:val="0"/>
          <w:numId w:val="0"/>
        </w:numPr>
        <w:rPr>
          <w:rFonts w:hint="eastAsia"/>
        </w:rPr>
      </w:pPr>
    </w:p>
    <w:p>
      <w:pPr>
        <w:keepNext w:val="0"/>
        <w:keepLines w:val="0"/>
        <w:pageBreakBefore w:val="0"/>
        <w:widowControl w:val="0"/>
        <w:numPr>
          <w:ilvl w:val="0"/>
          <w:numId w:val="2"/>
        </w:numPr>
        <w:kinsoku/>
        <w:wordWrap/>
        <w:overflowPunct/>
        <w:topLinePunct w:val="0"/>
        <w:autoSpaceDE/>
        <w:autoSpaceDN/>
        <w:bidi w:val="0"/>
        <w:adjustRightInd/>
        <w:snapToGrid/>
        <w:spacing w:line="580" w:lineRule="exact"/>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绩效评价工作过程。</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（1）前期准备情况</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项目评价工作组根据北京市怀柔区人民法院和北京真诚会计师事务所有限公司签订的合同内容要求，拟定项目绩效考评需要准备的资料清单及项目单位需要书写的自评报告模板， 2022年4月25日组织项目单位召开绩效考评工作现场布置会，讲述绩效考评工作开展的流程及注意事项，并就考评指标体系及要点向项目单位进行详细讲解，印发并详细讲解绩效考评资料清单及自评报告模板。</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（2）现场核查情况</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是了解绩效目标设立及完成情况。评价工作组通过查阅北京市相关政策文件以及北京市怀柔区人民法院2021年度项目申报文本等资料，了解预期绩效目标设立情况，并将反映项目完成结果的相关材料与各项预期绩效目标进行比对，评价项目绩效目标完成情况。</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二是了解项目效益实现情况。在社会效益方面，主要是通过查阅相关文件以及相关数据统计资料，对项目的社会效益和可持续性进行分析。</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（3）资料信息汇总</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三是评价工作组根据项目实际情况，遴选相关管理专家、财政财务专家和业务专家，组成专家评价工作组。评价工作组与评价对象充分、多次沟通的基础上，陆续搜集和整理与项目相关的资料并确认资料是否齐备。在此基础上，汇总分析评价资料并装订成专家考评手册，供专家审阅评议。</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（4）评价分析</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汉仪书宋二S" w:hAnsi="汉仪书宋二S" w:eastAsia="汉仪书宋二S" w:cs="汉仪书宋二S"/>
          <w:kern w:val="2"/>
          <w:sz w:val="28"/>
          <w:szCs w:val="28"/>
          <w:lang w:val="en-US" w:eastAsia="zh-CN" w:bidi="ar-SA"/>
        </w:rPr>
        <w:t>①</w:t>
      </w:r>
      <w:r>
        <w:rPr>
          <w:rFonts w:hint="eastAsia" w:ascii="仿宋_GB2312" w:hAnsi="仿宋_GB2312" w:eastAsia="仿宋_GB2312" w:cs="仿宋_GB2312"/>
          <w:kern w:val="2"/>
          <w:sz w:val="28"/>
          <w:szCs w:val="28"/>
          <w:lang w:val="en-US" w:eastAsia="zh-CN" w:bidi="ar-SA"/>
        </w:rPr>
        <w:t>制定指标体系</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结合项目情况，细化指标体系。充分听取专家、项目单位的意见，确定绩效指标体系最终内容。</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东文宋体" w:hAnsi="东文宋体" w:eastAsia="东文宋体" w:cs="东文宋体"/>
          <w:kern w:val="2"/>
          <w:sz w:val="28"/>
          <w:szCs w:val="28"/>
          <w:lang w:val="en-US" w:eastAsia="zh-CN" w:bidi="ar-SA"/>
        </w:rPr>
        <w:t>②</w:t>
      </w:r>
      <w:r>
        <w:rPr>
          <w:rFonts w:hint="eastAsia" w:ascii="仿宋_GB2312" w:hAnsi="仿宋_GB2312" w:eastAsia="仿宋_GB2312" w:cs="仿宋_GB2312"/>
          <w:kern w:val="2"/>
          <w:sz w:val="28"/>
          <w:szCs w:val="28"/>
          <w:lang w:val="en-US" w:eastAsia="zh-CN" w:bidi="ar-SA"/>
        </w:rPr>
        <w:t>召开专家评价会</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因受新型冠状病毒反弹的影响，对该项目的绩效评价工作由以往的现场改为以视频会议形式组织召开。评价工作组收集项目所需资料完成前期准备工作后于2021年5月11日上午召开专家预备会，会后及时将专家提出的问题与项目单位进行沟通。评价工作组于2021年5月13日上午组织召开了项目专家评价会，专家组对项目的绩效情况进行评价、打分给出了具体的评价意见，并根据讨论的内容编写《专家意见汇总书》。</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（5）出具报告及其他内容</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专家考评会后，由项目评价工作组根据专家意见，结合项目单位的自评报告及项目资料，实施绩效评价报告的书写工作。根据项目单位的绩效评价的资料、项目单位绩效报告，反映项目概况、项目资金情况及项目绩效目标三方面内容；根据项目绩效考评的具体工作实施及专家考评书及意见汇总书，反应项目的评价工作简述及绩效评价分析。最终由项目评价工作组进行报告的定稿并出具报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sz w:val="28"/>
          <w:szCs w:val="28"/>
        </w:rPr>
        <w:t>综合评价情况及评价结论（附相关评分表）</w:t>
      </w:r>
    </w:p>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诉调对接中心租金”项目综合得分84.92分，其中：项目决策12.78分，项目管理28.08分，项目绩效44.06分，项目综合绩效级别评定结论为“良好”。</w:t>
      </w:r>
    </w:p>
    <w:p>
      <w:pPr>
        <w:pStyle w:val="2"/>
        <w:rPr>
          <w:rFonts w:hint="eastAsia" w:ascii="仿宋_GB2312" w:hAnsi="仿宋_GB2312" w:eastAsia="仿宋_GB2312" w:cs="仿宋_GB2312"/>
          <w:sz w:val="28"/>
          <w:szCs w:val="28"/>
        </w:rPr>
      </w:pPr>
      <w:r>
        <w:rPr>
          <w:rFonts w:hint="eastAsia" w:ascii="仿宋_GB2312" w:hAnsi="仿宋_GB2312" w:cs="仿宋_GB2312"/>
          <w:color w:val="auto"/>
          <w:sz w:val="48"/>
          <w:szCs w:val="48"/>
          <w:lang w:val="en-US" w:eastAsia="zh-CN"/>
        </w:rPr>
        <w:drawing>
          <wp:inline distT="0" distB="0" distL="114300" distR="114300">
            <wp:extent cx="5057775" cy="7094220"/>
            <wp:effectExtent l="0" t="0" r="9525" b="11430"/>
            <wp:docPr id="1" name="图片 2" descr="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descr="3"/>
                    <pic:cNvPicPr>
                      <a:picLocks noChangeAspect="true"/>
                    </pic:cNvPicPr>
                  </pic:nvPicPr>
                  <pic:blipFill>
                    <a:blip r:embed="rId4"/>
                    <a:srcRect l="3978" t="13023" b="11192"/>
                    <a:stretch>
                      <a:fillRect/>
                    </a:stretch>
                  </pic:blipFill>
                  <pic:spPr>
                    <a:xfrm>
                      <a:off x="0" y="0"/>
                      <a:ext cx="5057775" cy="7094220"/>
                    </a:xfrm>
                    <a:prstGeom prst="rect">
                      <a:avLst/>
                    </a:prstGeom>
                    <a:noFill/>
                    <a:ln>
                      <a:noFill/>
                    </a:ln>
                  </pic:spPr>
                </pic:pic>
              </a:graphicData>
            </a:graphic>
          </wp:inline>
        </w:drawing>
      </w:r>
    </w:p>
    <w:p>
      <w:pPr>
        <w:pStyle w:val="2"/>
        <w:rPr>
          <w:rFonts w:hint="eastAsia" w:ascii="仿宋_GB2312" w:hAnsi="仿宋_GB2312" w:eastAsia="仿宋_GB2312" w:cs="仿宋_GB2312"/>
          <w:sz w:val="28"/>
          <w:szCs w:val="28"/>
        </w:rPr>
      </w:pPr>
    </w:p>
    <w:p>
      <w:pPr>
        <w:pStyle w:val="2"/>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（四）</w:t>
      </w:r>
      <w:r>
        <w:rPr>
          <w:rFonts w:hint="eastAsia" w:ascii="仿宋_GB2312" w:hAnsi="仿宋_GB2312" w:eastAsia="仿宋_GB2312" w:cs="仿宋_GB2312"/>
          <w:sz w:val="28"/>
          <w:szCs w:val="28"/>
        </w:rPr>
        <w:t>绩效评价指标分析</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项目决策情况。</w:t>
      </w:r>
    </w:p>
    <w:p>
      <w:pPr>
        <w:pStyle w:val="2"/>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项目主要执行《预、决算管理办法》、《合同管理办法》、《专项资金管理办法》等相关内部管理制度。</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项目过程情况。</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项目进度指标为按照要求完成支出进度，2021年2月及2021年6月合计支付260.4万元，项目完成。</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560" w:firstLineChars="2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项目产出情况。</w:t>
      </w:r>
    </w:p>
    <w:p>
      <w:pPr>
        <w:pStyle w:val="2"/>
        <w:numPr>
          <w:ilvl w:val="0"/>
          <w:numId w:val="0"/>
        </w:numPr>
        <w:ind w:leftChars="200" w:firstLine="280" w:firstLineChars="1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（1）项目经济性分析</w:t>
      </w:r>
    </w:p>
    <w:p>
      <w:pPr>
        <w:pStyle w:val="2"/>
        <w:numPr>
          <w:ilvl w:val="0"/>
          <w:numId w:val="0"/>
        </w:numPr>
        <w:ind w:left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不适用。</w:t>
      </w:r>
    </w:p>
    <w:p>
      <w:pPr>
        <w:pStyle w:val="2"/>
        <w:numPr>
          <w:ilvl w:val="0"/>
          <w:numId w:val="0"/>
        </w:numPr>
        <w:ind w:leftChars="200" w:firstLine="280" w:firstLineChars="1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（2）项目效率性分析</w:t>
      </w:r>
    </w:p>
    <w:p>
      <w:pPr>
        <w:pStyle w:val="2"/>
        <w:numPr>
          <w:ilvl w:val="0"/>
          <w:numId w:val="0"/>
        </w:numPr>
        <w:ind w:leftChars="200" w:firstLine="280" w:firstLineChars="1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基本能为当事人提供更加便捷的服务和更好的诉讼环境，并且更细致的完善司法工作。</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1）项目预期目标完成情况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此项目为新增项目，项目期一年。</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（2）项目可持续影响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持续为当事人提供更加便捷的服务和更好的诉讼环境。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firstLine="280" w:firstLineChars="1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（3）服务对象满意度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200" w:firstLine="560" w:firstLineChars="200"/>
        <w:textAlignment w:val="auto"/>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绩效目标满意度指标设定当事人满意度指标60%以上。评价组调查了100份满意度调查表，分别对目前诉调对接中心办公环境是否满意、对目前工作人员的工作效率是否满意、对目前工作人员的服务态度是否满意，其中办公环境是否满意中非常满意43人、满意47人、一般10人；工作效率是否满意中非常满意45人、满意42人、一般13人；服务态度是否满意中非常满意47人、满意38人、一般15人。</w:t>
      </w:r>
    </w:p>
    <w:p>
      <w:pPr>
        <w:pStyle w:val="2"/>
        <w:numPr>
          <w:ilvl w:val="0"/>
          <w:numId w:val="0"/>
        </w:numPr>
        <w:ind w:leftChars="200"/>
        <w:rPr>
          <w:rFonts w:hint="eastAsia"/>
        </w:rPr>
      </w:pP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主要经验及做法、存在的问题及原因分析</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北京市怀柔区人民法院“诉调对接中心租金”项目的实施，通过绩效评价该项目还存在以下不足：</w:t>
      </w:r>
    </w:p>
    <w:p>
      <w:pPr>
        <w:pStyle w:val="2"/>
        <w:numPr>
          <w:ilvl w:val="0"/>
          <w:numId w:val="0"/>
        </w:num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（1）绩效目标不全面</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总体目标凝练不足，各项指标填报不规范；未设置时效指标及成本指标；效益指标较笼统，量化不足，缺乏可考量性，且未分设社会效益、环境效益、可持续影响指标；满意度指标未设置服务对象，且指标值设置为“60%以上”较低，合理性不足。</w:t>
      </w:r>
    </w:p>
    <w:p>
      <w:pPr>
        <w:pStyle w:val="2"/>
        <w:numPr>
          <w:ilvl w:val="0"/>
          <w:numId w:val="0"/>
        </w:num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（2）决策过程不够科学</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加强基础工作的精细化，修订和完善相关管理制度，严格内部控制的执行。</w:t>
      </w:r>
    </w:p>
    <w:p>
      <w:pPr>
        <w:pStyle w:val="2"/>
        <w:numPr>
          <w:ilvl w:val="0"/>
          <w:numId w:val="0"/>
        </w:num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（3）预算编制过程简单</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项目申报书未见测算过程，也未注明测算依据。</w:t>
      </w:r>
    </w:p>
    <w:p>
      <w:pPr>
        <w:pStyle w:val="2"/>
        <w:numPr>
          <w:ilvl w:val="0"/>
          <w:numId w:val="0"/>
        </w:num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（4）实施方案不齐全</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项目实施方案未建立，缺少项目实施背景的介绍；缺乏项目执行引导性与约束性材料。</w:t>
      </w:r>
    </w:p>
    <w:p>
      <w:pPr>
        <w:pStyle w:val="2"/>
        <w:numPr>
          <w:ilvl w:val="0"/>
          <w:numId w:val="0"/>
        </w:num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（5）合同管理不规范</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房屋租赁合同乙方签字人不是法定代表人，但未见委托授权书。</w:t>
      </w:r>
    </w:p>
    <w:p>
      <w:pPr>
        <w:pStyle w:val="2"/>
        <w:numPr>
          <w:ilvl w:val="0"/>
          <w:numId w:val="0"/>
        </w:num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（6）项目效果不显著</w:t>
      </w:r>
    </w:p>
    <w:p>
      <w:pPr>
        <w:pStyle w:val="2"/>
        <w:numPr>
          <w:ilvl w:val="0"/>
          <w:numId w:val="0"/>
        </w:numPr>
        <w:ind w:firstLine="560" w:firstLineChars="2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绩效报告对项目产生效益分析深度不足；反映项目效果的支撑材料体现不够充分；满意度调查有效性不足。</w:t>
      </w:r>
    </w:p>
    <w:p>
      <w:pPr>
        <w:pStyle w:val="2"/>
        <w:numPr>
          <w:ilvl w:val="0"/>
          <w:numId w:val="0"/>
        </w:numPr>
        <w:rPr>
          <w:rFonts w:hint="eastAsia"/>
        </w:rPr>
      </w:pP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有关建议</w:t>
      </w:r>
    </w:p>
    <w:p>
      <w:pPr>
        <w:pStyle w:val="2"/>
        <w:widowControl w:val="0"/>
        <w:numPr>
          <w:ilvl w:val="0"/>
          <w:numId w:val="0"/>
        </w:numPr>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（1）加强绩效意识，增强绩效管理</w:t>
      </w:r>
    </w:p>
    <w:p>
      <w:pPr>
        <w:pStyle w:val="2"/>
        <w:widowControl w:val="0"/>
        <w:numPr>
          <w:ilvl w:val="0"/>
          <w:numId w:val="0"/>
        </w:numPr>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深入理解财政预算绩效管理的内涵与外延，不仅要注重项目能否完成，更要重视项目决策、管理、产出、效益全过程留痕，并进一步提高对项目管理的科学性及精细化水平。</w:t>
      </w:r>
    </w:p>
    <w:p>
      <w:pPr>
        <w:pStyle w:val="2"/>
        <w:widowControl w:val="0"/>
        <w:numPr>
          <w:ilvl w:val="0"/>
          <w:numId w:val="0"/>
        </w:numPr>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（2）规范项目管理制度</w:t>
      </w:r>
    </w:p>
    <w:p>
      <w:pPr>
        <w:pStyle w:val="2"/>
        <w:widowControl w:val="0"/>
        <w:numPr>
          <w:ilvl w:val="0"/>
          <w:numId w:val="0"/>
        </w:numPr>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加强基础工作的精细化，修订和完善相关管理制度，严格内部控制的执行。进一步梳理和修订相关制度，保证制度有效性。并按照各项要求更好完成项目。</w:t>
      </w:r>
    </w:p>
    <w:p>
      <w:pPr>
        <w:pStyle w:val="2"/>
        <w:widowControl w:val="0"/>
        <w:numPr>
          <w:ilvl w:val="0"/>
          <w:numId w:val="0"/>
        </w:numPr>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（3）增加调查问卷质量，注重问卷调查的统计</w:t>
      </w:r>
    </w:p>
    <w:p>
      <w:pPr>
        <w:pStyle w:val="2"/>
        <w:widowControl w:val="0"/>
        <w:numPr>
          <w:ilvl w:val="0"/>
          <w:numId w:val="0"/>
        </w:numPr>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调查问卷的目的是反应项目实施过程的效果和效益。因怀柔区人民法院诉调对接中心2021年案件数量18384件，调查100人,样本量较少，抽样中存在部分勾选满意和一般的情况未能进一步查找原因。建议项目单位可以针对满意度调查中存在较多“满意”情况，进一步查找原因，并将信息记录完全，并撰写调查问卷报告，以便加强项目成果的收集和整理，提高满意度指标材料的支撑度。</w:t>
      </w:r>
    </w:p>
    <w:p>
      <w:pPr>
        <w:pStyle w:val="2"/>
        <w:widowControl w:val="0"/>
        <w:numPr>
          <w:ilvl w:val="0"/>
          <w:numId w:val="0"/>
        </w:numPr>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（4）项目过程管理要加强，尤其是项目决策过程不科学</w:t>
      </w:r>
    </w:p>
    <w:p>
      <w:pPr>
        <w:pStyle w:val="2"/>
        <w:widowControl w:val="0"/>
        <w:numPr>
          <w:ilvl w:val="0"/>
          <w:numId w:val="0"/>
        </w:numPr>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提高决策的科学性，加强项目可行性研究分析及论证工作，根据项目实际需求合理有效地编制项目预算，明确预算测算依据，提高预算编制的精细化与准确性。</w:t>
      </w:r>
    </w:p>
    <w:p>
      <w:pPr>
        <w:pStyle w:val="2"/>
        <w:widowControl w:val="0"/>
        <w:numPr>
          <w:ilvl w:val="0"/>
          <w:numId w:val="0"/>
        </w:numPr>
        <w:jc w:val="both"/>
        <w:rPr>
          <w:rFonts w:hint="eastAsia"/>
        </w:rPr>
      </w:pPr>
    </w:p>
    <w:p>
      <w:pPr>
        <w:pStyle w:val="2"/>
        <w:widowControl w:val="0"/>
        <w:numPr>
          <w:ilvl w:val="0"/>
          <w:numId w:val="0"/>
        </w:numPr>
        <w:jc w:val="both"/>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汉仪书宋二S">
    <w:altName w:val="方正书宋_GBK"/>
    <w:panose1 w:val="00000000000000000000"/>
    <w:charset w:val="00"/>
    <w:family w:val="auto"/>
    <w:pitch w:val="default"/>
    <w:sig w:usb0="00000000" w:usb1="00000000" w:usb2="00000000" w:usb3="00000000" w:csb0="00000000"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FA1F3F"/>
    <w:multiLevelType w:val="singleLevel"/>
    <w:tmpl w:val="9FFA1F3F"/>
    <w:lvl w:ilvl="0" w:tentative="0">
      <w:start w:val="2"/>
      <w:numFmt w:val="decimal"/>
      <w:lvlText w:val="%1."/>
      <w:lvlJc w:val="left"/>
      <w:pPr>
        <w:tabs>
          <w:tab w:val="left" w:pos="312"/>
        </w:tabs>
      </w:pPr>
    </w:lvl>
  </w:abstractNum>
  <w:abstractNum w:abstractNumId="1">
    <w:nsid w:val="BFF97E2E"/>
    <w:multiLevelType w:val="singleLevel"/>
    <w:tmpl w:val="BFF97E2E"/>
    <w:lvl w:ilvl="0" w:tentative="0">
      <w:start w:val="2"/>
      <w:numFmt w:val="decimal"/>
      <w:lvlText w:val="%1."/>
      <w:lvlJc w:val="left"/>
      <w:pPr>
        <w:tabs>
          <w:tab w:val="left" w:pos="312"/>
        </w:tabs>
      </w:pPr>
    </w:lvl>
  </w:abstractNum>
  <w:abstractNum w:abstractNumId="2">
    <w:nsid w:val="DFFF4BA7"/>
    <w:multiLevelType w:val="singleLevel"/>
    <w:tmpl w:val="DFFF4BA7"/>
    <w:lvl w:ilvl="0" w:tentative="0">
      <w:start w:val="3"/>
      <w:numFmt w:val="decimal"/>
      <w:suff w:val="nothing"/>
      <w:lvlText w:val="（%1）"/>
      <w:lvlJc w:val="left"/>
    </w:lvl>
  </w:abstractNum>
  <w:abstractNum w:abstractNumId="3">
    <w:nsid w:val="E9BD6857"/>
    <w:multiLevelType w:val="singleLevel"/>
    <w:tmpl w:val="E9BD6857"/>
    <w:lvl w:ilvl="0" w:tentative="0">
      <w:start w:val="5"/>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AF39C7"/>
    <w:rsid w:val="6FAF39C7"/>
    <w:rsid w:val="ED7F61A8"/>
    <w:rsid w:val="FEF73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2022-08-22T22:35:00Z</dcterms:created>
  <dc:creator>Administrator</dc:creator>
  <cp:lastModifiedBy>user</cp:lastModifiedBy>
  <dcterms:modified xsi:type="dcterms:W3CDTF">2022-08-24T09:36:09Z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18CECEE442804154A3BB307216800359</vt:lpwstr>
  </property>
</Properties>
</file>