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271" w:rsidRDefault="00197271" w:rsidP="00197271">
      <w:pPr>
        <w:pStyle w:val="1"/>
        <w:jc w:val="center"/>
        <w:rPr>
          <w:rFonts w:hint="eastAsia"/>
          <w:kern w:val="0"/>
        </w:rPr>
      </w:pPr>
      <w:r>
        <w:rPr>
          <w:rFonts w:hint="eastAsia"/>
          <w:kern w:val="0"/>
        </w:rPr>
        <w:t>北京市顺义区人民法院部门整体绩效评价报告</w:t>
      </w:r>
    </w:p>
    <w:p w:rsidR="00197271" w:rsidRDefault="00197271" w:rsidP="00197271">
      <w:pPr>
        <w:spacing w:line="580" w:lineRule="exact"/>
        <w:ind w:firstLineChars="200" w:firstLine="560"/>
        <w:rPr>
          <w:rFonts w:ascii="仿宋_GB2312" w:eastAsia="仿宋_GB2312" w:hAnsi="仿宋_GB2312" w:cs="仿宋_GB2312" w:hint="eastAsia"/>
          <w:color w:val="000000"/>
          <w:kern w:val="0"/>
          <w:sz w:val="28"/>
          <w:szCs w:val="28"/>
        </w:rPr>
      </w:pPr>
      <w:r>
        <w:rPr>
          <w:rFonts w:ascii="黑体" w:eastAsia="黑体" w:hAnsi="黑体" w:cs="宋体" w:hint="eastAsia"/>
          <w:color w:val="000000"/>
          <w:kern w:val="0"/>
          <w:sz w:val="28"/>
          <w:szCs w:val="28"/>
        </w:rPr>
        <w:t>（</w:t>
      </w:r>
      <w:r>
        <w:rPr>
          <w:rFonts w:ascii="仿宋_GB2312" w:eastAsia="仿宋_GB2312" w:hAnsi="仿宋_GB2312" w:cs="仿宋_GB2312" w:hint="eastAsia"/>
          <w:color w:val="000000"/>
          <w:kern w:val="0"/>
          <w:sz w:val="28"/>
          <w:szCs w:val="28"/>
        </w:rPr>
        <w:t>一）部门概况</w:t>
      </w:r>
    </w:p>
    <w:p w:rsidR="00197271" w:rsidRDefault="00197271" w:rsidP="00197271">
      <w:pPr>
        <w:spacing w:line="58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1.机构设置及职责工作任务情况</w:t>
      </w:r>
    </w:p>
    <w:p w:rsidR="00197271" w:rsidRPr="00A84732" w:rsidRDefault="00197271" w:rsidP="00197271">
      <w:pPr>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w:t>
      </w:r>
      <w:r w:rsidRPr="00A84732">
        <w:rPr>
          <w:rFonts w:ascii="仿宋_GB2312" w:eastAsia="仿宋_GB2312" w:hAnsi="宋体"/>
          <w:sz w:val="28"/>
          <w:szCs w:val="28"/>
        </w:rPr>
        <w:t>作为国家审判机关于1949年成立，在所管辖地区依法独立行使审判权。现设有内设机构12个，分别为立案庭（诉讼服务中心）、刑事审判庭、民事审判一庭、民事审判二庭、民事审判三庭、行政审判庭、综合审判庭、执行局、审判管理办公室（研究室）、政治部（机关党委、机关纪委）、综合办公室、司法警察大队；派出法庭5个，分别为后沙峪人民法庭、杨镇人民法庭、牛栏山人民法庭、李遂人民法庭、天竺人民法庭；正科级事业单位1个，为顺义区人民法院综合事务中心。</w:t>
      </w:r>
    </w:p>
    <w:p w:rsidR="00197271" w:rsidRPr="00A02252" w:rsidRDefault="00197271" w:rsidP="00197271">
      <w:pPr>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sz w:val="28"/>
          <w:szCs w:val="28"/>
        </w:rPr>
        <w:t>顺义法院作为国家审判机关，在所管辖地区依法独立行使审判权。其主要职责是：依法审判本辖区的刑事、民事、行政等第一审案件。受理和审查各类告诉、申诉案件，处理来信来访。对其中确有错误的已发生法律效率的判决、裁定，根据审判监督程序进行再审。依法行使执行权和司法决定权。针对案件审理中发现的问题提出司法建议。按照干部管理权限管理本院的法官、法官助理和书记员、司法警察和司法行政人员。负责本院党组织的思想、组织、作风建设工作；领导本院工、青、妇等群众组织工作。负责本院的监察工作。按照管理权限监督、检查本院工作人员执行国家法律、法规、政策及纪律情况。</w:t>
      </w:r>
      <w:r w:rsidRPr="00A84732">
        <w:rPr>
          <w:rFonts w:ascii="仿宋_GB2312" w:eastAsia="仿宋_GB2312" w:hAnsi="宋体"/>
          <w:sz w:val="28"/>
          <w:szCs w:val="28"/>
        </w:rPr>
        <w:lastRenderedPageBreak/>
        <w:t>承办其他应由本区人民法院负责的工作。</w:t>
      </w:r>
    </w:p>
    <w:p w:rsidR="00197271" w:rsidRPr="0000008B" w:rsidRDefault="00197271" w:rsidP="00197271">
      <w:pPr>
        <w:spacing w:line="580" w:lineRule="exact"/>
        <w:ind w:firstLineChars="200" w:firstLine="560"/>
        <w:rPr>
          <w:rFonts w:ascii="仿宋_GB2312" w:eastAsia="仿宋_GB2312" w:hAnsi="仿宋_GB2312" w:cs="仿宋_GB2312" w:hint="eastAsia"/>
          <w:kern w:val="0"/>
          <w:sz w:val="28"/>
          <w:szCs w:val="28"/>
        </w:rPr>
      </w:pPr>
      <w:r>
        <w:rPr>
          <w:rFonts w:ascii="仿宋_GB2312" w:eastAsia="仿宋_GB2312" w:hAnsi="仿宋_GB2312" w:cs="仿宋_GB2312" w:hint="eastAsia"/>
          <w:sz w:val="28"/>
          <w:szCs w:val="28"/>
        </w:rPr>
        <w:t>2.部门整体绩效目标设立情况</w:t>
      </w:r>
    </w:p>
    <w:p w:rsidR="00197271" w:rsidRPr="0000008B" w:rsidRDefault="00197271" w:rsidP="00197271">
      <w:pPr>
        <w:spacing w:line="600" w:lineRule="exact"/>
        <w:ind w:firstLineChars="200" w:firstLine="560"/>
        <w:rPr>
          <w:rFonts w:ascii="仿宋_GB2312" w:eastAsia="仿宋_GB2312" w:hAnsi="仿宋_GB2312" w:cs="仿宋_GB2312"/>
          <w:kern w:val="0"/>
          <w:sz w:val="28"/>
          <w:szCs w:val="28"/>
        </w:rPr>
      </w:pPr>
      <w:r w:rsidRPr="0000008B">
        <w:rPr>
          <w:rFonts w:ascii="仿宋_GB2312" w:eastAsia="仿宋_GB2312" w:hAnsi="仿宋_GB2312" w:cs="仿宋_GB2312"/>
          <w:kern w:val="0"/>
          <w:sz w:val="28"/>
          <w:szCs w:val="28"/>
        </w:rPr>
        <w:t>顺义法院依据</w:t>
      </w:r>
      <w:r w:rsidRPr="0000008B">
        <w:rPr>
          <w:rFonts w:ascii="仿宋_GB2312" w:eastAsia="仿宋_GB2312" w:hAnsi="仿宋_GB2312" w:cs="仿宋_GB2312" w:hint="eastAsia"/>
          <w:kern w:val="0"/>
          <w:sz w:val="28"/>
          <w:szCs w:val="28"/>
        </w:rPr>
        <w:t>2</w:t>
      </w:r>
      <w:r w:rsidRPr="0000008B">
        <w:rPr>
          <w:rFonts w:ascii="仿宋_GB2312" w:eastAsia="仿宋_GB2312" w:hAnsi="仿宋_GB2312" w:cs="仿宋_GB2312"/>
          <w:kern w:val="0"/>
          <w:sz w:val="28"/>
          <w:szCs w:val="28"/>
        </w:rPr>
        <w:t>021</w:t>
      </w:r>
      <w:r w:rsidRPr="0000008B">
        <w:rPr>
          <w:rFonts w:ascii="仿宋_GB2312" w:eastAsia="仿宋_GB2312" w:hAnsi="仿宋_GB2312" w:cs="仿宋_GB2312" w:hint="eastAsia"/>
          <w:kern w:val="0"/>
          <w:sz w:val="28"/>
          <w:szCs w:val="28"/>
        </w:rPr>
        <w:t>年部门工作计划及法院的职责</w:t>
      </w:r>
      <w:r w:rsidRPr="0000008B">
        <w:rPr>
          <w:rFonts w:ascii="仿宋_GB2312" w:eastAsia="仿宋_GB2312" w:hAnsi="仿宋_GB2312" w:cs="仿宋_GB2312"/>
          <w:kern w:val="0"/>
          <w:sz w:val="28"/>
          <w:szCs w:val="28"/>
        </w:rPr>
        <w:t>，设置了以下绩效目标：</w:t>
      </w:r>
    </w:p>
    <w:p w:rsidR="00197271" w:rsidRPr="0000008B" w:rsidRDefault="00197271" w:rsidP="00197271">
      <w:pPr>
        <w:spacing w:line="60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w:t>
      </w:r>
      <w:r w:rsidRPr="0000008B">
        <w:rPr>
          <w:rFonts w:ascii="仿宋_GB2312" w:eastAsia="仿宋_GB2312" w:hAnsi="仿宋_GB2312" w:cs="仿宋_GB2312"/>
          <w:kern w:val="0"/>
          <w:sz w:val="28"/>
          <w:szCs w:val="28"/>
        </w:rPr>
        <w:t>1</w:t>
      </w:r>
      <w:r>
        <w:rPr>
          <w:rFonts w:ascii="仿宋_GB2312" w:eastAsia="仿宋_GB2312" w:hAnsi="仿宋_GB2312" w:cs="仿宋_GB2312" w:hint="eastAsia"/>
          <w:kern w:val="0"/>
          <w:sz w:val="28"/>
          <w:szCs w:val="28"/>
        </w:rPr>
        <w:t>）</w:t>
      </w:r>
      <w:r w:rsidRPr="0000008B">
        <w:rPr>
          <w:rFonts w:ascii="仿宋_GB2312" w:eastAsia="仿宋_GB2312" w:hAnsi="仿宋_GB2312" w:cs="仿宋_GB2312"/>
          <w:kern w:val="0"/>
          <w:sz w:val="28"/>
          <w:szCs w:val="28"/>
        </w:rPr>
        <w:t>总体目标</w:t>
      </w:r>
    </w:p>
    <w:p w:rsidR="00197271" w:rsidRPr="0000008B" w:rsidRDefault="00197271" w:rsidP="00197271">
      <w:pPr>
        <w:spacing w:line="600" w:lineRule="exact"/>
        <w:ind w:firstLineChars="200" w:firstLine="560"/>
        <w:rPr>
          <w:rFonts w:ascii="仿宋_GB2312" w:eastAsia="仿宋_GB2312" w:hAnsi="仿宋_GB2312" w:cs="仿宋_GB2312"/>
          <w:kern w:val="0"/>
          <w:sz w:val="28"/>
          <w:szCs w:val="28"/>
        </w:rPr>
      </w:pPr>
      <w:r w:rsidRPr="0000008B">
        <w:rPr>
          <w:rFonts w:ascii="仿宋_GB2312" w:eastAsia="仿宋_GB2312" w:hAnsi="仿宋_GB2312" w:cs="仿宋_GB2312"/>
          <w:kern w:val="0"/>
          <w:sz w:val="28"/>
          <w:szCs w:val="28"/>
        </w:rPr>
        <w:t>充分发挥审判职能，为重大战略实施与社会和谐稳定提供精准的司法保障；建立繁简分流审判新格局，提高办案效率和质量；加强正规化职业建设，全面落实司法责任制；落实全面从严治党，打造一支忠诚干净担当的法院队伍。</w:t>
      </w:r>
    </w:p>
    <w:p w:rsidR="00197271" w:rsidRPr="0000008B" w:rsidRDefault="00197271" w:rsidP="00197271">
      <w:pPr>
        <w:spacing w:line="60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w:t>
      </w:r>
      <w:r w:rsidRPr="0000008B">
        <w:rPr>
          <w:rFonts w:ascii="仿宋_GB2312" w:eastAsia="仿宋_GB2312" w:hAnsi="仿宋_GB2312" w:cs="仿宋_GB2312"/>
          <w:kern w:val="0"/>
          <w:sz w:val="28"/>
          <w:szCs w:val="28"/>
        </w:rPr>
        <w:t>2</w:t>
      </w:r>
      <w:r>
        <w:rPr>
          <w:rFonts w:ascii="仿宋_GB2312" w:eastAsia="仿宋_GB2312" w:hAnsi="仿宋_GB2312" w:cs="仿宋_GB2312" w:hint="eastAsia"/>
          <w:kern w:val="0"/>
          <w:sz w:val="28"/>
          <w:szCs w:val="28"/>
        </w:rPr>
        <w:t>）</w:t>
      </w:r>
      <w:r w:rsidRPr="0000008B">
        <w:rPr>
          <w:rFonts w:ascii="仿宋_GB2312" w:eastAsia="仿宋_GB2312" w:hAnsi="仿宋_GB2312" w:cs="仿宋_GB2312"/>
          <w:kern w:val="0"/>
          <w:sz w:val="28"/>
          <w:szCs w:val="28"/>
        </w:rPr>
        <w:t>具体目标</w:t>
      </w:r>
    </w:p>
    <w:p w:rsidR="00197271" w:rsidRPr="00A84732" w:rsidRDefault="00197271" w:rsidP="00197271">
      <w:pPr>
        <w:spacing w:line="600" w:lineRule="exact"/>
        <w:ind w:firstLineChars="200" w:firstLine="560"/>
        <w:rPr>
          <w:rFonts w:ascii="仿宋_GB2312" w:eastAsia="仿宋_GB2312" w:hAnsi="宋体" w:hint="eastAsia"/>
          <w:sz w:val="28"/>
          <w:szCs w:val="28"/>
        </w:rPr>
      </w:pPr>
      <w:r w:rsidRPr="00A84732">
        <w:rPr>
          <w:rFonts w:ascii="仿宋_GB2312" w:eastAsia="仿宋_GB2312" w:hAnsi="宋体"/>
          <w:sz w:val="28"/>
          <w:szCs w:val="28"/>
        </w:rPr>
        <w:t>2021年12月31日前完成全年预算指标</w:t>
      </w:r>
      <w:r w:rsidRPr="00A84732">
        <w:rPr>
          <w:rFonts w:ascii="仿宋_GB2312" w:eastAsia="仿宋_GB2312" w:hAnsi="宋体" w:hint="eastAsia"/>
          <w:sz w:val="28"/>
          <w:szCs w:val="28"/>
        </w:rPr>
        <w:t>；</w:t>
      </w:r>
      <w:r w:rsidRPr="00A84732">
        <w:rPr>
          <w:rFonts w:ascii="仿宋_GB2312" w:eastAsia="仿宋_GB2312" w:hAnsi="宋体"/>
          <w:sz w:val="28"/>
          <w:szCs w:val="28"/>
        </w:rPr>
        <w:t>案件结案率在2020年完成的基础稳步上升</w:t>
      </w:r>
      <w:r w:rsidRPr="00A84732">
        <w:rPr>
          <w:rFonts w:ascii="仿宋_GB2312" w:eastAsia="仿宋_GB2312" w:hAnsi="宋体" w:hint="eastAsia"/>
          <w:sz w:val="28"/>
          <w:szCs w:val="28"/>
        </w:rPr>
        <w:t>；</w:t>
      </w:r>
      <w:r w:rsidRPr="00A84732">
        <w:rPr>
          <w:rFonts w:ascii="仿宋_GB2312" w:eastAsia="仿宋_GB2312" w:hAnsi="宋体"/>
          <w:sz w:val="28"/>
          <w:szCs w:val="28"/>
        </w:rPr>
        <w:t>严格反控各项开支范围，做到不超范围、不超标准</w:t>
      </w:r>
      <w:r w:rsidRPr="00A84732">
        <w:rPr>
          <w:rFonts w:ascii="仿宋_GB2312" w:eastAsia="仿宋_GB2312" w:hAnsi="宋体" w:hint="eastAsia"/>
          <w:sz w:val="28"/>
          <w:szCs w:val="28"/>
        </w:rPr>
        <w:t>；</w:t>
      </w:r>
      <w:r w:rsidRPr="00A84732">
        <w:rPr>
          <w:rFonts w:ascii="仿宋_GB2312" w:eastAsia="仿宋_GB2312" w:hAnsi="宋体"/>
          <w:sz w:val="28"/>
          <w:szCs w:val="28"/>
        </w:rPr>
        <w:t>严格执行中央八项规定，严控三公经费开支</w:t>
      </w:r>
      <w:r w:rsidRPr="00A84732">
        <w:rPr>
          <w:rFonts w:ascii="仿宋_GB2312" w:eastAsia="仿宋_GB2312" w:hAnsi="宋体" w:hint="eastAsia"/>
          <w:sz w:val="28"/>
          <w:szCs w:val="28"/>
        </w:rPr>
        <w:t>；</w:t>
      </w:r>
      <w:r w:rsidRPr="00A84732">
        <w:rPr>
          <w:rFonts w:ascii="仿宋_GB2312" w:eastAsia="仿宋_GB2312" w:hAnsi="宋体"/>
          <w:sz w:val="28"/>
          <w:szCs w:val="28"/>
        </w:rPr>
        <w:t>全力保障一线干警办案业务需求，努力提升审判质效</w:t>
      </w:r>
      <w:r w:rsidRPr="00A84732">
        <w:rPr>
          <w:rFonts w:ascii="仿宋_GB2312" w:eastAsia="仿宋_GB2312" w:hAnsi="宋体" w:hint="eastAsia"/>
          <w:sz w:val="28"/>
          <w:szCs w:val="28"/>
        </w:rPr>
        <w:t>；</w:t>
      </w:r>
      <w:r w:rsidRPr="00A84732">
        <w:rPr>
          <w:rFonts w:ascii="仿宋_GB2312" w:eastAsia="仿宋_GB2312" w:hAnsi="宋体"/>
          <w:sz w:val="28"/>
          <w:szCs w:val="28"/>
        </w:rPr>
        <w:t>做好后勤保障工作，力争全院干警满意度不断提升</w:t>
      </w:r>
      <w:r w:rsidRPr="00A84732">
        <w:rPr>
          <w:rFonts w:ascii="仿宋_GB2312" w:eastAsia="仿宋_GB2312" w:hAnsi="宋体" w:hint="eastAsia"/>
          <w:sz w:val="28"/>
          <w:szCs w:val="28"/>
        </w:rPr>
        <w:t>；</w:t>
      </w:r>
      <w:r w:rsidRPr="00A84732">
        <w:rPr>
          <w:rFonts w:ascii="仿宋_GB2312" w:eastAsia="仿宋_GB2312" w:hAnsi="宋体"/>
          <w:sz w:val="28"/>
          <w:szCs w:val="28"/>
        </w:rPr>
        <w:t>严格把关各个项目支出，做到项目执行过程中的有力把控，实现项目绩效目标</w:t>
      </w:r>
      <w:r w:rsidRPr="00A84732">
        <w:rPr>
          <w:rFonts w:ascii="仿宋_GB2312" w:eastAsia="仿宋_GB2312" w:hAnsi="宋体" w:hint="eastAsia"/>
          <w:sz w:val="28"/>
          <w:szCs w:val="28"/>
        </w:rPr>
        <w:t>；</w:t>
      </w:r>
      <w:r w:rsidRPr="00A84732">
        <w:rPr>
          <w:rFonts w:ascii="仿宋_GB2312" w:eastAsia="仿宋_GB2312" w:hAnsi="宋体"/>
          <w:sz w:val="28"/>
          <w:szCs w:val="28"/>
        </w:rPr>
        <w:t>配全信息化建设，努力提升全院信息化水平，为建设智能法院提供有力保障</w:t>
      </w:r>
      <w:r w:rsidRPr="00A84732">
        <w:rPr>
          <w:rFonts w:ascii="仿宋_GB2312" w:eastAsia="仿宋_GB2312" w:hAnsi="宋体" w:hint="eastAsia"/>
          <w:sz w:val="28"/>
          <w:szCs w:val="28"/>
        </w:rPr>
        <w:t>。</w:t>
      </w:r>
    </w:p>
    <w:p w:rsidR="00197271" w:rsidRDefault="00197271" w:rsidP="00197271">
      <w:pPr>
        <w:spacing w:line="580" w:lineRule="exact"/>
        <w:ind w:firstLineChars="200"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（二）当年预算执行情况</w:t>
      </w:r>
    </w:p>
    <w:p w:rsidR="00197271" w:rsidRDefault="00197271" w:rsidP="00197271">
      <w:pPr>
        <w:spacing w:line="580" w:lineRule="exact"/>
        <w:ind w:firstLineChars="200" w:firstLine="560"/>
        <w:rPr>
          <w:rFonts w:ascii="仿宋_GB2312" w:eastAsia="仿宋_GB2312" w:hAnsi="仿宋_GB2312" w:cs="仿宋_GB2312" w:hint="eastAsia"/>
          <w:color w:val="000000"/>
          <w:kern w:val="0"/>
          <w:sz w:val="28"/>
          <w:szCs w:val="28"/>
        </w:rPr>
      </w:pPr>
      <w:r w:rsidRPr="00A84732">
        <w:rPr>
          <w:rFonts w:ascii="仿宋_GB2312" w:eastAsia="仿宋_GB2312" w:hAnsi="宋体" w:hint="eastAsia"/>
          <w:sz w:val="28"/>
          <w:szCs w:val="28"/>
        </w:rPr>
        <w:t>2021年全年预算数</w:t>
      </w:r>
      <w:r w:rsidRPr="00A84732">
        <w:rPr>
          <w:rFonts w:ascii="仿宋_GB2312" w:eastAsia="仿宋_GB2312" w:hAnsi="宋体"/>
          <w:sz w:val="28"/>
          <w:szCs w:val="28"/>
        </w:rPr>
        <w:t>22</w:t>
      </w:r>
      <w:r w:rsidRPr="00A84732">
        <w:rPr>
          <w:rFonts w:ascii="仿宋_GB2312" w:eastAsia="仿宋_GB2312" w:hAnsi="宋体" w:hint="eastAsia"/>
          <w:sz w:val="28"/>
          <w:szCs w:val="28"/>
        </w:rPr>
        <w:t>,</w:t>
      </w:r>
      <w:r w:rsidRPr="00A84732">
        <w:rPr>
          <w:rFonts w:ascii="仿宋_GB2312" w:eastAsia="仿宋_GB2312" w:hAnsi="宋体"/>
          <w:sz w:val="28"/>
          <w:szCs w:val="28"/>
        </w:rPr>
        <w:t>740.82</w:t>
      </w:r>
      <w:r w:rsidRPr="00A84732">
        <w:rPr>
          <w:rFonts w:ascii="仿宋_GB2312" w:eastAsia="仿宋_GB2312" w:hAnsi="宋体" w:hint="eastAsia"/>
          <w:sz w:val="28"/>
          <w:szCs w:val="28"/>
        </w:rPr>
        <w:t>万元，其中，基本支出预算数</w:t>
      </w:r>
      <w:r w:rsidRPr="00A84732">
        <w:rPr>
          <w:rFonts w:ascii="仿宋_GB2312" w:eastAsia="仿宋_GB2312" w:hAnsi="宋体"/>
          <w:sz w:val="28"/>
          <w:szCs w:val="28"/>
        </w:rPr>
        <w:t>15</w:t>
      </w:r>
      <w:r w:rsidRPr="00A84732">
        <w:rPr>
          <w:rFonts w:ascii="仿宋_GB2312" w:eastAsia="仿宋_GB2312" w:hAnsi="宋体" w:hint="eastAsia"/>
          <w:sz w:val="28"/>
          <w:szCs w:val="28"/>
        </w:rPr>
        <w:t>,</w:t>
      </w:r>
      <w:r w:rsidRPr="00A84732">
        <w:rPr>
          <w:rFonts w:ascii="仿宋_GB2312" w:eastAsia="仿宋_GB2312" w:hAnsi="宋体"/>
          <w:sz w:val="28"/>
          <w:szCs w:val="28"/>
        </w:rPr>
        <w:t>613.18</w:t>
      </w:r>
      <w:r w:rsidRPr="00A84732">
        <w:rPr>
          <w:rFonts w:ascii="仿宋_GB2312" w:eastAsia="仿宋_GB2312" w:hAnsi="宋体" w:hint="eastAsia"/>
          <w:sz w:val="28"/>
          <w:szCs w:val="28"/>
        </w:rPr>
        <w:t>万元，项目支出预算数</w:t>
      </w:r>
      <w:r w:rsidRPr="00A84732">
        <w:rPr>
          <w:rFonts w:ascii="仿宋_GB2312" w:eastAsia="仿宋_GB2312" w:hAnsi="宋体"/>
          <w:sz w:val="28"/>
          <w:szCs w:val="28"/>
        </w:rPr>
        <w:t>7</w:t>
      </w:r>
      <w:r w:rsidRPr="00A84732">
        <w:rPr>
          <w:rFonts w:ascii="仿宋_GB2312" w:eastAsia="仿宋_GB2312" w:hAnsi="宋体" w:hint="eastAsia"/>
          <w:sz w:val="28"/>
          <w:szCs w:val="28"/>
        </w:rPr>
        <w:t>,</w:t>
      </w:r>
      <w:r w:rsidRPr="00A84732">
        <w:rPr>
          <w:rFonts w:ascii="仿宋_GB2312" w:eastAsia="仿宋_GB2312" w:hAnsi="宋体"/>
          <w:sz w:val="28"/>
          <w:szCs w:val="28"/>
        </w:rPr>
        <w:t>127.64</w:t>
      </w:r>
      <w:r w:rsidRPr="00A84732">
        <w:rPr>
          <w:rFonts w:ascii="仿宋_GB2312" w:eastAsia="仿宋_GB2312" w:hAnsi="宋体" w:hint="eastAsia"/>
          <w:sz w:val="28"/>
          <w:szCs w:val="28"/>
        </w:rPr>
        <w:t>万元，其他支出预算数0万元。资金总体支出</w:t>
      </w:r>
      <w:r w:rsidRPr="00A84732">
        <w:rPr>
          <w:rFonts w:ascii="仿宋_GB2312" w:eastAsia="仿宋_GB2312" w:hAnsi="宋体"/>
          <w:sz w:val="28"/>
          <w:szCs w:val="28"/>
        </w:rPr>
        <w:t>20</w:t>
      </w:r>
      <w:r w:rsidRPr="00A84732">
        <w:rPr>
          <w:rFonts w:ascii="仿宋_GB2312" w:eastAsia="仿宋_GB2312" w:hAnsi="宋体" w:hint="eastAsia"/>
          <w:sz w:val="28"/>
          <w:szCs w:val="28"/>
        </w:rPr>
        <w:t>,</w:t>
      </w:r>
      <w:r w:rsidRPr="00A84732">
        <w:rPr>
          <w:rFonts w:ascii="仿宋_GB2312" w:eastAsia="仿宋_GB2312" w:hAnsi="宋体"/>
          <w:sz w:val="28"/>
          <w:szCs w:val="28"/>
        </w:rPr>
        <w:t>879.02</w:t>
      </w:r>
      <w:r w:rsidRPr="00A84732">
        <w:rPr>
          <w:rFonts w:ascii="仿宋_GB2312" w:eastAsia="仿宋_GB2312" w:hAnsi="宋体" w:hint="eastAsia"/>
          <w:sz w:val="28"/>
          <w:szCs w:val="28"/>
        </w:rPr>
        <w:t>万元，其中，基本支出</w:t>
      </w:r>
      <w:r w:rsidRPr="00A84732">
        <w:rPr>
          <w:rFonts w:ascii="仿宋_GB2312" w:eastAsia="仿宋_GB2312" w:hAnsi="宋体"/>
          <w:sz w:val="28"/>
          <w:szCs w:val="28"/>
        </w:rPr>
        <w:t>15</w:t>
      </w:r>
      <w:r w:rsidRPr="00A84732">
        <w:rPr>
          <w:rFonts w:ascii="仿宋_GB2312" w:eastAsia="仿宋_GB2312" w:hAnsi="宋体" w:hint="eastAsia"/>
          <w:sz w:val="28"/>
          <w:szCs w:val="28"/>
        </w:rPr>
        <w:t>,</w:t>
      </w:r>
      <w:r w:rsidRPr="00A84732">
        <w:rPr>
          <w:rFonts w:ascii="仿宋_GB2312" w:eastAsia="仿宋_GB2312" w:hAnsi="宋体"/>
          <w:sz w:val="28"/>
          <w:szCs w:val="28"/>
        </w:rPr>
        <w:t>074.71</w:t>
      </w:r>
      <w:r w:rsidRPr="00A84732">
        <w:rPr>
          <w:rFonts w:ascii="仿宋_GB2312" w:eastAsia="仿宋_GB2312" w:hAnsi="宋体" w:hint="eastAsia"/>
          <w:sz w:val="28"/>
          <w:szCs w:val="28"/>
        </w:rPr>
        <w:t>万元，项目支出</w:t>
      </w:r>
      <w:r w:rsidRPr="00A84732">
        <w:rPr>
          <w:rFonts w:ascii="仿宋_GB2312" w:eastAsia="仿宋_GB2312" w:hAnsi="宋体"/>
          <w:sz w:val="28"/>
          <w:szCs w:val="28"/>
        </w:rPr>
        <w:t>5</w:t>
      </w:r>
      <w:r w:rsidRPr="00A84732">
        <w:rPr>
          <w:rFonts w:ascii="仿宋_GB2312" w:eastAsia="仿宋_GB2312" w:hAnsi="宋体" w:hint="eastAsia"/>
          <w:sz w:val="28"/>
          <w:szCs w:val="28"/>
        </w:rPr>
        <w:t>,</w:t>
      </w:r>
      <w:r w:rsidRPr="00A84732">
        <w:rPr>
          <w:rFonts w:ascii="仿宋_GB2312" w:eastAsia="仿宋_GB2312" w:hAnsi="宋体"/>
          <w:sz w:val="28"/>
          <w:szCs w:val="28"/>
        </w:rPr>
        <w:t>804.31</w:t>
      </w:r>
      <w:r w:rsidRPr="00A84732">
        <w:rPr>
          <w:rFonts w:ascii="仿宋_GB2312" w:eastAsia="仿宋_GB2312" w:hAnsi="宋体" w:hint="eastAsia"/>
          <w:sz w:val="28"/>
          <w:szCs w:val="28"/>
        </w:rPr>
        <w:t>万元，其他支出0万元。预算执行率为</w:t>
      </w:r>
      <w:r w:rsidRPr="00A84732">
        <w:rPr>
          <w:rFonts w:ascii="仿宋_GB2312" w:eastAsia="仿宋_GB2312" w:hAnsi="宋体"/>
          <w:sz w:val="28"/>
          <w:szCs w:val="28"/>
        </w:rPr>
        <w:t>91.81%</w:t>
      </w:r>
      <w:r w:rsidRPr="00A84732">
        <w:rPr>
          <w:rFonts w:ascii="仿宋_GB2312" w:eastAsia="仿宋_GB2312" w:hAnsi="宋体" w:hint="eastAsia"/>
          <w:sz w:val="28"/>
          <w:szCs w:val="28"/>
        </w:rPr>
        <w:t>。</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（三）整体绩效目标实现情况</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1.产出完成情况分析</w:t>
      </w:r>
    </w:p>
    <w:p w:rsidR="00197271" w:rsidRPr="00E827E1" w:rsidRDefault="00197271" w:rsidP="00197271">
      <w:pPr>
        <w:spacing w:line="580" w:lineRule="exact"/>
        <w:ind w:leftChars="50" w:left="105" w:firstLineChars="150" w:firstLine="420"/>
        <w:rPr>
          <w:rFonts w:ascii="仿宋_GB2312" w:eastAsia="仿宋_GB2312" w:hAnsi="仿宋_GB2312" w:cs="仿宋_GB2312" w:hint="eastAsia"/>
          <w:kern w:val="0"/>
          <w:sz w:val="28"/>
          <w:szCs w:val="28"/>
        </w:rPr>
      </w:pPr>
      <w:r>
        <w:rPr>
          <w:rFonts w:ascii="仿宋_GB2312" w:eastAsia="仿宋_GB2312" w:hAnsi="仿宋_GB2312" w:cs="仿宋_GB2312" w:hint="eastAsia"/>
          <w:color w:val="000000"/>
          <w:kern w:val="0"/>
          <w:sz w:val="28"/>
          <w:szCs w:val="28"/>
        </w:rPr>
        <w:t>（1）产出数</w:t>
      </w:r>
      <w:r w:rsidRPr="00E827E1">
        <w:rPr>
          <w:rFonts w:ascii="仿宋_GB2312" w:eastAsia="仿宋_GB2312" w:hAnsi="仿宋_GB2312" w:cs="仿宋_GB2312" w:hint="eastAsia"/>
          <w:kern w:val="0"/>
          <w:sz w:val="28"/>
          <w:szCs w:val="28"/>
        </w:rPr>
        <w:t>量</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2021年，在市高院的正确指导和区委的坚强领导下，顺义法院坚持以习近平新时代中国特色社会主义思想为指导，深入学习贯彻习近平法治思想，坚持稳中求进工作总基调，紧紧围绕庆祝中国共产党成立100周年这条主线，聚焦推动高质量发展主题，以队伍教育整顿为契机，维护社会大局稳定，助推区域经济发展，各项工作取得了新进展。全院新收案40543件，结案37047件，结收比91.38%，平均审执天数为62.02天，员额法官人均办案工作量 394.1件，全年审判执行文书数量：30515件，较好的完成了基本项目支出指标。</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2</w:t>
      </w:r>
      <w:r w:rsidRPr="00A84732">
        <w:rPr>
          <w:rFonts w:ascii="仿宋_GB2312" w:eastAsia="仿宋_GB2312" w:hAnsi="宋体"/>
          <w:sz w:val="28"/>
          <w:szCs w:val="28"/>
        </w:rPr>
        <w:t>021</w:t>
      </w:r>
      <w:r w:rsidRPr="00A84732">
        <w:rPr>
          <w:rFonts w:ascii="仿宋_GB2312" w:eastAsia="仿宋_GB2312" w:hAnsi="宋体" w:hint="eastAsia"/>
          <w:sz w:val="28"/>
          <w:szCs w:val="28"/>
        </w:rPr>
        <w:t>年，顺义法院项目支出3</w:t>
      </w:r>
      <w:r w:rsidRPr="00A84732">
        <w:rPr>
          <w:rFonts w:ascii="仿宋_GB2312" w:eastAsia="仿宋_GB2312" w:hAnsi="宋体"/>
          <w:sz w:val="28"/>
          <w:szCs w:val="28"/>
        </w:rPr>
        <w:t>4</w:t>
      </w:r>
      <w:r w:rsidRPr="00A84732">
        <w:rPr>
          <w:rFonts w:ascii="仿宋_GB2312" w:eastAsia="仿宋_GB2312" w:hAnsi="宋体" w:hint="eastAsia"/>
          <w:sz w:val="28"/>
          <w:szCs w:val="28"/>
        </w:rPr>
        <w:t>个，其中包括：一般公共服务项目4个，公共安全支出项目2</w:t>
      </w:r>
      <w:r w:rsidRPr="00A84732">
        <w:rPr>
          <w:rFonts w:ascii="仿宋_GB2312" w:eastAsia="仿宋_GB2312" w:hAnsi="宋体"/>
          <w:sz w:val="28"/>
          <w:szCs w:val="28"/>
        </w:rPr>
        <w:t>4</w:t>
      </w:r>
      <w:r w:rsidRPr="00A84732">
        <w:rPr>
          <w:rFonts w:ascii="仿宋_GB2312" w:eastAsia="仿宋_GB2312" w:hAnsi="宋体" w:hint="eastAsia"/>
          <w:sz w:val="28"/>
          <w:szCs w:val="28"/>
        </w:rPr>
        <w:t>个，文化旅游体育与传媒支出项目1个，城乡社区支出项目4个，援助其他地区支出项目1个。实际完成2</w:t>
      </w:r>
      <w:r w:rsidRPr="00A84732">
        <w:rPr>
          <w:rFonts w:ascii="仿宋_GB2312" w:eastAsia="仿宋_GB2312" w:hAnsi="宋体"/>
          <w:sz w:val="28"/>
          <w:szCs w:val="28"/>
        </w:rPr>
        <w:t>7</w:t>
      </w:r>
      <w:r w:rsidRPr="00A84732">
        <w:rPr>
          <w:rFonts w:ascii="仿宋_GB2312" w:eastAsia="仿宋_GB2312" w:hAnsi="宋体" w:hint="eastAsia"/>
          <w:sz w:val="28"/>
          <w:szCs w:val="28"/>
        </w:rPr>
        <w:t>个，未完成7个，涉及项目主要为：李遂等四处人民法院基础建设，业务装备费项目等。主要原因是：2</w:t>
      </w:r>
      <w:r w:rsidRPr="00A84732">
        <w:rPr>
          <w:rFonts w:ascii="仿宋_GB2312" w:eastAsia="仿宋_GB2312" w:hAnsi="宋体"/>
          <w:sz w:val="28"/>
          <w:szCs w:val="28"/>
        </w:rPr>
        <w:t>021</w:t>
      </w:r>
      <w:r w:rsidRPr="00A84732">
        <w:rPr>
          <w:rFonts w:ascii="仿宋_GB2312" w:eastAsia="仿宋_GB2312" w:hAnsi="宋体" w:hint="eastAsia"/>
          <w:sz w:val="28"/>
          <w:szCs w:val="28"/>
        </w:rPr>
        <w:t>年区域规划尚未稳定，拆迁及工程建设共走无法全年开展，导致工程延期开工，款项结余结转下年继续使用。</w:t>
      </w:r>
    </w:p>
    <w:p w:rsidR="00197271" w:rsidRPr="00E827E1" w:rsidRDefault="00197271" w:rsidP="00197271">
      <w:pPr>
        <w:spacing w:line="580" w:lineRule="exact"/>
        <w:ind w:leftChars="50" w:left="105" w:firstLineChars="150" w:firstLine="420"/>
        <w:rPr>
          <w:rFonts w:ascii="仿宋_GB2312" w:eastAsia="仿宋_GB2312" w:hAnsi="仿宋_GB2312" w:cs="仿宋_GB2312" w:hint="eastAsia"/>
          <w:kern w:val="0"/>
          <w:sz w:val="28"/>
          <w:szCs w:val="28"/>
        </w:rPr>
      </w:pPr>
      <w:r>
        <w:rPr>
          <w:rFonts w:ascii="仿宋_GB2312" w:eastAsia="仿宋_GB2312" w:hAnsi="仿宋_GB2312" w:cs="仿宋_GB2312" w:hint="eastAsia"/>
          <w:color w:val="000000"/>
          <w:kern w:val="0"/>
          <w:sz w:val="28"/>
          <w:szCs w:val="28"/>
        </w:rPr>
        <w:t>（2）产出质</w:t>
      </w:r>
      <w:r w:rsidRPr="00E827E1">
        <w:rPr>
          <w:rFonts w:ascii="仿宋_GB2312" w:eastAsia="仿宋_GB2312" w:hAnsi="仿宋_GB2312" w:cs="仿宋_GB2312" w:hint="eastAsia"/>
          <w:kern w:val="0"/>
          <w:sz w:val="28"/>
          <w:szCs w:val="28"/>
        </w:rPr>
        <w:t>量</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切实把好案件质量“关口”，严格落实院庭长监督、专业法官会议、审判委员会等制度，常态化开展案件评查，将评查结果纳入绩效考核，实现“查”得主动，“评”得到位，“改”得深入，促进法官规范行权和法律统一适用；完善执行权监督制约体系，强化终本案件管理，制定工作办法，成立专项工作组，定期开展评查、逐项整改并通报结果，严格落实问责机制，确保终本案件依法依规；构建</w:t>
      </w:r>
      <w:r w:rsidRPr="00A84732">
        <w:rPr>
          <w:rFonts w:ascii="仿宋_GB2312" w:eastAsia="仿宋_GB2312" w:hAnsi="宋体" w:hint="eastAsia"/>
          <w:sz w:val="28"/>
          <w:szCs w:val="28"/>
        </w:rPr>
        <w:lastRenderedPageBreak/>
        <w:t>“倒金字塔”型工作体系加强案例工作，共计32篇案例分析入选中国法院2021年度案例库，采用量居全市基层法院第2位。2</w:t>
      </w:r>
      <w:r w:rsidRPr="00A84732">
        <w:rPr>
          <w:rFonts w:ascii="仿宋_GB2312" w:eastAsia="仿宋_GB2312" w:hAnsi="宋体"/>
          <w:sz w:val="28"/>
          <w:szCs w:val="28"/>
        </w:rPr>
        <w:t>021</w:t>
      </w:r>
      <w:r w:rsidRPr="00A84732">
        <w:rPr>
          <w:rFonts w:ascii="仿宋_GB2312" w:eastAsia="仿宋_GB2312" w:hAnsi="宋体" w:hint="eastAsia"/>
          <w:sz w:val="28"/>
          <w:szCs w:val="28"/>
        </w:rPr>
        <w:t>年一审判决案件改判发回重审率（瑕疵）0.44%，裁判文书上网率：100%，案件投诉信访率：8.57%，执行质效99.58%。与年初绩效目标项目相比，一审判决案件改判发回重审率高出年初绩效目标2</w:t>
      </w:r>
      <w:r w:rsidRPr="00A84732">
        <w:rPr>
          <w:rFonts w:ascii="仿宋_GB2312" w:eastAsia="仿宋_GB2312" w:hAnsi="宋体"/>
          <w:sz w:val="28"/>
          <w:szCs w:val="28"/>
        </w:rPr>
        <w:t>2</w:t>
      </w:r>
      <w:r w:rsidRPr="00A84732">
        <w:rPr>
          <w:rFonts w:ascii="仿宋_GB2312" w:eastAsia="仿宋_GB2312" w:hAnsi="宋体" w:hint="eastAsia"/>
          <w:sz w:val="28"/>
          <w:szCs w:val="28"/>
        </w:rPr>
        <w:t>倍，投诉信访率高出年初绩效目标8</w:t>
      </w:r>
      <w:r w:rsidRPr="00A84732">
        <w:rPr>
          <w:rFonts w:ascii="仿宋_GB2312" w:eastAsia="仿宋_GB2312" w:hAnsi="宋体"/>
          <w:sz w:val="28"/>
          <w:szCs w:val="28"/>
        </w:rPr>
        <w:t>57</w:t>
      </w:r>
      <w:r w:rsidRPr="00A84732">
        <w:rPr>
          <w:rFonts w:ascii="仿宋_GB2312" w:eastAsia="仿宋_GB2312" w:hAnsi="宋体" w:hint="eastAsia"/>
          <w:sz w:val="28"/>
          <w:szCs w:val="28"/>
        </w:rPr>
        <w:t>倍，主要原因是：审判人员办案过程中与当事人解释、沟通工作不够全面；部分当事人对法院办案程序、法律规定不理解，甚至个别当事人认识偏执。在将来的工作中我们将加大释法析理，判后答疑，教育疏导力度。</w:t>
      </w:r>
    </w:p>
    <w:p w:rsidR="00197271" w:rsidRPr="00E827E1" w:rsidRDefault="00197271" w:rsidP="00197271">
      <w:pPr>
        <w:spacing w:line="580" w:lineRule="exact"/>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hint="eastAsia"/>
          <w:sz w:val="28"/>
          <w:szCs w:val="28"/>
        </w:rPr>
        <w:t>顺义法院将坚持围绕中心、服务大局，聚焦高质量发展主题，努力为首都“十四五”良好开局提供优质司法服务和保障，坚持以人民为中心，主动回应群众关切，切实维护人民群众合法权益为目标，全年预算项目3</w:t>
      </w:r>
      <w:r w:rsidRPr="00A84732">
        <w:rPr>
          <w:rFonts w:ascii="仿宋_GB2312" w:eastAsia="仿宋_GB2312" w:hAnsi="宋体"/>
          <w:sz w:val="28"/>
          <w:szCs w:val="28"/>
        </w:rPr>
        <w:t>4</w:t>
      </w:r>
      <w:r w:rsidRPr="00A84732">
        <w:rPr>
          <w:rFonts w:ascii="仿宋_GB2312" w:eastAsia="仿宋_GB2312" w:hAnsi="宋体" w:hint="eastAsia"/>
          <w:sz w:val="28"/>
          <w:szCs w:val="28"/>
        </w:rPr>
        <w:t>个，截止目前，已完成项目</w:t>
      </w:r>
      <w:r w:rsidRPr="00A84732">
        <w:rPr>
          <w:rFonts w:ascii="仿宋_GB2312" w:eastAsia="仿宋_GB2312" w:hAnsi="宋体"/>
          <w:sz w:val="28"/>
          <w:szCs w:val="28"/>
        </w:rPr>
        <w:t>27</w:t>
      </w:r>
      <w:r w:rsidRPr="00A84732">
        <w:rPr>
          <w:rFonts w:ascii="仿宋_GB2312" w:eastAsia="仿宋_GB2312" w:hAnsi="宋体" w:hint="eastAsia"/>
          <w:sz w:val="28"/>
          <w:szCs w:val="28"/>
        </w:rPr>
        <w:t>个，已完成项目能够较好的满足办公要求，各项配备完整，服务质量较好，基本符合验收要求。</w:t>
      </w:r>
    </w:p>
    <w:p w:rsidR="00197271" w:rsidRPr="00E827E1" w:rsidRDefault="00197271" w:rsidP="00197271">
      <w:pPr>
        <w:spacing w:line="580" w:lineRule="exact"/>
        <w:ind w:leftChars="50" w:left="105" w:firstLineChars="150" w:firstLine="420"/>
        <w:rPr>
          <w:rFonts w:ascii="仿宋_GB2312" w:eastAsia="仿宋_GB2312" w:hAnsi="仿宋_GB2312" w:cs="仿宋_GB2312" w:hint="eastAsia"/>
          <w:kern w:val="0"/>
          <w:sz w:val="28"/>
          <w:szCs w:val="28"/>
        </w:rPr>
      </w:pPr>
      <w:r>
        <w:rPr>
          <w:rFonts w:ascii="仿宋_GB2312" w:eastAsia="仿宋_GB2312" w:hAnsi="仿宋_GB2312" w:cs="仿宋_GB2312" w:hint="eastAsia"/>
          <w:color w:val="000000"/>
          <w:kern w:val="0"/>
          <w:sz w:val="28"/>
          <w:szCs w:val="28"/>
        </w:rPr>
        <w:t>（3）产出进</w:t>
      </w:r>
      <w:r w:rsidRPr="00E827E1">
        <w:rPr>
          <w:rFonts w:ascii="仿宋_GB2312" w:eastAsia="仿宋_GB2312" w:hAnsi="仿宋_GB2312" w:cs="仿宋_GB2312" w:hint="eastAsia"/>
          <w:kern w:val="0"/>
          <w:sz w:val="28"/>
          <w:szCs w:val="28"/>
        </w:rPr>
        <w:t>度</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2</w:t>
      </w:r>
      <w:r w:rsidRPr="00A84732">
        <w:rPr>
          <w:rFonts w:ascii="仿宋_GB2312" w:eastAsia="仿宋_GB2312" w:hAnsi="宋体"/>
          <w:sz w:val="28"/>
          <w:szCs w:val="28"/>
        </w:rPr>
        <w:t>021</w:t>
      </w:r>
      <w:r w:rsidRPr="00A84732">
        <w:rPr>
          <w:rFonts w:ascii="仿宋_GB2312" w:eastAsia="仿宋_GB2312" w:hAnsi="宋体" w:hint="eastAsia"/>
          <w:sz w:val="28"/>
          <w:szCs w:val="28"/>
        </w:rPr>
        <w:t>年全院新收案40543件，结案37047件，结收比91.38%，开展“无接触式”诉讼服务，加大在线庭审工作力度，落实“线上优先”原则，依托线上信息化方式开展谈话、庭前质证、调解、开庭等工作，在线庭审率为75.64%。提高鉴定工作实效，完善鉴定委托前严格审查、委托中实时督促、委托后效果反馈机制，鉴定平均周期由47天缩短为30天。全院案件电子送达覆盖率达到63.41%，很好的完成了年初设定的指标。</w:t>
      </w:r>
    </w:p>
    <w:p w:rsidR="00197271" w:rsidRPr="00E827E1" w:rsidRDefault="00197271" w:rsidP="00197271">
      <w:pPr>
        <w:spacing w:line="580" w:lineRule="exact"/>
        <w:ind w:firstLineChars="200" w:firstLine="560"/>
        <w:rPr>
          <w:rFonts w:hint="eastAsia"/>
        </w:rPr>
      </w:pPr>
      <w:r w:rsidRPr="00A84732">
        <w:rPr>
          <w:rFonts w:ascii="仿宋_GB2312" w:eastAsia="仿宋_GB2312" w:hAnsi="宋体"/>
          <w:sz w:val="28"/>
          <w:szCs w:val="28"/>
        </w:rPr>
        <w:t>2021</w:t>
      </w:r>
      <w:r w:rsidRPr="00A84732">
        <w:rPr>
          <w:rFonts w:ascii="仿宋_GB2312" w:eastAsia="仿宋_GB2312" w:hAnsi="宋体" w:hint="eastAsia"/>
          <w:sz w:val="28"/>
          <w:szCs w:val="28"/>
        </w:rPr>
        <w:t>年，已完成项目2</w:t>
      </w:r>
      <w:r w:rsidRPr="00A84732">
        <w:rPr>
          <w:rFonts w:ascii="仿宋_GB2312" w:eastAsia="仿宋_GB2312" w:hAnsi="宋体"/>
          <w:sz w:val="28"/>
          <w:szCs w:val="28"/>
        </w:rPr>
        <w:t>7</w:t>
      </w:r>
      <w:r w:rsidRPr="00A84732">
        <w:rPr>
          <w:rFonts w:ascii="仿宋_GB2312" w:eastAsia="仿宋_GB2312" w:hAnsi="宋体" w:hint="eastAsia"/>
          <w:sz w:val="28"/>
          <w:szCs w:val="28"/>
        </w:rPr>
        <w:t>个，未完成7个，其中“顺义区人民法</w:t>
      </w:r>
      <w:r w:rsidRPr="00A84732">
        <w:rPr>
          <w:rFonts w:ascii="仿宋_GB2312" w:eastAsia="仿宋_GB2312" w:hAnsi="宋体" w:hint="eastAsia"/>
          <w:sz w:val="28"/>
          <w:szCs w:val="28"/>
        </w:rPr>
        <w:lastRenderedPageBreak/>
        <w:t>院李遂人民法庭”等四个法庭建设项目因外部规划等原因未能如期完成。</w:t>
      </w:r>
    </w:p>
    <w:p w:rsidR="00197271" w:rsidRPr="00E827E1" w:rsidRDefault="00197271" w:rsidP="00197271">
      <w:pPr>
        <w:spacing w:line="600" w:lineRule="exact"/>
        <w:ind w:firstLineChars="200" w:firstLine="560"/>
        <w:rPr>
          <w:rFonts w:ascii="仿宋_GB2312" w:eastAsia="仿宋_GB2312" w:hAnsi="仿宋_GB2312" w:cs="仿宋_GB2312" w:hint="eastAsia"/>
          <w:kern w:val="0"/>
          <w:sz w:val="28"/>
          <w:szCs w:val="28"/>
        </w:rPr>
      </w:pPr>
      <w:r>
        <w:rPr>
          <w:rFonts w:ascii="仿宋_GB2312" w:eastAsia="仿宋_GB2312" w:hAnsi="仿宋_GB2312" w:cs="仿宋_GB2312" w:hint="eastAsia"/>
          <w:color w:val="000000"/>
          <w:kern w:val="0"/>
          <w:sz w:val="28"/>
          <w:szCs w:val="28"/>
        </w:rPr>
        <w:t>（4）产</w:t>
      </w:r>
      <w:r w:rsidRPr="00E827E1">
        <w:rPr>
          <w:rFonts w:ascii="仿宋_GB2312" w:eastAsia="仿宋_GB2312" w:hAnsi="仿宋_GB2312" w:cs="仿宋_GB2312" w:hint="eastAsia"/>
          <w:kern w:val="0"/>
          <w:sz w:val="28"/>
          <w:szCs w:val="28"/>
        </w:rPr>
        <w:t xml:space="preserve">出成本 </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为更好的控制预算成本，按照财政部门要求，及时完成预决算工作及财务信息公开工作，严格落实财政财务各项政策，执行国家各项开支标准，建立健全各项财务管理制度；不断加大与相关部门的沟通协调力度，做好各项资金的服务工作；严格控制三公经费支出，核减三公经费</w:t>
      </w:r>
      <w:r w:rsidRPr="00A84732">
        <w:rPr>
          <w:rFonts w:ascii="仿宋_GB2312" w:eastAsia="仿宋_GB2312" w:hAnsi="宋体"/>
          <w:sz w:val="28"/>
          <w:szCs w:val="28"/>
        </w:rPr>
        <w:t>28.87</w:t>
      </w:r>
      <w:r w:rsidRPr="00A84732">
        <w:rPr>
          <w:rFonts w:ascii="仿宋_GB2312" w:eastAsia="仿宋_GB2312" w:hAnsi="宋体" w:hint="eastAsia"/>
          <w:sz w:val="28"/>
          <w:szCs w:val="28"/>
        </w:rPr>
        <w:t>万元。2</w:t>
      </w:r>
      <w:r w:rsidRPr="00A84732">
        <w:rPr>
          <w:rFonts w:ascii="仿宋_GB2312" w:eastAsia="仿宋_GB2312" w:hAnsi="宋体"/>
          <w:sz w:val="28"/>
          <w:szCs w:val="28"/>
        </w:rPr>
        <w:t>021</w:t>
      </w:r>
      <w:r w:rsidRPr="00A84732">
        <w:rPr>
          <w:rFonts w:ascii="仿宋_GB2312" w:eastAsia="仿宋_GB2312" w:hAnsi="宋体" w:hint="eastAsia"/>
          <w:sz w:val="28"/>
          <w:szCs w:val="28"/>
        </w:rPr>
        <w:t>年实现全口径案件成本0.1058万元/件，转移支付资金案件成本0.0392万元/件。项目支出方面，建立节约型财政保障机制，严把预算支出关口，厉行节约办一切原则，严控项目。</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2.效果实现情况分析</w:t>
      </w:r>
    </w:p>
    <w:p w:rsidR="00197271" w:rsidRPr="009B3860" w:rsidRDefault="00197271" w:rsidP="00197271">
      <w:pPr>
        <w:spacing w:line="580" w:lineRule="exact"/>
        <w:ind w:leftChars="50" w:left="105" w:firstLineChars="150" w:firstLine="420"/>
        <w:rPr>
          <w:rFonts w:ascii="仿宋_GB2312" w:eastAsia="仿宋_GB2312" w:hAnsi="仿宋_GB2312" w:cs="仿宋_GB2312" w:hint="eastAsia"/>
          <w:kern w:val="0"/>
          <w:sz w:val="28"/>
          <w:szCs w:val="28"/>
        </w:rPr>
      </w:pPr>
      <w:r>
        <w:rPr>
          <w:rFonts w:ascii="仿宋_GB2312" w:eastAsia="仿宋_GB2312" w:hAnsi="仿宋_GB2312" w:cs="仿宋_GB2312" w:hint="eastAsia"/>
          <w:color w:val="000000"/>
          <w:kern w:val="0"/>
          <w:sz w:val="28"/>
          <w:szCs w:val="28"/>
        </w:rPr>
        <w:t>（1）经济</w:t>
      </w:r>
      <w:r w:rsidRPr="009B3860">
        <w:rPr>
          <w:rFonts w:ascii="仿宋_GB2312" w:eastAsia="仿宋_GB2312" w:hAnsi="仿宋_GB2312" w:cs="仿宋_GB2312" w:hint="eastAsia"/>
          <w:kern w:val="0"/>
          <w:sz w:val="28"/>
          <w:szCs w:val="28"/>
        </w:rPr>
        <w:t>效益</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2021年度网上预约立案数量26.36%，同时坚决兜住民生底线，深化劳动争议裁审衔接机制，平等保护劳动者和用人单位合法权益。精细推进司法救助，先行救助孤残老幼特殊群体，帮助群众解决生活极端困难问题，深入开展专题调研，提高司法对策的前瞻性、针对性。积极服务全面推进乡村振兴战略，规范土地承包经营权有序流转，依法审结土地承包纠纷。持续优化营商环境，依法审结买卖、金融借款合同纠纷、股权转让纠纷，维护公平公正的市场秩序。在全市法院率先出台服务保障“两区”建设工作意见，与区商务局、区工商联、重点园区建立沟通联动机制，成立服务保障“两区”建设工作站，组建涉外审判团队，高效标记、跟踪、审理涉重点企业案件。激发市场主体竞争活力，推动“僵尸企业”有序退出市场。</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lastRenderedPageBreak/>
        <w:t>同时针对新收执行案款，构建</w:t>
      </w:r>
      <w:r w:rsidRPr="00A84732">
        <w:rPr>
          <w:rFonts w:ascii="仿宋_GB2312" w:eastAsia="仿宋_GB2312" w:hAnsi="宋体"/>
          <w:sz w:val="28"/>
          <w:szCs w:val="28"/>
        </w:rPr>
        <w:t>“</w:t>
      </w:r>
      <w:r w:rsidRPr="00A84732">
        <w:rPr>
          <w:rFonts w:ascii="仿宋_GB2312" w:eastAsia="仿宋_GB2312" w:hAnsi="宋体"/>
          <w:sz w:val="28"/>
          <w:szCs w:val="28"/>
        </w:rPr>
        <w:t>7+10+15</w:t>
      </w:r>
      <w:r w:rsidRPr="00A84732">
        <w:rPr>
          <w:rFonts w:ascii="仿宋_GB2312" w:eastAsia="仿宋_GB2312" w:hAnsi="宋体"/>
          <w:sz w:val="28"/>
          <w:szCs w:val="28"/>
        </w:rPr>
        <w:t>”</w:t>
      </w:r>
      <w:r w:rsidRPr="00A84732">
        <w:rPr>
          <w:rFonts w:ascii="仿宋_GB2312" w:eastAsia="仿宋_GB2312" w:hAnsi="宋体" w:hint="eastAsia"/>
          <w:sz w:val="28"/>
          <w:szCs w:val="28"/>
        </w:rPr>
        <w:t>管理机制，累计发放案款</w:t>
      </w:r>
      <w:r w:rsidRPr="00A84732">
        <w:rPr>
          <w:rFonts w:ascii="仿宋_GB2312" w:eastAsia="仿宋_GB2312" w:hAnsi="宋体"/>
          <w:sz w:val="28"/>
          <w:szCs w:val="28"/>
        </w:rPr>
        <w:t>10.76</w:t>
      </w:r>
      <w:r w:rsidRPr="00A84732">
        <w:rPr>
          <w:rFonts w:ascii="仿宋_GB2312" w:eastAsia="仿宋_GB2312" w:hAnsi="宋体" w:hint="eastAsia"/>
          <w:sz w:val="28"/>
          <w:szCs w:val="28"/>
        </w:rPr>
        <w:t>亿余元，所有超期未发还案款除提存、推迟发还外已全部清零，案款收发时限缩短</w:t>
      </w:r>
      <w:r w:rsidRPr="00A84732">
        <w:rPr>
          <w:rFonts w:ascii="仿宋_GB2312" w:eastAsia="仿宋_GB2312" w:hAnsi="宋体"/>
          <w:sz w:val="28"/>
          <w:szCs w:val="28"/>
        </w:rPr>
        <w:t>21.35%</w:t>
      </w:r>
      <w:r w:rsidRPr="00A84732">
        <w:rPr>
          <w:rFonts w:ascii="仿宋_GB2312" w:eastAsia="仿宋_GB2312" w:hAnsi="宋体" w:hint="eastAsia"/>
          <w:sz w:val="28"/>
          <w:szCs w:val="28"/>
        </w:rPr>
        <w:t>。</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（2）社会效益</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尊重契约自由、维护诚实信用，保障规则公平、权利公平、机会公平，稳定市场主体预期，增强企业信心，审结买卖、租赁等合同纠纷14834件。依法保护民营企业合法权益，防止超标的查封、扣押、冻结企业财产，让企业家专心创业、放心投资、安心经营。首都治案相关案件结案1470件，解决执行难结案14215件。2</w:t>
      </w:r>
      <w:r w:rsidRPr="00A84732">
        <w:rPr>
          <w:rFonts w:ascii="仿宋_GB2312" w:eastAsia="仿宋_GB2312" w:hAnsi="宋体"/>
          <w:sz w:val="28"/>
          <w:szCs w:val="28"/>
        </w:rPr>
        <w:t>021</w:t>
      </w:r>
      <w:r w:rsidRPr="00A84732">
        <w:rPr>
          <w:rFonts w:ascii="仿宋_GB2312" w:eastAsia="仿宋_GB2312" w:hAnsi="宋体" w:hint="eastAsia"/>
          <w:sz w:val="28"/>
          <w:szCs w:val="28"/>
        </w:rPr>
        <w:t>年法院为涉民生案件开辟“绿色通道”，秉持“三优先”工作理念，快速执结涉民生案件1232件，案件执结率为82.08%，执行到位金额8543.73万元，高效兑现真金白银，坚决兜牢民生底线。</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审判态势稳中向好，在全市第一批政法队伍教育整顿中被评定为优秀，获评北京市</w:t>
      </w:r>
      <w:r w:rsidRPr="00A84732">
        <w:rPr>
          <w:rFonts w:ascii="仿宋_GB2312" w:eastAsia="仿宋_GB2312" w:hAnsi="宋体"/>
          <w:sz w:val="28"/>
          <w:szCs w:val="28"/>
        </w:rPr>
        <w:t>“</w:t>
      </w:r>
      <w:r w:rsidRPr="00A84732">
        <w:rPr>
          <w:rFonts w:ascii="仿宋_GB2312" w:eastAsia="仿宋_GB2312" w:hAnsi="宋体" w:hint="eastAsia"/>
          <w:sz w:val="28"/>
          <w:szCs w:val="28"/>
        </w:rPr>
        <w:t>七五</w:t>
      </w:r>
      <w:r w:rsidRPr="00A84732">
        <w:rPr>
          <w:rFonts w:ascii="仿宋_GB2312" w:eastAsia="仿宋_GB2312" w:hAnsi="宋体"/>
          <w:sz w:val="28"/>
          <w:szCs w:val="28"/>
        </w:rPr>
        <w:t>”</w:t>
      </w:r>
      <w:r w:rsidRPr="00A84732">
        <w:rPr>
          <w:rFonts w:ascii="仿宋_GB2312" w:eastAsia="仿宋_GB2312" w:hAnsi="宋体" w:hint="eastAsia"/>
          <w:sz w:val="28"/>
          <w:szCs w:val="28"/>
        </w:rPr>
        <w:t>普法先进集体。</w:t>
      </w:r>
    </w:p>
    <w:p w:rsidR="00197271" w:rsidRPr="009B3860" w:rsidRDefault="00197271" w:rsidP="00197271">
      <w:pPr>
        <w:spacing w:line="580" w:lineRule="exact"/>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hint="eastAsia"/>
          <w:sz w:val="28"/>
          <w:szCs w:val="28"/>
        </w:rPr>
        <w:t>同时巩固扫黑除恶专项斗争成果，围绕</w:t>
      </w:r>
      <w:r w:rsidRPr="00A84732">
        <w:rPr>
          <w:rFonts w:ascii="仿宋_GB2312" w:eastAsia="仿宋_GB2312" w:hAnsi="宋体"/>
          <w:sz w:val="28"/>
          <w:szCs w:val="28"/>
        </w:rPr>
        <w:t>“</w:t>
      </w:r>
      <w:r w:rsidRPr="00A84732">
        <w:rPr>
          <w:rFonts w:ascii="仿宋_GB2312" w:eastAsia="仿宋_GB2312" w:hAnsi="宋体" w:hint="eastAsia"/>
          <w:sz w:val="28"/>
          <w:szCs w:val="28"/>
        </w:rPr>
        <w:t>案件攻坚</w:t>
      </w:r>
      <w:r w:rsidRPr="00A84732">
        <w:rPr>
          <w:rFonts w:ascii="仿宋_GB2312" w:eastAsia="仿宋_GB2312" w:hAnsi="宋体"/>
          <w:sz w:val="28"/>
          <w:szCs w:val="28"/>
        </w:rPr>
        <w:t>”“</w:t>
      </w:r>
      <w:r w:rsidRPr="00A84732">
        <w:rPr>
          <w:rFonts w:ascii="仿宋_GB2312" w:eastAsia="仿宋_GB2312" w:hAnsi="宋体" w:hint="eastAsia"/>
          <w:sz w:val="28"/>
          <w:szCs w:val="28"/>
        </w:rPr>
        <w:t>打伞破网</w:t>
      </w:r>
      <w:r w:rsidRPr="00A84732">
        <w:rPr>
          <w:rFonts w:ascii="仿宋_GB2312" w:eastAsia="仿宋_GB2312" w:hAnsi="宋体"/>
          <w:sz w:val="28"/>
          <w:szCs w:val="28"/>
        </w:rPr>
        <w:t>”“</w:t>
      </w:r>
      <w:r w:rsidRPr="00A84732">
        <w:rPr>
          <w:rFonts w:ascii="仿宋_GB2312" w:eastAsia="仿宋_GB2312" w:hAnsi="宋体" w:hint="eastAsia"/>
          <w:sz w:val="28"/>
          <w:szCs w:val="28"/>
        </w:rPr>
        <w:t>打财断血</w:t>
      </w:r>
      <w:r w:rsidRPr="00A84732">
        <w:rPr>
          <w:rFonts w:ascii="仿宋_GB2312" w:eastAsia="仿宋_GB2312" w:hAnsi="宋体"/>
          <w:sz w:val="28"/>
          <w:szCs w:val="28"/>
        </w:rPr>
        <w:t>”</w:t>
      </w:r>
      <w:r w:rsidRPr="00A84732">
        <w:rPr>
          <w:rFonts w:ascii="仿宋_GB2312" w:eastAsia="仿宋_GB2312" w:hAnsi="宋体" w:hint="eastAsia"/>
          <w:sz w:val="28"/>
          <w:szCs w:val="28"/>
        </w:rPr>
        <w:t>等重点工作，依法严惩黑恶势力及其</w:t>
      </w:r>
      <w:r w:rsidRPr="00A84732">
        <w:rPr>
          <w:rFonts w:ascii="仿宋_GB2312" w:eastAsia="仿宋_GB2312" w:hAnsi="宋体"/>
          <w:sz w:val="28"/>
          <w:szCs w:val="28"/>
        </w:rPr>
        <w:t>“</w:t>
      </w:r>
      <w:r w:rsidRPr="00A84732">
        <w:rPr>
          <w:rFonts w:ascii="仿宋_GB2312" w:eastAsia="仿宋_GB2312" w:hAnsi="宋体" w:hint="eastAsia"/>
          <w:sz w:val="28"/>
          <w:szCs w:val="28"/>
        </w:rPr>
        <w:t>保护伞</w:t>
      </w:r>
      <w:r w:rsidRPr="00A84732">
        <w:rPr>
          <w:rFonts w:ascii="仿宋_GB2312" w:eastAsia="仿宋_GB2312" w:hAnsi="宋体"/>
          <w:sz w:val="28"/>
          <w:szCs w:val="28"/>
        </w:rPr>
        <w:t>”</w:t>
      </w:r>
      <w:r w:rsidRPr="00A84732">
        <w:rPr>
          <w:rFonts w:ascii="仿宋_GB2312" w:eastAsia="仿宋_GB2312" w:hAnsi="宋体" w:hint="eastAsia"/>
          <w:sz w:val="28"/>
          <w:szCs w:val="28"/>
        </w:rPr>
        <w:t>，涉黑恶执行案件共</w:t>
      </w:r>
      <w:r w:rsidRPr="00A84732">
        <w:rPr>
          <w:rFonts w:ascii="仿宋_GB2312" w:eastAsia="仿宋_GB2312" w:hAnsi="宋体"/>
          <w:sz w:val="28"/>
          <w:szCs w:val="28"/>
        </w:rPr>
        <w:t>68</w:t>
      </w:r>
      <w:r w:rsidRPr="00A84732">
        <w:rPr>
          <w:rFonts w:ascii="仿宋_GB2312" w:eastAsia="仿宋_GB2312" w:hAnsi="宋体" w:hint="eastAsia"/>
          <w:sz w:val="28"/>
          <w:szCs w:val="28"/>
        </w:rPr>
        <w:t>件，结案率达</w:t>
      </w:r>
      <w:r w:rsidRPr="00A84732">
        <w:rPr>
          <w:rFonts w:ascii="仿宋_GB2312" w:eastAsia="仿宋_GB2312" w:hAnsi="宋体"/>
          <w:sz w:val="28"/>
          <w:szCs w:val="28"/>
        </w:rPr>
        <w:t>100%</w:t>
      </w:r>
      <w:r w:rsidRPr="00A84732">
        <w:rPr>
          <w:rFonts w:ascii="仿宋_GB2312" w:eastAsia="仿宋_GB2312" w:hAnsi="宋体" w:hint="eastAsia"/>
          <w:sz w:val="28"/>
          <w:szCs w:val="28"/>
        </w:rPr>
        <w:t>，执行标的额超</w:t>
      </w:r>
      <w:r w:rsidRPr="00A84732">
        <w:rPr>
          <w:rFonts w:ascii="仿宋_GB2312" w:eastAsia="仿宋_GB2312" w:hAnsi="宋体"/>
          <w:sz w:val="28"/>
          <w:szCs w:val="28"/>
        </w:rPr>
        <w:t>1500</w:t>
      </w:r>
      <w:r w:rsidRPr="00A84732">
        <w:rPr>
          <w:rFonts w:ascii="仿宋_GB2312" w:eastAsia="仿宋_GB2312" w:hAnsi="宋体" w:hint="eastAsia"/>
          <w:sz w:val="28"/>
          <w:szCs w:val="28"/>
        </w:rPr>
        <w:t>万余元，发送司法建议</w:t>
      </w:r>
      <w:r w:rsidRPr="00A84732">
        <w:rPr>
          <w:rFonts w:ascii="仿宋_GB2312" w:eastAsia="仿宋_GB2312" w:hAnsi="宋体"/>
          <w:sz w:val="28"/>
          <w:szCs w:val="28"/>
        </w:rPr>
        <w:t>12</w:t>
      </w:r>
      <w:r w:rsidRPr="00A84732">
        <w:rPr>
          <w:rFonts w:ascii="仿宋_GB2312" w:eastAsia="仿宋_GB2312" w:hAnsi="宋体" w:hint="eastAsia"/>
          <w:sz w:val="28"/>
          <w:szCs w:val="28"/>
        </w:rPr>
        <w:t>份，实现</w:t>
      </w:r>
      <w:r w:rsidRPr="00A84732">
        <w:rPr>
          <w:rFonts w:ascii="仿宋_GB2312" w:eastAsia="仿宋_GB2312" w:hAnsi="宋体"/>
          <w:sz w:val="28"/>
          <w:szCs w:val="28"/>
        </w:rPr>
        <w:t>“</w:t>
      </w:r>
      <w:r w:rsidRPr="00A84732">
        <w:rPr>
          <w:rFonts w:ascii="仿宋_GB2312" w:eastAsia="仿宋_GB2312" w:hAnsi="宋体" w:hint="eastAsia"/>
          <w:sz w:val="28"/>
          <w:szCs w:val="28"/>
        </w:rPr>
        <w:t>办理一案、治理一片</w:t>
      </w:r>
      <w:r w:rsidRPr="00A84732">
        <w:rPr>
          <w:rFonts w:ascii="仿宋_GB2312" w:eastAsia="仿宋_GB2312" w:hAnsi="宋体"/>
          <w:sz w:val="28"/>
          <w:szCs w:val="28"/>
        </w:rPr>
        <w:t>”</w:t>
      </w:r>
      <w:r w:rsidRPr="00A84732">
        <w:rPr>
          <w:rFonts w:ascii="仿宋_GB2312" w:eastAsia="仿宋_GB2312" w:hAnsi="宋体" w:hint="eastAsia"/>
          <w:sz w:val="28"/>
          <w:szCs w:val="28"/>
        </w:rPr>
        <w:t>的效果；重视特殊时期、敏感节点，严格制定并报送</w:t>
      </w:r>
      <w:r w:rsidRPr="00A84732">
        <w:rPr>
          <w:rFonts w:ascii="仿宋_GB2312" w:eastAsia="仿宋_GB2312" w:hAnsi="宋体"/>
          <w:sz w:val="28"/>
          <w:szCs w:val="28"/>
        </w:rPr>
        <w:t>“</w:t>
      </w:r>
      <w:r w:rsidRPr="00A84732">
        <w:rPr>
          <w:rFonts w:ascii="仿宋_GB2312" w:eastAsia="仿宋_GB2312" w:hAnsi="宋体" w:hint="eastAsia"/>
          <w:sz w:val="28"/>
          <w:szCs w:val="28"/>
        </w:rPr>
        <w:t>三同步</w:t>
      </w:r>
      <w:r w:rsidRPr="00A84732">
        <w:rPr>
          <w:rFonts w:ascii="仿宋_GB2312" w:eastAsia="仿宋_GB2312" w:hAnsi="宋体"/>
          <w:sz w:val="28"/>
          <w:szCs w:val="28"/>
        </w:rPr>
        <w:t>”</w:t>
      </w:r>
      <w:r w:rsidRPr="00A84732">
        <w:rPr>
          <w:rFonts w:ascii="仿宋_GB2312" w:eastAsia="仿宋_GB2312" w:hAnsi="宋体" w:hint="eastAsia"/>
          <w:sz w:val="28"/>
          <w:szCs w:val="28"/>
        </w:rPr>
        <w:t>方案，尤其在疫情期间，严厉打击借机传播歪理邪说、影响疫情防控的犯罪分子；精细化推进司法救助工作，前移司法救助关口案件审理、执行阶段，创新实行要素式审查，探索运用司法救助金量化标准，共办理司法救助案件</w:t>
      </w:r>
      <w:r w:rsidRPr="00A84732">
        <w:rPr>
          <w:rFonts w:ascii="仿宋_GB2312" w:eastAsia="仿宋_GB2312" w:hAnsi="宋体"/>
          <w:sz w:val="28"/>
          <w:szCs w:val="28"/>
        </w:rPr>
        <w:t>10</w:t>
      </w:r>
      <w:r w:rsidRPr="00A84732">
        <w:rPr>
          <w:rFonts w:ascii="仿宋_GB2312" w:eastAsia="仿宋_GB2312" w:hAnsi="宋体" w:hint="eastAsia"/>
          <w:sz w:val="28"/>
          <w:szCs w:val="28"/>
        </w:rPr>
        <w:t>件，救助困难群众</w:t>
      </w:r>
      <w:r w:rsidRPr="00A84732">
        <w:rPr>
          <w:rFonts w:ascii="仿宋_GB2312" w:eastAsia="仿宋_GB2312" w:hAnsi="宋体"/>
          <w:sz w:val="28"/>
          <w:szCs w:val="28"/>
        </w:rPr>
        <w:t>11</w:t>
      </w:r>
      <w:r w:rsidRPr="00A84732">
        <w:rPr>
          <w:rFonts w:ascii="仿宋_GB2312" w:eastAsia="仿宋_GB2312" w:hAnsi="宋体" w:hint="eastAsia"/>
          <w:sz w:val="28"/>
          <w:szCs w:val="28"/>
        </w:rPr>
        <w:t>人，发放救助金</w:t>
      </w:r>
      <w:r w:rsidRPr="00A84732">
        <w:rPr>
          <w:rFonts w:ascii="仿宋_GB2312" w:eastAsia="仿宋_GB2312" w:hAnsi="宋体"/>
          <w:sz w:val="28"/>
          <w:szCs w:val="28"/>
        </w:rPr>
        <w:t>90</w:t>
      </w:r>
      <w:r w:rsidRPr="00A84732">
        <w:rPr>
          <w:rFonts w:ascii="仿宋_GB2312" w:eastAsia="仿宋_GB2312" w:hAnsi="宋体" w:hint="eastAsia"/>
          <w:sz w:val="28"/>
          <w:szCs w:val="28"/>
        </w:rPr>
        <w:t>余万元，实现有限救助金利用最大化，力求平复矛盾，减少不稳定因素。</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lastRenderedPageBreak/>
        <w:t>（3）环境效益</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顺义法院2021年度共审结环境资源类案件8件，为辖区生态环境保护提供有力的司法保障。</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（4）可持续性影响</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健全一站式多元解纷和诉讼服务体系，在更高起点上开展民事诉讼程序繁简分流试点工作，吸纳全区584家特邀调解组织进入法院特邀调解组织名册，构建多元调解主体全域覆盖的社会治理格局。66%的纠纷驶入调解、速裁结案快车道，实现轻重分离、快慢分道。创新便民举措，建立12368诉讼服务热线参与基层治理机制，热线响应率100%。建立“一站式引导当事人参与诉讼”新机制，率先推行“一窗通办”，网上立案率提升10个百分点。打造社会治理“顺义样本”，形成以诉调对接中心为核心、以人民法庭为支点、以法官工作站为网点的全网式立体化诉源治理新模式，将21个法官工作站打造为便民服务驿站，开展每月一诊、入户调解、院落审判，推动矛盾化解从终端裁决向源头防控延伸。</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2</w:t>
      </w:r>
      <w:r w:rsidRPr="00A84732">
        <w:rPr>
          <w:rFonts w:ascii="仿宋_GB2312" w:eastAsia="仿宋_GB2312" w:hAnsi="宋体"/>
          <w:sz w:val="28"/>
          <w:szCs w:val="28"/>
        </w:rPr>
        <w:t>021</w:t>
      </w:r>
      <w:r w:rsidRPr="00A84732">
        <w:rPr>
          <w:rFonts w:ascii="仿宋_GB2312" w:eastAsia="仿宋_GB2312" w:hAnsi="宋体" w:hint="eastAsia"/>
          <w:sz w:val="28"/>
          <w:szCs w:val="28"/>
        </w:rPr>
        <w:t>年构建</w:t>
      </w:r>
      <w:r w:rsidRPr="00A84732">
        <w:rPr>
          <w:rFonts w:ascii="仿宋_GB2312" w:eastAsia="仿宋_GB2312" w:hAnsi="宋体"/>
          <w:sz w:val="28"/>
          <w:szCs w:val="28"/>
        </w:rPr>
        <w:t>“</w:t>
      </w:r>
      <w:r w:rsidRPr="00A84732">
        <w:rPr>
          <w:rFonts w:ascii="仿宋_GB2312" w:eastAsia="仿宋_GB2312" w:hAnsi="宋体" w:hint="eastAsia"/>
          <w:sz w:val="28"/>
          <w:szCs w:val="28"/>
        </w:rPr>
        <w:t>倒金字塔</w:t>
      </w:r>
      <w:r w:rsidRPr="00A84732">
        <w:rPr>
          <w:rFonts w:ascii="仿宋_GB2312" w:eastAsia="仿宋_GB2312" w:hAnsi="宋体"/>
          <w:sz w:val="28"/>
          <w:szCs w:val="28"/>
        </w:rPr>
        <w:t>”</w:t>
      </w:r>
      <w:r w:rsidRPr="00A84732">
        <w:rPr>
          <w:rFonts w:ascii="仿宋_GB2312" w:eastAsia="仿宋_GB2312" w:hAnsi="宋体" w:hint="eastAsia"/>
          <w:sz w:val="28"/>
          <w:szCs w:val="28"/>
        </w:rPr>
        <w:t>型工作体系加强案例工作，共计</w:t>
      </w:r>
      <w:r w:rsidRPr="00A84732">
        <w:rPr>
          <w:rFonts w:ascii="仿宋_GB2312" w:eastAsia="仿宋_GB2312" w:hAnsi="宋体"/>
          <w:sz w:val="28"/>
          <w:szCs w:val="28"/>
        </w:rPr>
        <w:t>32</w:t>
      </w:r>
      <w:r w:rsidRPr="00A84732">
        <w:rPr>
          <w:rFonts w:ascii="仿宋_GB2312" w:eastAsia="仿宋_GB2312" w:hAnsi="宋体" w:hint="eastAsia"/>
          <w:sz w:val="28"/>
          <w:szCs w:val="28"/>
        </w:rPr>
        <w:t>篇案例分析入选中国法院</w:t>
      </w:r>
      <w:r w:rsidRPr="00A84732">
        <w:rPr>
          <w:rFonts w:ascii="仿宋_GB2312" w:eastAsia="仿宋_GB2312" w:hAnsi="宋体"/>
          <w:sz w:val="28"/>
          <w:szCs w:val="28"/>
        </w:rPr>
        <w:t>2021</w:t>
      </w:r>
      <w:r w:rsidRPr="00A84732">
        <w:rPr>
          <w:rFonts w:ascii="仿宋_GB2312" w:eastAsia="仿宋_GB2312" w:hAnsi="宋体" w:hint="eastAsia"/>
          <w:sz w:val="28"/>
          <w:szCs w:val="28"/>
        </w:rPr>
        <w:t>年度案例库，采用量居全市基层法院第</w:t>
      </w:r>
      <w:r w:rsidRPr="00A84732">
        <w:rPr>
          <w:rFonts w:ascii="仿宋_GB2312" w:eastAsia="仿宋_GB2312" w:hAnsi="宋体"/>
          <w:sz w:val="28"/>
          <w:szCs w:val="28"/>
        </w:rPr>
        <w:t>2</w:t>
      </w:r>
      <w:r w:rsidRPr="00A84732">
        <w:rPr>
          <w:rFonts w:ascii="仿宋_GB2312" w:eastAsia="仿宋_GB2312" w:hAnsi="宋体" w:hint="eastAsia"/>
          <w:sz w:val="28"/>
          <w:szCs w:val="28"/>
        </w:rPr>
        <w:t>位。</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（5）服务对象满意度</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北京市顺义区人民法院2021年度人大报告通过率为100%，实现法律效果和社会效果的统一，提升人民群众满意度。</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（四）预算管理情况分析</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1.财务管理</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（1）财务管理制度健全性</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lastRenderedPageBreak/>
        <w:t>为确保财政资金的合理使用，提高资金的使用效益，顺义法院结合实施项目的具体情况，从财务管理制度建设、财务监督等方面严格控制资金，确保资金使用合理有效。顺义法院成立以来，根据国家的政策要求，制定了严格的财务制度，财务制度的制定遵循了三个原则：一是预算的原则。顺义法院是国家的部门预算单位，财政预算的各项政策贯穿于财务活动的全过程，财务运转的过程实质上就是预算的编制、批复和执行的过程；二是财务支出分级授权、逐级审批的原则。经过院办公会授权，在预算范围内，每位领导根据工作权限都有财务支出审批的权限并承担相应的责任；三是执行国家标准的原则。将国家机关主要的财务开支标准写进制度予以执行。</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并随着形势不断地的变化，不断修改完善财务管理制度。近两年，顺义法院积极贯彻落实习近平同志关于厉行勤俭节约、反对铺张浪费重要批示精神及中央和本市关于改进工作作风、密切联系群众有关规定，于2</w:t>
      </w:r>
      <w:r w:rsidRPr="00A84732">
        <w:rPr>
          <w:rFonts w:ascii="仿宋_GB2312" w:eastAsia="仿宋_GB2312" w:hAnsi="宋体"/>
          <w:sz w:val="28"/>
          <w:szCs w:val="28"/>
        </w:rPr>
        <w:t>019</w:t>
      </w:r>
      <w:r w:rsidRPr="00A84732">
        <w:rPr>
          <w:rFonts w:ascii="仿宋_GB2312" w:eastAsia="仿宋_GB2312" w:hAnsi="宋体" w:hint="eastAsia"/>
          <w:sz w:val="28"/>
          <w:szCs w:val="28"/>
        </w:rPr>
        <w:t>年修订了内部控制手册及相关制度。</w:t>
      </w:r>
    </w:p>
    <w:p w:rsidR="00197271" w:rsidRPr="009B3860" w:rsidRDefault="00197271" w:rsidP="00197271">
      <w:pPr>
        <w:spacing w:line="580" w:lineRule="exact"/>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hint="eastAsia"/>
          <w:sz w:val="28"/>
          <w:szCs w:val="28"/>
        </w:rPr>
        <w:t>顺义法院在预算管理过程中主要采取措施如下：一是在编制</w:t>
      </w:r>
      <w:r w:rsidRPr="00A84732">
        <w:rPr>
          <w:rFonts w:ascii="仿宋_GB2312" w:eastAsia="仿宋_GB2312" w:hAnsi="宋体"/>
          <w:sz w:val="28"/>
          <w:szCs w:val="28"/>
        </w:rPr>
        <w:t>2021</w:t>
      </w:r>
      <w:r w:rsidRPr="00A84732">
        <w:rPr>
          <w:rFonts w:ascii="仿宋_GB2312" w:eastAsia="仿宋_GB2312" w:hAnsi="宋体" w:hint="eastAsia"/>
          <w:sz w:val="28"/>
          <w:szCs w:val="28"/>
        </w:rPr>
        <w:t>年预算时，将绩效目标的设定纳入预算管理。编制时充分考虑工作项目拟完成的产出指标和效果指标，科学确定部门预算绩效目标和项目预算绩效目标的内容。二是重点加强对预算绩效执行过程的管理和跟踪。顺义法院在接到预算批复后及时向各处室下达了项目预算及绩效指标，并向党组会进行了报告。顺义法院定期对项目预算绩效管理情况进行督导检查，对预算资金支付进度及预算绩效目标执行情况定期通报。积极完成预算绩效目标监控工作，形成绩效监控报告上报财政。</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（2）资金使用合规性和安全性</w:t>
      </w:r>
    </w:p>
    <w:p w:rsidR="00197271" w:rsidRPr="009B3860" w:rsidRDefault="00197271" w:rsidP="00197271">
      <w:pPr>
        <w:spacing w:line="580" w:lineRule="exact"/>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hint="eastAsia"/>
          <w:sz w:val="28"/>
          <w:szCs w:val="28"/>
        </w:rPr>
        <w:t>顺义法院在日常工作中加强资金使用管理。一是项目按财政部门</w:t>
      </w:r>
      <w:r w:rsidRPr="00A84732">
        <w:rPr>
          <w:rFonts w:ascii="仿宋_GB2312" w:eastAsia="仿宋_GB2312" w:hAnsi="宋体" w:hint="eastAsia"/>
          <w:sz w:val="28"/>
          <w:szCs w:val="28"/>
        </w:rPr>
        <w:lastRenderedPageBreak/>
        <w:t>要求单独核算，严格执行政府会计制度。二是财务支出按照权责发生制原则据实核算，与国库及时对账，年终按照财政要求编制财务决算。强化财务收支管理，严格执行收支两条线制度，把好收支监督关。强化票据管理，严禁使用非法票据。三是按照准则要求，会计资料包括原始凭证、记账凭证、会计账簿、会计报告等，会计档案完整有效。四是会计事项及时入账并及时向领导提供财务信息，每季度向局长办公会报告预算收支进度分析，提出改进意见，年终编制财务决算并向局长办公会和局党组会报告。</w:t>
      </w:r>
    </w:p>
    <w:p w:rsidR="00197271" w:rsidRDefault="00197271" w:rsidP="00197271">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（3）会计基础信息完善性</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顺义法院加强会计核算基本工作，保证会计资料真实、准确、完整，部门基础信息管理较好。</w:t>
      </w:r>
    </w:p>
    <w:p w:rsidR="00197271" w:rsidRPr="009B3860" w:rsidRDefault="00197271" w:rsidP="00197271">
      <w:pPr>
        <w:spacing w:line="580" w:lineRule="exact"/>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hint="eastAsia"/>
          <w:sz w:val="28"/>
          <w:szCs w:val="28"/>
        </w:rPr>
        <w:t>顺义法院预算管理在制度建设上较为健全，部门公务接待、公务用车控制情况符合财政部门预算要求和相关管理制度要求。部门使用预算资金与相关的预算财务管理制度相符，符合国家财经法规和财务管理制度规定以及有关专项资金管理办法的规定。</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2.资产管理</w:t>
      </w:r>
    </w:p>
    <w:p w:rsidR="00197271" w:rsidRPr="00E220AA" w:rsidRDefault="00197271" w:rsidP="00197271">
      <w:pPr>
        <w:spacing w:line="60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w:t>
      </w:r>
      <w:r w:rsidRPr="00E220AA">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w:t>
      </w:r>
      <w:r w:rsidRPr="00E220AA">
        <w:rPr>
          <w:rFonts w:ascii="仿宋_GB2312" w:eastAsia="仿宋_GB2312" w:hAnsi="仿宋_GB2312" w:cs="仿宋_GB2312" w:hint="eastAsia"/>
          <w:kern w:val="0"/>
          <w:sz w:val="28"/>
          <w:szCs w:val="28"/>
        </w:rPr>
        <w:t>资产配置合理性</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顺义法院在固定资产的配置上，按照固定资产配置标准，将需要购置的固定资产一并纳入年度部门预算编制固定资产购置预算。</w:t>
      </w:r>
    </w:p>
    <w:p w:rsidR="00197271" w:rsidRPr="00E220AA" w:rsidRDefault="00197271" w:rsidP="00197271">
      <w:pPr>
        <w:spacing w:line="60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（2）</w:t>
      </w:r>
      <w:r w:rsidRPr="00E220AA">
        <w:rPr>
          <w:rFonts w:ascii="仿宋_GB2312" w:eastAsia="仿宋_GB2312" w:hAnsi="仿宋_GB2312" w:cs="仿宋_GB2312" w:hint="eastAsia"/>
          <w:kern w:val="0"/>
          <w:sz w:val="28"/>
          <w:szCs w:val="28"/>
        </w:rPr>
        <w:t>资产使用规范性</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顺义法院不断加强固定资产管理，一是严格执行固定资产制度，设定固定资产管理人员。二是建立了固定资产动态管理机制，与财政实行资产管理动态连接，每月上报资产报表。三是定期进行固定资产</w:t>
      </w:r>
      <w:r w:rsidRPr="00A84732">
        <w:rPr>
          <w:rFonts w:ascii="仿宋_GB2312" w:eastAsia="仿宋_GB2312" w:hAnsi="宋体" w:hint="eastAsia"/>
          <w:sz w:val="28"/>
          <w:szCs w:val="28"/>
        </w:rPr>
        <w:lastRenderedPageBreak/>
        <w:t>清查。</w:t>
      </w:r>
    </w:p>
    <w:p w:rsidR="00197271" w:rsidRPr="00E220AA" w:rsidRDefault="00197271" w:rsidP="00197271">
      <w:pPr>
        <w:spacing w:line="60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（3）</w:t>
      </w:r>
      <w:r w:rsidRPr="00E220AA">
        <w:rPr>
          <w:rFonts w:ascii="仿宋_GB2312" w:eastAsia="仿宋_GB2312" w:hAnsi="仿宋_GB2312" w:cs="仿宋_GB2312" w:hint="eastAsia"/>
          <w:kern w:val="0"/>
          <w:sz w:val="28"/>
          <w:szCs w:val="28"/>
        </w:rPr>
        <w:t>资产利用有效性</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w:t>
      </w:r>
      <w:r w:rsidRPr="00A84732">
        <w:rPr>
          <w:rFonts w:ascii="仿宋_GB2312" w:eastAsia="仿宋_GB2312" w:hAnsi="宋体"/>
          <w:sz w:val="28"/>
          <w:szCs w:val="28"/>
        </w:rPr>
        <w:t>2021</w:t>
      </w:r>
      <w:r w:rsidRPr="00A84732">
        <w:rPr>
          <w:rFonts w:ascii="仿宋_GB2312" w:eastAsia="仿宋_GB2312" w:hAnsi="宋体" w:hint="eastAsia"/>
          <w:sz w:val="28"/>
          <w:szCs w:val="28"/>
        </w:rPr>
        <w:t>年实际在用固定资产总额为3,293.52万元，固定资产成新率2</w:t>
      </w:r>
      <w:r w:rsidRPr="00A84732">
        <w:rPr>
          <w:rFonts w:ascii="仿宋_GB2312" w:eastAsia="仿宋_GB2312" w:hAnsi="宋体"/>
          <w:sz w:val="28"/>
          <w:szCs w:val="28"/>
        </w:rPr>
        <w:t>4.91</w:t>
      </w:r>
      <w:r w:rsidRPr="00A84732">
        <w:rPr>
          <w:rFonts w:ascii="仿宋_GB2312" w:eastAsia="仿宋_GB2312" w:hAnsi="宋体" w:hint="eastAsia"/>
          <w:sz w:val="28"/>
          <w:szCs w:val="28"/>
        </w:rPr>
        <w:t>%。</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3.绩效管理</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全是实施预算项目绩效目标管理工作，完善项目绩效管理责任，对未能如期完成绩效目标或绩效评价结果较差的，在年中或年底及时调整资金额度，纠正绩效目标。同时将绩效评价结果渗透到下一年预算编制工作中，从而促进加强预算支出管理和下年度预算编制工作。</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4.结转结余率</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顺义法院2</w:t>
      </w:r>
      <w:r w:rsidRPr="00A84732">
        <w:rPr>
          <w:rFonts w:ascii="仿宋_GB2312" w:eastAsia="仿宋_GB2312" w:hAnsi="宋体"/>
          <w:sz w:val="28"/>
          <w:szCs w:val="28"/>
        </w:rPr>
        <w:t>021</w:t>
      </w:r>
      <w:r w:rsidRPr="00A84732">
        <w:rPr>
          <w:rFonts w:ascii="仿宋_GB2312" w:eastAsia="仿宋_GB2312" w:hAnsi="宋体" w:hint="eastAsia"/>
          <w:sz w:val="28"/>
          <w:szCs w:val="28"/>
        </w:rPr>
        <w:t>年结转和结余资金为</w:t>
      </w:r>
      <w:r w:rsidRPr="00A84732">
        <w:rPr>
          <w:rFonts w:ascii="仿宋_GB2312" w:eastAsia="仿宋_GB2312" w:hAnsi="宋体"/>
          <w:sz w:val="28"/>
          <w:szCs w:val="28"/>
        </w:rPr>
        <w:t>1</w:t>
      </w:r>
      <w:r w:rsidRPr="00A84732">
        <w:rPr>
          <w:rFonts w:ascii="仿宋_GB2312" w:eastAsia="仿宋_GB2312" w:hAnsi="宋体" w:hint="eastAsia"/>
          <w:sz w:val="28"/>
          <w:szCs w:val="28"/>
        </w:rPr>
        <w:t>,</w:t>
      </w:r>
      <w:r w:rsidRPr="00A84732">
        <w:rPr>
          <w:rFonts w:ascii="仿宋_GB2312" w:eastAsia="仿宋_GB2312" w:hAnsi="宋体"/>
          <w:sz w:val="28"/>
          <w:szCs w:val="28"/>
        </w:rPr>
        <w:t>861.80</w:t>
      </w:r>
      <w:r w:rsidRPr="00A84732">
        <w:rPr>
          <w:rFonts w:ascii="仿宋_GB2312" w:eastAsia="仿宋_GB2312" w:hAnsi="宋体" w:hint="eastAsia"/>
          <w:sz w:val="28"/>
          <w:szCs w:val="28"/>
        </w:rPr>
        <w:t>万元，结转结余率为8</w:t>
      </w:r>
      <w:r w:rsidRPr="00A84732">
        <w:rPr>
          <w:rFonts w:ascii="仿宋_GB2312" w:eastAsia="仿宋_GB2312" w:hAnsi="宋体"/>
          <w:sz w:val="28"/>
          <w:szCs w:val="28"/>
        </w:rPr>
        <w:t>.92%</w:t>
      </w:r>
      <w:r w:rsidRPr="00A84732">
        <w:rPr>
          <w:rFonts w:ascii="仿宋_GB2312" w:eastAsia="仿宋_GB2312" w:hAnsi="宋体" w:hint="eastAsia"/>
          <w:sz w:val="28"/>
          <w:szCs w:val="28"/>
        </w:rPr>
        <w:t>，高于上年结转结余率3</w:t>
      </w:r>
      <w:r w:rsidRPr="00A84732">
        <w:rPr>
          <w:rFonts w:ascii="仿宋_GB2312" w:eastAsia="仿宋_GB2312" w:hAnsi="宋体"/>
          <w:sz w:val="28"/>
          <w:szCs w:val="28"/>
        </w:rPr>
        <w:t>.68</w:t>
      </w:r>
      <w:r w:rsidRPr="00A84732">
        <w:rPr>
          <w:rFonts w:ascii="仿宋_GB2312" w:eastAsia="仿宋_GB2312" w:hAnsi="宋体" w:hint="eastAsia"/>
          <w:sz w:val="28"/>
          <w:szCs w:val="28"/>
        </w:rPr>
        <w:t>%。主要为因客观原因，基建项目及业务装备项目未能及时开展或进度滞后导致。</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5.部门预决算差异率</w:t>
      </w:r>
    </w:p>
    <w:p w:rsidR="00197271" w:rsidRPr="000E235E" w:rsidRDefault="00197271" w:rsidP="00197271">
      <w:pPr>
        <w:spacing w:line="580" w:lineRule="exact"/>
        <w:ind w:firstLineChars="200" w:firstLine="560"/>
        <w:rPr>
          <w:rFonts w:ascii="仿宋_GB2312" w:eastAsia="仿宋_GB2312" w:hAnsi="仿宋_GB2312" w:cs="仿宋_GB2312" w:hint="eastAsia"/>
          <w:kern w:val="0"/>
          <w:sz w:val="28"/>
          <w:szCs w:val="28"/>
        </w:rPr>
      </w:pPr>
      <w:r w:rsidRPr="00A84732">
        <w:rPr>
          <w:rFonts w:ascii="仿宋_GB2312" w:eastAsia="仿宋_GB2312" w:hAnsi="宋体" w:hint="eastAsia"/>
          <w:sz w:val="28"/>
          <w:szCs w:val="28"/>
        </w:rPr>
        <w:t>顺义法院2</w:t>
      </w:r>
      <w:r w:rsidRPr="00A84732">
        <w:rPr>
          <w:rFonts w:ascii="仿宋_GB2312" w:eastAsia="仿宋_GB2312" w:hAnsi="宋体"/>
          <w:sz w:val="28"/>
          <w:szCs w:val="28"/>
        </w:rPr>
        <w:t>021</w:t>
      </w:r>
      <w:r w:rsidRPr="00A84732">
        <w:rPr>
          <w:rFonts w:ascii="仿宋_GB2312" w:eastAsia="仿宋_GB2312" w:hAnsi="宋体" w:hint="eastAsia"/>
          <w:sz w:val="28"/>
          <w:szCs w:val="28"/>
        </w:rPr>
        <w:t>年部门申报预算为</w:t>
      </w:r>
      <w:r w:rsidRPr="00A84732">
        <w:rPr>
          <w:rFonts w:ascii="仿宋_GB2312" w:eastAsia="仿宋_GB2312" w:hAnsi="宋体"/>
          <w:sz w:val="28"/>
          <w:szCs w:val="28"/>
        </w:rPr>
        <w:t>21</w:t>
      </w:r>
      <w:r w:rsidRPr="00A84732">
        <w:rPr>
          <w:rFonts w:ascii="仿宋_GB2312" w:eastAsia="仿宋_GB2312" w:hAnsi="宋体" w:hint="eastAsia"/>
          <w:sz w:val="28"/>
          <w:szCs w:val="28"/>
        </w:rPr>
        <w:t>,</w:t>
      </w:r>
      <w:r w:rsidRPr="00A84732">
        <w:rPr>
          <w:rFonts w:ascii="仿宋_GB2312" w:eastAsia="仿宋_GB2312" w:hAnsi="宋体"/>
          <w:sz w:val="28"/>
          <w:szCs w:val="28"/>
        </w:rPr>
        <w:t>451.28</w:t>
      </w:r>
      <w:r w:rsidRPr="00A84732">
        <w:rPr>
          <w:rFonts w:ascii="仿宋_GB2312" w:eastAsia="仿宋_GB2312" w:hAnsi="宋体" w:hint="eastAsia"/>
          <w:sz w:val="28"/>
          <w:szCs w:val="28"/>
        </w:rPr>
        <w:t>万元，执行决算为</w:t>
      </w:r>
      <w:r w:rsidRPr="00A84732">
        <w:rPr>
          <w:rFonts w:ascii="仿宋_GB2312" w:eastAsia="仿宋_GB2312" w:hAnsi="宋体"/>
          <w:sz w:val="28"/>
          <w:szCs w:val="28"/>
        </w:rPr>
        <w:t>20</w:t>
      </w:r>
      <w:r w:rsidRPr="00A84732">
        <w:rPr>
          <w:rFonts w:ascii="仿宋_GB2312" w:eastAsia="仿宋_GB2312" w:hAnsi="宋体" w:hint="eastAsia"/>
          <w:sz w:val="28"/>
          <w:szCs w:val="28"/>
        </w:rPr>
        <w:t>,</w:t>
      </w:r>
      <w:r w:rsidRPr="00A84732">
        <w:rPr>
          <w:rFonts w:ascii="仿宋_GB2312" w:eastAsia="仿宋_GB2312" w:hAnsi="宋体"/>
          <w:sz w:val="28"/>
          <w:szCs w:val="28"/>
        </w:rPr>
        <w:t>879.02</w:t>
      </w:r>
      <w:r w:rsidRPr="00A84732">
        <w:rPr>
          <w:rFonts w:ascii="仿宋_GB2312" w:eastAsia="仿宋_GB2312" w:hAnsi="宋体" w:hint="eastAsia"/>
          <w:sz w:val="28"/>
          <w:szCs w:val="28"/>
        </w:rPr>
        <w:t>万元，预决算差异率为2</w:t>
      </w:r>
      <w:r w:rsidRPr="00A84732">
        <w:rPr>
          <w:rFonts w:ascii="仿宋_GB2312" w:eastAsia="仿宋_GB2312" w:hAnsi="宋体"/>
          <w:sz w:val="28"/>
          <w:szCs w:val="28"/>
        </w:rPr>
        <w:t>.74%</w:t>
      </w:r>
      <w:r w:rsidRPr="00A84732">
        <w:rPr>
          <w:rFonts w:ascii="仿宋_GB2312" w:eastAsia="仿宋_GB2312" w:hAnsi="宋体" w:hint="eastAsia"/>
          <w:sz w:val="28"/>
          <w:szCs w:val="28"/>
        </w:rPr>
        <w:t>，低于全市平均差异率2</w:t>
      </w:r>
      <w:r w:rsidRPr="00A84732">
        <w:rPr>
          <w:rFonts w:ascii="仿宋_GB2312" w:eastAsia="仿宋_GB2312" w:hAnsi="宋体"/>
          <w:sz w:val="28"/>
          <w:szCs w:val="28"/>
        </w:rPr>
        <w:t>8.3</w:t>
      </w:r>
      <w:r w:rsidRPr="00A84732">
        <w:rPr>
          <w:rFonts w:ascii="仿宋_GB2312" w:eastAsia="仿宋_GB2312" w:hAnsi="宋体" w:hint="eastAsia"/>
          <w:sz w:val="28"/>
          <w:szCs w:val="28"/>
        </w:rPr>
        <w:t>%，整体执行情况较好。</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（五）总体评价结论</w:t>
      </w:r>
    </w:p>
    <w:p w:rsidR="00197271" w:rsidRDefault="00197271" w:rsidP="00197271">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1.评价得分情况</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顺义法院2</w:t>
      </w:r>
      <w:r w:rsidRPr="00A84732">
        <w:rPr>
          <w:rFonts w:ascii="仿宋_GB2312" w:eastAsia="仿宋_GB2312" w:hAnsi="宋体"/>
          <w:sz w:val="28"/>
          <w:szCs w:val="28"/>
        </w:rPr>
        <w:t>021</w:t>
      </w:r>
      <w:r w:rsidRPr="00A84732">
        <w:rPr>
          <w:rFonts w:ascii="仿宋_GB2312" w:eastAsia="仿宋_GB2312" w:hAnsi="宋体" w:hint="eastAsia"/>
          <w:sz w:val="28"/>
          <w:szCs w:val="28"/>
        </w:rPr>
        <w:t>年部门整体支出的执行符合目标申报表等相关内容，按照指标体系，部门整体绩效评价得分</w:t>
      </w:r>
      <w:r w:rsidRPr="00A84732">
        <w:rPr>
          <w:rFonts w:ascii="仿宋_GB2312" w:eastAsia="仿宋_GB2312" w:hAnsi="宋体"/>
          <w:sz w:val="28"/>
          <w:szCs w:val="28"/>
        </w:rPr>
        <w:t>85.58</w:t>
      </w:r>
      <w:r w:rsidRPr="00A84732">
        <w:rPr>
          <w:rFonts w:ascii="仿宋_GB2312" w:eastAsia="仿宋_GB2312" w:hAnsi="宋体" w:hint="eastAsia"/>
          <w:sz w:val="28"/>
          <w:szCs w:val="28"/>
        </w:rPr>
        <w:t>分，其中：当年预算执行情况</w:t>
      </w:r>
      <w:r w:rsidRPr="00A84732">
        <w:rPr>
          <w:rFonts w:ascii="仿宋_GB2312" w:eastAsia="仿宋_GB2312" w:hAnsi="宋体"/>
          <w:sz w:val="28"/>
          <w:szCs w:val="28"/>
        </w:rPr>
        <w:t>18.36</w:t>
      </w:r>
      <w:r w:rsidRPr="00A84732">
        <w:rPr>
          <w:rFonts w:ascii="仿宋_GB2312" w:eastAsia="仿宋_GB2312" w:hAnsi="宋体" w:hint="eastAsia"/>
          <w:sz w:val="28"/>
          <w:szCs w:val="28"/>
        </w:rPr>
        <w:t>分，整体绩效目标情况</w:t>
      </w:r>
      <w:r w:rsidRPr="00A84732">
        <w:rPr>
          <w:rFonts w:ascii="仿宋_GB2312" w:eastAsia="仿宋_GB2312" w:hAnsi="宋体"/>
          <w:sz w:val="28"/>
          <w:szCs w:val="28"/>
        </w:rPr>
        <w:t>53.22</w:t>
      </w:r>
      <w:r w:rsidRPr="00A84732">
        <w:rPr>
          <w:rFonts w:ascii="仿宋_GB2312" w:eastAsia="仿宋_GB2312" w:hAnsi="宋体" w:hint="eastAsia"/>
          <w:sz w:val="28"/>
          <w:szCs w:val="28"/>
        </w:rPr>
        <w:t>分，预算管理情况</w:t>
      </w:r>
      <w:r w:rsidRPr="00A84732">
        <w:rPr>
          <w:rFonts w:ascii="仿宋_GB2312" w:eastAsia="仿宋_GB2312" w:hAnsi="宋体"/>
          <w:sz w:val="28"/>
          <w:szCs w:val="28"/>
        </w:rPr>
        <w:t>14</w:t>
      </w:r>
      <w:r w:rsidRPr="00A84732">
        <w:rPr>
          <w:rFonts w:ascii="仿宋_GB2312" w:eastAsia="仿宋_GB2312" w:hAnsi="宋体" w:hint="eastAsia"/>
          <w:sz w:val="28"/>
          <w:szCs w:val="28"/>
        </w:rPr>
        <w:t>分，综合绩效评定结论为良好。</w:t>
      </w:r>
    </w:p>
    <w:p w:rsidR="00197271" w:rsidRPr="000E235E" w:rsidRDefault="00197271" w:rsidP="00197271">
      <w:pPr>
        <w:spacing w:line="580" w:lineRule="exact"/>
        <w:ind w:leftChars="50" w:left="105" w:firstLineChars="150" w:firstLine="420"/>
        <w:rPr>
          <w:rFonts w:ascii="仿宋_GB2312" w:eastAsia="仿宋_GB2312" w:hAnsi="仿宋_GB2312" w:cs="仿宋_GB2312" w:hint="eastAsia"/>
          <w:kern w:val="0"/>
          <w:sz w:val="28"/>
          <w:szCs w:val="28"/>
        </w:rPr>
      </w:pPr>
      <w:r>
        <w:rPr>
          <w:rFonts w:ascii="仿宋_GB2312" w:eastAsia="仿宋_GB2312" w:hAnsi="仿宋_GB2312" w:cs="仿宋_GB2312" w:hint="eastAsia"/>
          <w:sz w:val="28"/>
          <w:szCs w:val="28"/>
        </w:rPr>
        <w:lastRenderedPageBreak/>
        <w:t>2.存在的问</w:t>
      </w:r>
      <w:r w:rsidRPr="000E235E">
        <w:rPr>
          <w:rFonts w:ascii="仿宋_GB2312" w:eastAsia="仿宋_GB2312" w:hAnsi="仿宋_GB2312" w:cs="仿宋_GB2312" w:hint="eastAsia"/>
          <w:kern w:val="0"/>
          <w:sz w:val="28"/>
          <w:szCs w:val="28"/>
        </w:rPr>
        <w:t>题及原因分析</w:t>
      </w:r>
    </w:p>
    <w:p w:rsidR="00197271" w:rsidRPr="00A84732" w:rsidRDefault="00197271" w:rsidP="00197271">
      <w:pPr>
        <w:spacing w:line="580" w:lineRule="exact"/>
        <w:ind w:firstLineChars="200" w:firstLine="560"/>
        <w:rPr>
          <w:rFonts w:ascii="仿宋_GB2312" w:eastAsia="仿宋_GB2312" w:hAnsi="宋体" w:hint="eastAsia"/>
          <w:sz w:val="28"/>
          <w:szCs w:val="28"/>
        </w:rPr>
      </w:pPr>
      <w:r w:rsidRPr="00A84732">
        <w:rPr>
          <w:rFonts w:ascii="仿宋_GB2312" w:eastAsia="仿宋_GB2312" w:hAnsi="宋体" w:hint="eastAsia"/>
          <w:sz w:val="28"/>
          <w:szCs w:val="28"/>
        </w:rPr>
        <w:t>顺义法院在申请2</w:t>
      </w:r>
      <w:r w:rsidRPr="00A84732">
        <w:rPr>
          <w:rFonts w:ascii="仿宋_GB2312" w:eastAsia="仿宋_GB2312" w:hAnsi="宋体"/>
          <w:sz w:val="28"/>
          <w:szCs w:val="28"/>
        </w:rPr>
        <w:t>021</w:t>
      </w:r>
      <w:r w:rsidRPr="00A84732">
        <w:rPr>
          <w:rFonts w:ascii="仿宋_GB2312" w:eastAsia="仿宋_GB2312" w:hAnsi="宋体" w:hint="eastAsia"/>
          <w:sz w:val="28"/>
          <w:szCs w:val="28"/>
        </w:rPr>
        <w:t>年预算时，预算编制细化程度略有不足， 2021年结转和结余资金为1,861.80万元，结转结余率为8.92%，高于上年结转结余率3.68%，提高了1</w:t>
      </w:r>
      <w:r w:rsidRPr="00A84732">
        <w:rPr>
          <w:rFonts w:ascii="仿宋_GB2312" w:eastAsia="仿宋_GB2312" w:hAnsi="宋体"/>
          <w:sz w:val="28"/>
          <w:szCs w:val="28"/>
        </w:rPr>
        <w:t>.42</w:t>
      </w:r>
      <w:r w:rsidRPr="00A84732">
        <w:rPr>
          <w:rFonts w:ascii="仿宋_GB2312" w:eastAsia="仿宋_GB2312" w:hAnsi="宋体" w:hint="eastAsia"/>
          <w:sz w:val="28"/>
          <w:szCs w:val="28"/>
        </w:rPr>
        <w:t>倍。除客观因素外，预算调增较多，支出进度无法按照项目预期开展，仍是预算执行有待进一步提高的重要方面。</w:t>
      </w:r>
    </w:p>
    <w:p w:rsidR="00197271" w:rsidRDefault="00197271" w:rsidP="00197271">
      <w:pPr>
        <w:pStyle w:val="a0"/>
        <w:spacing w:line="580" w:lineRule="exact"/>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（六）措施建议（整改措施、下一步工作举措）</w:t>
      </w:r>
    </w:p>
    <w:p w:rsidR="00197271" w:rsidRPr="000E235E" w:rsidRDefault="00197271" w:rsidP="00197271">
      <w:pPr>
        <w:spacing w:line="580" w:lineRule="exact"/>
        <w:ind w:leftChars="50" w:left="105" w:firstLineChars="150" w:firstLine="420"/>
        <w:rPr>
          <w:rFonts w:ascii="仿宋_GB2312" w:eastAsia="仿宋_GB2312" w:hAnsi="仿宋_GB2312" w:cs="仿宋_GB2312"/>
          <w:sz w:val="28"/>
          <w:szCs w:val="28"/>
        </w:rPr>
      </w:pPr>
      <w:r w:rsidRPr="000E235E">
        <w:rPr>
          <w:rFonts w:ascii="仿宋_GB2312" w:eastAsia="仿宋_GB2312" w:hAnsi="仿宋_GB2312" w:cs="仿宋_GB2312" w:hint="eastAsia"/>
          <w:sz w:val="28"/>
          <w:szCs w:val="28"/>
        </w:rPr>
        <w:t>1.整改措施</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建议顺义法院各部门结合部门预算，统筹安排，各部门要依法行政、依法理财的高度认真执行预算，完善内部预算管理及监督机制，进一步提升预算资金使用得规范性、时效性和效益性。</w:t>
      </w:r>
    </w:p>
    <w:p w:rsidR="00197271" w:rsidRPr="000E235E" w:rsidRDefault="00197271" w:rsidP="00197271">
      <w:pPr>
        <w:spacing w:line="580" w:lineRule="exact"/>
        <w:ind w:firstLineChars="200" w:firstLine="560"/>
        <w:rPr>
          <w:rFonts w:ascii="仿宋_GB2312" w:eastAsia="仿宋_GB2312" w:hAnsi="仿宋_GB2312" w:cs="仿宋_GB2312"/>
          <w:kern w:val="0"/>
          <w:sz w:val="28"/>
          <w:szCs w:val="28"/>
        </w:rPr>
      </w:pPr>
      <w:r w:rsidRPr="00A84732">
        <w:rPr>
          <w:rFonts w:ascii="仿宋_GB2312" w:eastAsia="仿宋_GB2312" w:hAnsi="宋体" w:hint="eastAsia"/>
          <w:sz w:val="28"/>
          <w:szCs w:val="28"/>
        </w:rPr>
        <w:t>同时应当看到，顺义法院工作仍存在一些困难与不足：一是案多人少矛盾依旧突出，诉源治理效能有待进一步发挥、司法人员配置有待进一步优化；二是群众司法需求日益多元化，智慧诉讼服务体系有待进一步完善、司法为民举措有待进一步创新；三是落实司法改革任务更加艰巨，审判质效有待进一步提高、服务大局水平有待进一步提升。</w:t>
      </w:r>
    </w:p>
    <w:p w:rsidR="00197271" w:rsidRPr="000E235E" w:rsidRDefault="00197271" w:rsidP="00197271">
      <w:pPr>
        <w:spacing w:line="580" w:lineRule="exact"/>
        <w:ind w:leftChars="50" w:left="105" w:firstLineChars="150" w:firstLine="420"/>
        <w:rPr>
          <w:rFonts w:ascii="仿宋_GB2312" w:eastAsia="仿宋_GB2312" w:hAnsi="仿宋_GB2312" w:cs="仿宋_GB2312"/>
          <w:sz w:val="28"/>
          <w:szCs w:val="28"/>
        </w:rPr>
      </w:pPr>
      <w:r w:rsidRPr="000E235E">
        <w:rPr>
          <w:rFonts w:ascii="仿宋_GB2312" w:eastAsia="仿宋_GB2312" w:hAnsi="仿宋_GB2312" w:cs="仿宋_GB2312" w:hint="eastAsia"/>
          <w:sz w:val="28"/>
          <w:szCs w:val="28"/>
        </w:rPr>
        <w:t>2.下一步工作举措</w:t>
      </w:r>
    </w:p>
    <w:p w:rsidR="00197271" w:rsidRPr="00A84732" w:rsidRDefault="00197271" w:rsidP="00197271">
      <w:pPr>
        <w:spacing w:line="580" w:lineRule="exact"/>
        <w:ind w:firstLineChars="200" w:firstLine="560"/>
        <w:rPr>
          <w:rFonts w:ascii="仿宋_GB2312" w:eastAsia="仿宋_GB2312" w:hAnsi="宋体"/>
          <w:sz w:val="28"/>
          <w:szCs w:val="28"/>
        </w:rPr>
      </w:pPr>
      <w:r w:rsidRPr="00A84732">
        <w:rPr>
          <w:rFonts w:ascii="仿宋_GB2312" w:eastAsia="仿宋_GB2312" w:hAnsi="宋体" w:hint="eastAsia"/>
          <w:sz w:val="28"/>
          <w:szCs w:val="28"/>
        </w:rPr>
        <w:t>一是强化服务大局，推动辖区经济社会高质量发展。进一步增强大局意识，紧紧围绕辖区重点工作履职尽责。全力服务保障“两区”建设，开辟绿色通道，并陆续在天竺综保区设立“法律工作站”、在中德产业园设立“知识产权巡回法庭”，搭建矛盾纠纷联动化解平台，营造法治化营商环境。全力加强民生司法保障，围绕“六建”目标任务，常态化开展扫黑除恶斗争，加大涉黑恶大要案办理力度，助推社</w:t>
      </w:r>
      <w:r w:rsidRPr="00A84732">
        <w:rPr>
          <w:rFonts w:ascii="仿宋_GB2312" w:eastAsia="仿宋_GB2312" w:hAnsi="宋体" w:hint="eastAsia"/>
          <w:sz w:val="28"/>
          <w:szCs w:val="28"/>
        </w:rPr>
        <w:lastRenderedPageBreak/>
        <w:t>会治理现代化；注重强基导向，坚持“三个便于”“三个服务”“三个优化”，切实把人民法庭工作当作“一把手”工程，结合地域特色，找准职能定位，全面完善法庭布局、队伍结构、专业化建设，探索人民法庭服务基层治理的新路径。全力推进首都法治政府建设，继续做好涉规自领域专项治理、违建别墅清理整治、耕地保护等案件审执工作，加强对街道、乡镇行政执法工作的指导和监督，切实帮助解决基层法治建设难题。</w:t>
      </w:r>
      <w:r w:rsidRPr="00A84732">
        <w:rPr>
          <w:rFonts w:ascii="仿宋_GB2312" w:eastAsia="仿宋_GB2312" w:hAnsi="宋体"/>
          <w:sz w:val="28"/>
          <w:szCs w:val="28"/>
        </w:rPr>
        <w:br/>
      </w:r>
      <w:r w:rsidRPr="00A84732">
        <w:rPr>
          <w:rFonts w:ascii="仿宋_GB2312" w:eastAsia="仿宋_GB2312" w:hAnsi="宋体" w:hint="eastAsia"/>
          <w:sz w:val="28"/>
          <w:szCs w:val="28"/>
        </w:rPr>
        <w:t xml:space="preserve">   二是提升审判质效，不断增强人民群众的满意度。持续推进基层诉源治理，牢固树立“一个纠纷一个案件”理念，推动智慧诉讼服务升级，加大诉前调解力度、强化多元调解效果，确保多元调解成功率不低于 25%，力争实现 30%，促进矛盾纠纷实质性化解。明确法官办案责任、强化院庭长监督管理责任，严格落实审判委员会、法官会议、类案检索等制度规定，健全落实案件评查、审限监管、质效考评、信息化风险提示等监管机制，确保监管全覆盖。推动完善综合治理执行难工作格局，深入贯彻善意文明执行理念，积极推动召开执行工作联席会议，切实加大联动查控被执行人、打击拒执犯罪的力度。围绕案款清理、终本案件、财产处置等工作，完善执行工作的监督制约体系，加强执行规范化建设。</w:t>
      </w:r>
    </w:p>
    <w:p w:rsidR="00F057E4" w:rsidRDefault="00197271" w:rsidP="00197271">
      <w:r w:rsidRPr="00A84732">
        <w:rPr>
          <w:rFonts w:ascii="仿宋_GB2312" w:eastAsia="仿宋_GB2312" w:hAnsi="宋体" w:hint="eastAsia"/>
          <w:sz w:val="28"/>
          <w:szCs w:val="28"/>
        </w:rPr>
        <w:t>三是打造过硬队伍，持续促进司法审判能力现代化。进一步加强党风廉政建设，构建全面从严治党一级抓一级、层层抓落实的工作格局，院党组定期听取汇报，每季度专题研究党建工作问题，构建精准科学的廉政风险防控体系，扎实推动党建工作与队伍建设、审判业务深度融合。进一步加强专业化建设，坚持需求导向，全面推进“人才高地”</w:t>
      </w:r>
      <w:r w:rsidRPr="00A84732">
        <w:rPr>
          <w:rFonts w:ascii="仿宋_GB2312" w:eastAsia="仿宋_GB2312" w:hAnsi="宋体" w:hint="eastAsia"/>
          <w:sz w:val="28"/>
          <w:szCs w:val="28"/>
        </w:rPr>
        <w:lastRenderedPageBreak/>
        <w:t>建设，强化培养复合型审判人才，建设梯次化青年人才队伍，大力培育特色人才团队；着力提升分级分类培训针对性，创新培训方式方法，提高学习培训实效，组织开展好顺义法院服务“两区”建设专家讲堂，组建我院“服务两区建设专家咨询委员会”着力提升我院服务保障“两区”建设的能力和水平。</w:t>
      </w:r>
    </w:p>
    <w:sectPr w:rsidR="00F057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7E4" w:rsidRDefault="00F057E4" w:rsidP="00197271">
      <w:r>
        <w:separator/>
      </w:r>
    </w:p>
  </w:endnote>
  <w:endnote w:type="continuationSeparator" w:id="1">
    <w:p w:rsidR="00F057E4" w:rsidRDefault="00F057E4" w:rsidP="001972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7E4" w:rsidRDefault="00F057E4" w:rsidP="00197271">
      <w:r>
        <w:separator/>
      </w:r>
    </w:p>
  </w:footnote>
  <w:footnote w:type="continuationSeparator" w:id="1">
    <w:p w:rsidR="00F057E4" w:rsidRDefault="00F057E4" w:rsidP="001972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7271"/>
    <w:rsid w:val="00197271"/>
    <w:rsid w:val="005E68CE"/>
    <w:rsid w:val="00F057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97271"/>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197271"/>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1972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197271"/>
    <w:rPr>
      <w:sz w:val="18"/>
      <w:szCs w:val="18"/>
    </w:rPr>
  </w:style>
  <w:style w:type="paragraph" w:styleId="a5">
    <w:name w:val="footer"/>
    <w:basedOn w:val="a"/>
    <w:link w:val="Char0"/>
    <w:uiPriority w:val="99"/>
    <w:semiHidden/>
    <w:unhideWhenUsed/>
    <w:rsid w:val="001972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197271"/>
    <w:rPr>
      <w:sz w:val="18"/>
      <w:szCs w:val="18"/>
    </w:rPr>
  </w:style>
  <w:style w:type="paragraph" w:styleId="a0">
    <w:name w:val="Normal Indent"/>
    <w:basedOn w:val="a"/>
    <w:qFormat/>
    <w:rsid w:val="00197271"/>
    <w:pPr>
      <w:ind w:firstLineChars="200" w:firstLine="200"/>
    </w:pPr>
  </w:style>
  <w:style w:type="character" w:customStyle="1" w:styleId="1Char">
    <w:name w:val="标题 1 Char"/>
    <w:basedOn w:val="a1"/>
    <w:link w:val="1"/>
    <w:uiPriority w:val="9"/>
    <w:rsid w:val="00197271"/>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1105</Words>
  <Characters>6303</Characters>
  <Application>Microsoft Office Word</Application>
  <DocSecurity>0</DocSecurity>
  <Lines>52</Lines>
  <Paragraphs>14</Paragraphs>
  <ScaleCrop>false</ScaleCrop>
  <Company>Lenovo</Company>
  <LinksUpToDate>false</LinksUpToDate>
  <CharactersWithSpaces>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2022-08-22T03:14:00Z</dcterms:created>
  <dcterms:modified xsi:type="dcterms:W3CDTF">2022-08-22T03:30:00Z</dcterms:modified>
</cp:coreProperties>
</file>