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4B" w:rsidRPr="005E3BBC" w:rsidRDefault="0025734B" w:rsidP="0025734B">
      <w:pPr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审判法庭租金</w:t>
      </w:r>
      <w:r w:rsidRPr="005E3BBC">
        <w:rPr>
          <w:rFonts w:ascii="黑体" w:eastAsia="黑体" w:hint="eastAsia"/>
          <w:sz w:val="28"/>
          <w:szCs w:val="28"/>
        </w:rPr>
        <w:t>项目绩效评价报告</w:t>
      </w:r>
    </w:p>
    <w:p w:rsidR="0025734B" w:rsidRPr="0025734B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 w:rsidRPr="0025734B">
        <w:rPr>
          <w:rFonts w:ascii="仿宋_GB2312" w:eastAsia="仿宋_GB2312" w:hAnsi="黑体" w:hint="eastAsia"/>
          <w:sz w:val="28"/>
          <w:szCs w:val="28"/>
        </w:rPr>
        <w:t>一、基本情况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由于房山法院现有审判大楼用房紧迫，不能满足日益增长的使用需求，房山法院从2016年7月开始租用了北京市房山区长阳镇清雅小区1#公建楼、2#公建楼和琉璃河镇京保公路东侧（原琉璃河老政府楼）作为长阳法庭、房山法院执行局窦店法庭在办公及处理执行案件。审判用房租金年初预算金额541.18万元。</w:t>
      </w:r>
    </w:p>
    <w:p w:rsidR="0025734B" w:rsidRPr="0025734B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 w:rsidRPr="0025734B">
        <w:rPr>
          <w:rFonts w:ascii="仿宋_GB2312" w:eastAsia="仿宋_GB2312" w:hAnsi="黑体" w:hint="eastAsia"/>
          <w:sz w:val="28"/>
          <w:szCs w:val="28"/>
        </w:rPr>
        <w:t>二、绩效评价工作开展情况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1.</w:t>
      </w:r>
      <w:r w:rsidRPr="0006759C">
        <w:rPr>
          <w:rFonts w:ascii="仿宋_GB2312" w:eastAsia="仿宋_GB2312" w:hAnsi="黑体" w:hint="eastAsia"/>
          <w:sz w:val="28"/>
          <w:szCs w:val="28"/>
        </w:rPr>
        <w:t>绩效评价目的。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按照北京市财政局（以下简称“市财政局”）关于“加强财政支出管理，强化支出责任，建立科学、合理的财政支出绩效评价管理体系，提高财政资金使用效益”的总体评价要求，通过开展绩效评价，分析财政支出的经济性、效率性和效益性，剖析项目决策、项目过程、项目产出和项目效益实现过程中存在的问题，有针对性地提出改进建议，促进项目单位提升预算绩效管理工作水平，提高财政资金使用的规范性、安全性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2.</w:t>
      </w:r>
      <w:r w:rsidRPr="0006759C">
        <w:rPr>
          <w:rFonts w:ascii="仿宋_GB2312" w:eastAsia="仿宋_GB2312" w:hAnsi="黑体" w:hint="eastAsia"/>
          <w:sz w:val="28"/>
          <w:szCs w:val="28"/>
        </w:rPr>
        <w:t>绩效评价原则。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评价工作组本着科学规范、公开公正、绩效相关的原则，通过现场及非现场方式进行资料收集、审核，采用全面评价和重点评价相结合的方式，运用因素分析法、比较法、公众评判法等分析方法，对项目决策、项目过程、项目产出和项目效益实现情况进行综合分析，梳理问题，分析成因，找出症结，提出建议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lastRenderedPageBreak/>
        <w:t>3.</w:t>
      </w:r>
      <w:r w:rsidRPr="0006759C">
        <w:rPr>
          <w:rFonts w:ascii="仿宋_GB2312" w:eastAsia="仿宋_GB2312" w:hAnsi="黑体" w:hint="eastAsia"/>
          <w:sz w:val="28"/>
          <w:szCs w:val="28"/>
        </w:rPr>
        <w:t>绩效评价工作过程。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202</w:t>
      </w:r>
      <w:r>
        <w:rPr>
          <w:rFonts w:ascii="仿宋_GB2312" w:eastAsia="仿宋_GB2312" w:hAnsi="黑体" w:hint="eastAsia"/>
          <w:sz w:val="28"/>
          <w:szCs w:val="28"/>
        </w:rPr>
        <w:t>1</w:t>
      </w:r>
      <w:r w:rsidRPr="0006759C">
        <w:rPr>
          <w:rFonts w:ascii="仿宋_GB2312" w:eastAsia="仿宋_GB2312" w:hAnsi="黑体" w:hint="eastAsia"/>
          <w:sz w:val="28"/>
          <w:szCs w:val="28"/>
        </w:rPr>
        <w:t>年5月初，房山法院成立了绩效评价工作组，对该项目进行绩效评价。评价工作组围绕项目特点和绩效评价重点进行内部研讨，制定评价工作实施方案，建立沟通协调机制；评价工作组根据绩效评价要求收集相应资料。</w:t>
      </w:r>
    </w:p>
    <w:p w:rsidR="0025734B" w:rsidRPr="0025734B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 w:rsidRPr="0025734B">
        <w:rPr>
          <w:rFonts w:ascii="仿宋_GB2312" w:eastAsia="仿宋_GB2312" w:hAnsi="黑体" w:hint="eastAsia"/>
          <w:sz w:val="28"/>
          <w:szCs w:val="28"/>
        </w:rPr>
        <w:t>三、综合评价情况及评价结论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1.</w:t>
      </w:r>
      <w:r w:rsidRPr="0006759C">
        <w:rPr>
          <w:rFonts w:ascii="仿宋_GB2312" w:eastAsia="仿宋_GB2312" w:hAnsi="黑体" w:hint="eastAsia"/>
          <w:sz w:val="28"/>
          <w:szCs w:val="28"/>
        </w:rPr>
        <w:t>项目产出情况。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</w:t>
      </w:r>
      <w:r w:rsidRPr="0006759C">
        <w:rPr>
          <w:rFonts w:ascii="仿宋_GB2312" w:eastAsia="仿宋_GB2312" w:hAnsi="黑体" w:hint="eastAsia"/>
          <w:sz w:val="28"/>
          <w:szCs w:val="28"/>
        </w:rPr>
        <w:t>1</w:t>
      </w:r>
      <w:r>
        <w:rPr>
          <w:rFonts w:ascii="仿宋_GB2312" w:eastAsia="仿宋_GB2312" w:hAnsi="黑体" w:hint="eastAsia"/>
          <w:sz w:val="28"/>
          <w:szCs w:val="28"/>
        </w:rPr>
        <w:t>）</w:t>
      </w:r>
      <w:r w:rsidRPr="0006759C">
        <w:rPr>
          <w:rFonts w:ascii="仿宋_GB2312" w:eastAsia="仿宋_GB2312" w:hAnsi="黑体" w:hint="eastAsia"/>
          <w:sz w:val="28"/>
          <w:szCs w:val="28"/>
        </w:rPr>
        <w:t>.项目经济性分析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房山法院在执行项目预算时能够将项目成本控制在项目预算范围内。项目预算资金支出严格按照房山法院财务制度相关规定执行，没有挤占、挪用、虚列支出、无预算支出和其他资金损失浪费的现象。项目实施的经济性较好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</w:t>
      </w:r>
      <w:r w:rsidRPr="0006759C">
        <w:rPr>
          <w:rFonts w:ascii="仿宋_GB2312" w:eastAsia="仿宋_GB2312" w:hAnsi="黑体" w:hint="eastAsia"/>
          <w:sz w:val="28"/>
          <w:szCs w:val="28"/>
        </w:rPr>
        <w:t>2</w:t>
      </w:r>
      <w:r>
        <w:rPr>
          <w:rFonts w:ascii="仿宋_GB2312" w:eastAsia="仿宋_GB2312" w:hAnsi="黑体" w:hint="eastAsia"/>
          <w:sz w:val="28"/>
          <w:szCs w:val="28"/>
        </w:rPr>
        <w:t>）</w:t>
      </w:r>
      <w:r w:rsidRPr="0006759C">
        <w:rPr>
          <w:rFonts w:ascii="仿宋_GB2312" w:eastAsia="仿宋_GB2312" w:hAnsi="黑体" w:hint="eastAsia"/>
          <w:sz w:val="28"/>
          <w:szCs w:val="28"/>
        </w:rPr>
        <w:t>.项目效率性分析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项目的实施进度</w:t>
      </w:r>
      <w:r>
        <w:rPr>
          <w:rFonts w:ascii="仿宋_GB2312" w:eastAsia="仿宋_GB2312" w:hAnsi="黑体" w:hint="eastAsia"/>
          <w:sz w:val="28"/>
          <w:szCs w:val="28"/>
        </w:rPr>
        <w:t>：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房山法院审判区租金项目通过签订合同，并按合同支付租金，整体执行进度控制的较好。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项目完成质量</w:t>
      </w:r>
      <w:r>
        <w:rPr>
          <w:rFonts w:ascii="仿宋_GB2312" w:eastAsia="仿宋_GB2312" w:hAnsi="黑体" w:hint="eastAsia"/>
          <w:sz w:val="28"/>
          <w:szCs w:val="28"/>
        </w:rPr>
        <w:t>：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房山法院租赁审判业务用房满足了正常工作需要，解决了审判法庭的办公需求，提高了法官办案效率，案件审判服务工作得以正常有序执行，项目完成质量较好。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2.</w:t>
      </w:r>
      <w:r w:rsidRPr="0006759C">
        <w:rPr>
          <w:rFonts w:ascii="仿宋_GB2312" w:eastAsia="仿宋_GB2312" w:hAnsi="黑体" w:hint="eastAsia"/>
          <w:sz w:val="28"/>
          <w:szCs w:val="28"/>
        </w:rPr>
        <w:t>项目效益情况。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（1）项目预期目标完成情况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lastRenderedPageBreak/>
        <w:t>项目预期总体目标为全面保障审判工作顺利开展，方便辖区当事人，房山法院租用长阳、窦店两地办公用房用做审判法庭，为房山法院审判服务提供稳定场所，保障了审判服务有序开展。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（2）项目实施对社会的影响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该项目的实施，解决了办公用房需求，保障审判工作顺利开展，方便辖区当事人，提升了房山法院的社会影响力。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（3）项目可持续影响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审判区租金项目是一项长期性、延续性项目。通过实施该项目为法庭审判服务提供了持续、稳定场所，保障审判工作顺利开展，方便辖区当事人，使审判工作持续高效运转。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（4）服务对象满意度</w:t>
      </w:r>
    </w:p>
    <w:p w:rsidR="0025734B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评价工作组向房山法院辖区当事人满意度下发了《满意度调查表》，对项目预期服务对象进行满意度调查，调查显示，辖区当事人满意度达82%，整体达到绩效目标。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项目总体评价88.50分。</w:t>
      </w:r>
    </w:p>
    <w:p w:rsidR="0025734B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 w:rsidRPr="0025734B">
        <w:rPr>
          <w:rFonts w:ascii="仿宋_GB2312" w:eastAsia="仿宋_GB2312" w:hAnsi="黑体" w:hint="eastAsia"/>
          <w:sz w:val="28"/>
          <w:szCs w:val="28"/>
        </w:rPr>
        <w:t>四、绩效评价指标分析</w:t>
      </w:r>
    </w:p>
    <w:p w:rsidR="0025734B" w:rsidRPr="0006759C" w:rsidRDefault="0025734B" w:rsidP="0025734B">
      <w:pPr>
        <w:spacing w:line="600" w:lineRule="exact"/>
        <w:ind w:firstLineChars="200" w:firstLine="560"/>
        <w:outlineLvl w:val="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</w:t>
      </w:r>
      <w:r w:rsidRPr="0006759C">
        <w:rPr>
          <w:rFonts w:ascii="仿宋_GB2312" w:eastAsia="仿宋_GB2312" w:hint="eastAsia"/>
          <w:sz w:val="28"/>
          <w:szCs w:val="28"/>
        </w:rPr>
        <w:t>项目决策情况。</w:t>
      </w:r>
    </w:p>
    <w:p w:rsidR="0025734B" w:rsidRPr="0006759C" w:rsidRDefault="0025734B" w:rsidP="0025734B">
      <w:pPr>
        <w:spacing w:line="600" w:lineRule="exact"/>
        <w:ind w:firstLineChars="200" w:firstLine="560"/>
        <w:outlineLvl w:val="0"/>
        <w:rPr>
          <w:rFonts w:ascii="仿宋_GB2312" w:eastAsia="仿宋_GB2312" w:hint="eastAsia"/>
          <w:sz w:val="28"/>
          <w:szCs w:val="28"/>
        </w:rPr>
      </w:pPr>
      <w:r w:rsidRPr="0006759C">
        <w:rPr>
          <w:rFonts w:ascii="Arial Narrow" w:eastAsia="仿宋_GB2312" w:hAnsi="Arial Narrow" w:cs="仿宋_GB2312"/>
          <w:sz w:val="28"/>
          <w:szCs w:val="28"/>
        </w:rPr>
        <w:t>依据房山法院现有相关规章制度，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审判区租金项目</w:t>
      </w:r>
      <w:r w:rsidRPr="0006759C">
        <w:rPr>
          <w:rFonts w:ascii="Arial Narrow" w:eastAsia="仿宋_GB2312" w:hAnsi="Arial Narrow" w:cs="仿宋_GB2312"/>
          <w:sz w:val="28"/>
          <w:szCs w:val="28"/>
        </w:rPr>
        <w:t>由房山法院办公室负责组织实施管理，根据预算批复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和项目计划</w:t>
      </w:r>
      <w:r w:rsidRPr="0006759C">
        <w:rPr>
          <w:rFonts w:ascii="Arial Narrow" w:eastAsia="仿宋_GB2312" w:hAnsi="Arial Narrow" w:cs="仿宋_GB2312"/>
          <w:sz w:val="28"/>
          <w:szCs w:val="28"/>
        </w:rPr>
        <w:t>做好相关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房屋</w:t>
      </w:r>
      <w:r w:rsidRPr="0006759C">
        <w:rPr>
          <w:rFonts w:ascii="Arial Narrow" w:eastAsia="仿宋_GB2312" w:hAnsi="Arial Narrow" w:cs="仿宋_GB2312"/>
          <w:sz w:val="28"/>
          <w:szCs w:val="28"/>
        </w:rPr>
        <w:t>租赁工作。该项目组织机构健全，组织分工明确。但评价过程中发现，窦店法庭的租赁合同一年一签，合同中未注明续签条款，不利于维护租用方的权利，合同内双方的权利义务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未</w:t>
      </w:r>
      <w:r w:rsidRPr="0006759C">
        <w:rPr>
          <w:rFonts w:ascii="Arial Narrow" w:eastAsia="仿宋_GB2312" w:hAnsi="Arial Narrow" w:cs="仿宋_GB2312"/>
          <w:sz w:val="28"/>
          <w:szCs w:val="28"/>
        </w:rPr>
        <w:t>充分说明。</w:t>
      </w:r>
    </w:p>
    <w:p w:rsidR="0025734B" w:rsidRPr="0006759C" w:rsidRDefault="0025734B" w:rsidP="0025734B">
      <w:pPr>
        <w:spacing w:line="600" w:lineRule="exact"/>
        <w:ind w:firstLineChars="200" w:firstLine="560"/>
        <w:outlineLvl w:val="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2.</w:t>
      </w:r>
      <w:r w:rsidRPr="0006759C">
        <w:rPr>
          <w:rFonts w:ascii="仿宋_GB2312" w:eastAsia="仿宋_GB2312" w:hint="eastAsia"/>
          <w:sz w:val="28"/>
          <w:szCs w:val="28"/>
        </w:rPr>
        <w:t>项目过程情况。</w:t>
      </w:r>
    </w:p>
    <w:p w:rsidR="0025734B" w:rsidRDefault="0025734B" w:rsidP="0025734B">
      <w:pPr>
        <w:spacing w:line="360" w:lineRule="auto"/>
        <w:ind w:firstLineChars="200" w:firstLine="560"/>
        <w:outlineLvl w:val="0"/>
        <w:rPr>
          <w:rFonts w:ascii="Arial Narrow" w:eastAsia="仿宋_GB2312" w:hAnsi="Arial Narrow" w:cs="仿宋_GB2312" w:hint="eastAsia"/>
          <w:sz w:val="28"/>
          <w:szCs w:val="28"/>
        </w:rPr>
      </w:pPr>
      <w:r w:rsidRPr="0006759C">
        <w:rPr>
          <w:rFonts w:ascii="Arial Narrow" w:eastAsia="仿宋_GB2312" w:hAnsi="Arial Narrow" w:cs="仿宋_GB2312"/>
          <w:sz w:val="28"/>
          <w:szCs w:val="28"/>
        </w:rPr>
        <w:t>根据《北京市房山区人民法院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财务</w:t>
      </w:r>
      <w:r w:rsidRPr="0006759C">
        <w:rPr>
          <w:rFonts w:ascii="Arial Narrow" w:eastAsia="仿宋_GB2312" w:hAnsi="Arial Narrow" w:cs="仿宋_GB2312"/>
          <w:sz w:val="28"/>
          <w:szCs w:val="28"/>
        </w:rPr>
        <w:t>管理办法》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，</w:t>
      </w:r>
      <w:r w:rsidRPr="0006759C">
        <w:rPr>
          <w:rFonts w:ascii="Arial Narrow" w:eastAsia="仿宋_GB2312" w:hAnsi="Arial Narrow" w:cs="仿宋_GB2312"/>
          <w:sz w:val="28"/>
          <w:szCs w:val="28"/>
        </w:rPr>
        <w:t>房山法院由办公室和财务科统一管理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该</w:t>
      </w:r>
      <w:r w:rsidRPr="0006759C">
        <w:rPr>
          <w:rFonts w:ascii="Arial Narrow" w:eastAsia="仿宋_GB2312" w:hAnsi="Arial Narrow" w:cs="仿宋_GB2312"/>
          <w:sz w:val="28"/>
          <w:szCs w:val="28"/>
        </w:rPr>
        <w:t>项目支出。根据市财政相关规定，房山法院制定并完善了该项目的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预算批复和项目</w:t>
      </w:r>
      <w:r w:rsidRPr="0006759C">
        <w:rPr>
          <w:rFonts w:ascii="Arial Narrow" w:eastAsia="仿宋_GB2312" w:hAnsi="Arial Narrow" w:cs="仿宋_GB2312"/>
          <w:sz w:val="28"/>
          <w:szCs w:val="28"/>
        </w:rPr>
        <w:t>执行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计划，</w:t>
      </w:r>
      <w:r w:rsidRPr="0006759C">
        <w:rPr>
          <w:rFonts w:ascii="Arial Narrow" w:eastAsia="仿宋_GB2312" w:hAnsi="Arial Narrow" w:cs="仿宋_GB2312"/>
          <w:sz w:val="28"/>
          <w:szCs w:val="28"/>
        </w:rPr>
        <w:t>并做好管控工作。财务科负责项目监督把关，对项目资金支出进行逐级把关核签的监督制约流程，严格控制项目资金的支出和使用</w:t>
      </w:r>
      <w:r w:rsidRPr="0006759C">
        <w:rPr>
          <w:rFonts w:ascii="Arial Narrow" w:eastAsia="仿宋_GB2312" w:hAnsi="Arial Narrow" w:cs="仿宋_GB2312" w:hint="eastAsia"/>
          <w:sz w:val="28"/>
          <w:szCs w:val="28"/>
        </w:rPr>
        <w:t>。</w:t>
      </w:r>
    </w:p>
    <w:p w:rsidR="0025734B" w:rsidRPr="0006759C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25734B">
        <w:rPr>
          <w:rFonts w:ascii="仿宋_GB2312" w:eastAsia="仿宋_GB2312" w:hAnsi="黑体" w:hint="eastAsia"/>
          <w:sz w:val="28"/>
          <w:szCs w:val="28"/>
        </w:rPr>
        <w:t>五、主要经验及做法、存在的问题及原因分析</w:t>
      </w:r>
    </w:p>
    <w:p w:rsidR="0025734B" w:rsidRPr="00031717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/>
          <w:sz w:val="28"/>
          <w:szCs w:val="28"/>
        </w:rPr>
      </w:pPr>
      <w:r w:rsidRPr="0006759C">
        <w:rPr>
          <w:rFonts w:ascii="仿宋_GB2312" w:eastAsia="仿宋_GB2312" w:hAnsi="黑体" w:hint="eastAsia"/>
          <w:sz w:val="28"/>
          <w:szCs w:val="28"/>
        </w:rPr>
        <w:t>绩效目标细化程度不高，绩效体系设置方面特色不突出。</w:t>
      </w:r>
    </w:p>
    <w:p w:rsidR="0025734B" w:rsidRPr="0025734B" w:rsidRDefault="0025734B" w:rsidP="0025734B">
      <w:pPr>
        <w:spacing w:line="360" w:lineRule="auto"/>
        <w:ind w:firstLineChars="200" w:firstLine="560"/>
        <w:outlineLvl w:val="0"/>
        <w:rPr>
          <w:rFonts w:ascii="仿宋_GB2312" w:eastAsia="仿宋_GB2312" w:hAnsi="黑体" w:hint="eastAsia"/>
          <w:sz w:val="28"/>
          <w:szCs w:val="28"/>
        </w:rPr>
      </w:pPr>
      <w:r w:rsidRPr="0025734B">
        <w:rPr>
          <w:rFonts w:ascii="仿宋_GB2312" w:eastAsia="仿宋_GB2312" w:hAnsi="黑体" w:hint="eastAsia"/>
          <w:sz w:val="28"/>
          <w:szCs w:val="28"/>
        </w:rPr>
        <w:t>六、有关建议</w:t>
      </w:r>
    </w:p>
    <w:p w:rsidR="00000000" w:rsidRDefault="0025734B" w:rsidP="0025734B">
      <w:pPr>
        <w:ind w:firstLineChars="200" w:firstLine="560"/>
        <w:rPr>
          <w:rFonts w:ascii="仿宋_GB2312" w:eastAsia="仿宋_GB2312" w:hAnsi="黑体" w:hint="eastAsia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无。</w:t>
      </w:r>
    </w:p>
    <w:p w:rsidR="0025734B" w:rsidRPr="0025734B" w:rsidRDefault="0025734B" w:rsidP="0025734B">
      <w:pPr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25734B">
        <w:rPr>
          <w:rFonts w:ascii="仿宋_GB2312" w:eastAsia="仿宋_GB2312" w:hAnsi="黑体" w:hint="eastAsia"/>
          <w:sz w:val="28"/>
          <w:szCs w:val="28"/>
        </w:rPr>
        <w:t>七、其他需要说明的问题</w:t>
      </w:r>
    </w:p>
    <w:sectPr w:rsidR="0025734B" w:rsidRPr="002573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488" w:rsidRDefault="008A3488" w:rsidP="0025734B">
      <w:r>
        <w:separator/>
      </w:r>
    </w:p>
  </w:endnote>
  <w:endnote w:type="continuationSeparator" w:id="1">
    <w:p w:rsidR="008A3488" w:rsidRDefault="008A3488" w:rsidP="00257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488" w:rsidRDefault="008A3488" w:rsidP="0025734B">
      <w:r>
        <w:separator/>
      </w:r>
    </w:p>
  </w:footnote>
  <w:footnote w:type="continuationSeparator" w:id="1">
    <w:p w:rsidR="008A3488" w:rsidRDefault="008A3488" w:rsidP="002573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734B"/>
    <w:rsid w:val="0025734B"/>
    <w:rsid w:val="008A3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3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73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734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73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73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246</Words>
  <Characters>1408</Characters>
  <Application>Microsoft Office Word</Application>
  <DocSecurity>0</DocSecurity>
  <Lines>11</Lines>
  <Paragraphs>3</Paragraphs>
  <ScaleCrop>false</ScaleCrop>
  <Company>Microsoft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2022-06-08T07:58:00Z</dcterms:created>
  <dcterms:modified xsi:type="dcterms:W3CDTF">2022-06-08T08:05:00Z</dcterms:modified>
</cp:coreProperties>
</file>