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F44" w:rsidRPr="00D27F44" w:rsidRDefault="00211D7F" w:rsidP="00211D7F">
      <w:pPr>
        <w:spacing w:line="560" w:lineRule="exact"/>
        <w:jc w:val="center"/>
        <w:rPr>
          <w:rFonts w:ascii="仿宋_GB2312" w:eastAsia="仿宋_GB2312" w:hint="eastAsia"/>
          <w:b/>
          <w:sz w:val="32"/>
          <w:szCs w:val="32"/>
        </w:rPr>
      </w:pPr>
      <w:r w:rsidRPr="00D27F44">
        <w:rPr>
          <w:rFonts w:ascii="仿宋_GB2312" w:eastAsia="仿宋_GB2312" w:hint="eastAsia"/>
          <w:b/>
          <w:sz w:val="32"/>
          <w:szCs w:val="32"/>
        </w:rPr>
        <w:t>北京市门头沟区人民法院</w:t>
      </w:r>
    </w:p>
    <w:p w:rsidR="00211D7F" w:rsidRPr="00D27F44" w:rsidRDefault="00211D7F" w:rsidP="00211D7F">
      <w:pPr>
        <w:spacing w:line="560" w:lineRule="exact"/>
        <w:jc w:val="center"/>
        <w:rPr>
          <w:rFonts w:ascii="仿宋_GB2312" w:eastAsia="仿宋_GB2312" w:hint="eastAsia"/>
          <w:b/>
          <w:sz w:val="32"/>
          <w:szCs w:val="32"/>
        </w:rPr>
      </w:pPr>
      <w:r w:rsidRPr="00D27F44">
        <w:rPr>
          <w:rFonts w:ascii="仿宋_GB2312" w:eastAsia="仿宋_GB2312" w:hint="eastAsia"/>
          <w:b/>
          <w:sz w:val="32"/>
          <w:szCs w:val="32"/>
        </w:rPr>
        <w:t>关于</w:t>
      </w:r>
      <w:r w:rsidR="00D27F44" w:rsidRPr="00D27F44">
        <w:rPr>
          <w:rFonts w:ascii="仿宋_GB2312" w:eastAsia="仿宋_GB2312" w:hint="eastAsia"/>
          <w:b/>
          <w:sz w:val="32"/>
          <w:szCs w:val="32"/>
        </w:rPr>
        <w:t>“</w:t>
      </w:r>
      <w:r w:rsidRPr="00D27F44">
        <w:rPr>
          <w:rFonts w:ascii="仿宋_GB2312" w:eastAsia="仿宋_GB2312" w:hint="eastAsia"/>
          <w:b/>
          <w:sz w:val="32"/>
          <w:szCs w:val="32"/>
        </w:rPr>
        <w:t>中央政法转移支付</w:t>
      </w:r>
      <w:r w:rsidR="00D27F44" w:rsidRPr="00D27F44">
        <w:rPr>
          <w:rFonts w:ascii="仿宋_GB2312" w:eastAsia="仿宋_GB2312" w:hint="eastAsia"/>
          <w:b/>
          <w:sz w:val="32"/>
          <w:szCs w:val="32"/>
        </w:rPr>
        <w:t>资金”项目的</w:t>
      </w:r>
      <w:r w:rsidRPr="00D27F44">
        <w:rPr>
          <w:rFonts w:ascii="仿宋_GB2312" w:eastAsia="仿宋_GB2312" w:hint="eastAsia"/>
          <w:b/>
          <w:sz w:val="32"/>
          <w:szCs w:val="32"/>
        </w:rPr>
        <w:t>绩效评价报告</w:t>
      </w:r>
    </w:p>
    <w:p w:rsidR="00211D7F" w:rsidRPr="00211D7F" w:rsidRDefault="00211D7F" w:rsidP="00211D7F">
      <w:pPr>
        <w:jc w:val="center"/>
        <w:rPr>
          <w:rFonts w:ascii="仿宋_GB2312" w:eastAsia="仿宋_GB2312" w:hint="eastAsia"/>
          <w:sz w:val="28"/>
          <w:szCs w:val="28"/>
        </w:rPr>
      </w:pP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黑体" w:cs="黑体" w:hint="eastAsia"/>
          <w:sz w:val="28"/>
          <w:szCs w:val="28"/>
        </w:rPr>
      </w:pPr>
      <w:r w:rsidRPr="00D27F44">
        <w:rPr>
          <w:rFonts w:ascii="仿宋_GB2312" w:eastAsia="仿宋_GB2312" w:hAnsi="黑体" w:cs="黑体" w:hint="eastAsia"/>
          <w:sz w:val="28"/>
          <w:szCs w:val="28"/>
        </w:rPr>
        <w:t>一、基本情况</w:t>
      </w:r>
    </w:p>
    <w:p w:rsidR="00211D7F" w:rsidRPr="00D27F44" w:rsidRDefault="00211D7F" w:rsidP="00211D7F">
      <w:pPr>
        <w:spacing w:line="600" w:lineRule="exact"/>
        <w:ind w:firstLineChars="200" w:firstLine="560"/>
        <w:outlineLvl w:val="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（一）项目概况。包括项目背景、主要内容及实施情况、资金投入和使用情况等。</w:t>
      </w:r>
    </w:p>
    <w:p w:rsidR="00211D7F" w:rsidRPr="00D27F44" w:rsidRDefault="00211D7F" w:rsidP="00EC1610">
      <w:pPr>
        <w:ind w:firstLine="555"/>
        <w:rPr>
          <w:rFonts w:ascii="仿宋_GB2312" w:eastAsia="仿宋_GB2312" w:hint="eastAsia"/>
          <w:sz w:val="28"/>
          <w:szCs w:val="28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人民法院是国家的审判机关，依照法律规定独立行使审判权，不受行政机关、社会团体和个人的干涉。负责审理辖区内刑事、民商事和行政等案件，依法执行已发生法律效力的判决、裁定以及国家行政机关依法申请执行的案件。2021年财政预算安排中央政法转移资金（其他商品和服务支出）</w:t>
      </w:r>
      <w:r w:rsidR="00CE2F38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551.494274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万元。此项目资金主要用于法院日常审判执行办案经费</w:t>
      </w:r>
      <w:r w:rsidR="00EC1610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，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包括审判执行工作中产生的办案差旅费、诉讼文书费、法制宣传材料及印刷费、交通费、邮寄费、电话通讯费等对法院审判执行工作的保障方面</w:t>
      </w:r>
      <w:r w:rsidR="00EC1610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。全年预算执行数为</w:t>
      </w:r>
      <w:r w:rsidR="00CE2F38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303.354235</w:t>
      </w:r>
      <w:r w:rsidR="00EC1610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万元，支出执行率为55</w:t>
      </w:r>
      <w:r w:rsidR="00CE2F38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..01</w:t>
      </w:r>
      <w:r w:rsidR="00EC1610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％。</w:t>
      </w: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（二）项目绩效目标。包括总体目标和阶段性目标。</w:t>
      </w:r>
    </w:p>
    <w:p w:rsidR="00EC1610" w:rsidRPr="00D27F44" w:rsidRDefault="00EC1610" w:rsidP="00EC1610">
      <w:pPr>
        <w:spacing w:line="600" w:lineRule="exact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保证了北京市门头沟区人民法院各项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审判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工作顺利进行，充分发挥了法院的职能作用经费保障，保障了单位日常工作，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提升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当事人对案件审判工作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的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满意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度，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增加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案件审判的透明度，有力惩处了各类犯罪，保护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人民群众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的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合法权益，坚持司法为民、公正司法，推进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司法改革，强化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过硬队伍建设，维护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社会安定稳定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及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社会公平正义，促进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了</w:t>
      </w:r>
      <w:r w:rsidRPr="00D27F44"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  <w:t>经济社会健康发展，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为人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lastRenderedPageBreak/>
        <w:t>民群众提供了优质高效的司法服务。</w:t>
      </w: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黑体" w:cs="黑体" w:hint="eastAsia"/>
          <w:sz w:val="28"/>
          <w:szCs w:val="28"/>
        </w:rPr>
      </w:pPr>
      <w:r w:rsidRPr="00D27F44">
        <w:rPr>
          <w:rFonts w:ascii="仿宋_GB2312" w:eastAsia="仿宋_GB2312" w:hAnsi="黑体" w:cs="黑体" w:hint="eastAsia"/>
          <w:sz w:val="28"/>
          <w:szCs w:val="28"/>
        </w:rPr>
        <w:t>二、绩效评价工作开展情况</w:t>
      </w: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（一）绩效评价目的、对象和范围。</w:t>
      </w:r>
    </w:p>
    <w:p w:rsidR="00EC1610" w:rsidRPr="00D27F44" w:rsidRDefault="00EC1610" w:rsidP="00211D7F">
      <w:pPr>
        <w:spacing w:line="600" w:lineRule="exact"/>
        <w:ind w:firstLineChars="200" w:firstLine="56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通过对</w:t>
      </w:r>
      <w:r w:rsidRPr="00D27F44">
        <w:rPr>
          <w:rFonts w:ascii="仿宋_GB2312" w:eastAsia="仿宋_GB2312" w:hint="eastAsia"/>
          <w:sz w:val="28"/>
          <w:szCs w:val="28"/>
        </w:rPr>
        <w:t>中央政法转移支付资金（其他商品和服务支出）项目的绩效评价，全面、客观反映我院该项目的执行情况，对此总结经验，进一步提高财政资金使用效益，合理分配财政资金。</w:t>
      </w: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（二）绩效评价原则、评价指标体系（附表说明）、评价方法、评价标准等。</w:t>
      </w:r>
    </w:p>
    <w:p w:rsidR="00A7599B" w:rsidRPr="00D27F44" w:rsidRDefault="00EC1610" w:rsidP="00A7599B">
      <w:pPr>
        <w:topLinePunct/>
        <w:spacing w:line="520" w:lineRule="exact"/>
        <w:ind w:leftChars="-6" w:left="-13" w:firstLineChars="250" w:firstLine="700"/>
        <w:rPr>
          <w:rFonts w:ascii="仿宋_GB2312" w:eastAsia="仿宋_GB2312"/>
          <w:sz w:val="28"/>
          <w:szCs w:val="28"/>
        </w:rPr>
      </w:pPr>
      <w:r w:rsidRPr="00D27F44">
        <w:rPr>
          <w:rFonts w:ascii="仿宋_GB2312" w:eastAsia="仿宋_GB2312" w:hint="eastAsia"/>
          <w:sz w:val="28"/>
          <w:szCs w:val="28"/>
        </w:rPr>
        <w:t>遵循科学规范、</w:t>
      </w:r>
      <w:r w:rsidR="00A7599B" w:rsidRPr="00D27F44">
        <w:rPr>
          <w:rFonts w:ascii="仿宋_GB2312" w:eastAsia="仿宋_GB2312" w:hint="eastAsia"/>
          <w:sz w:val="28"/>
          <w:szCs w:val="28"/>
        </w:rPr>
        <w:t>公正公开、绩效相关等原则。</w:t>
      </w:r>
      <w:r w:rsidR="00A12280" w:rsidRPr="00D27F44">
        <w:rPr>
          <w:rFonts w:ascii="仿宋_GB2312" w:eastAsia="仿宋_GB2312" w:hint="eastAsia"/>
          <w:sz w:val="28"/>
          <w:szCs w:val="28"/>
        </w:rPr>
        <w:t>采用数据对比</w:t>
      </w:r>
      <w:r w:rsidR="00A7599B" w:rsidRPr="00D27F44">
        <w:rPr>
          <w:rFonts w:ascii="仿宋_GB2312" w:eastAsia="仿宋_GB2312" w:hint="eastAsia"/>
          <w:sz w:val="28"/>
          <w:szCs w:val="28"/>
        </w:rPr>
        <w:t>等方法进行绩效评价。</w:t>
      </w:r>
    </w:p>
    <w:tbl>
      <w:tblPr>
        <w:tblW w:w="10400" w:type="dxa"/>
        <w:jc w:val="center"/>
        <w:tblLook w:val="0000"/>
      </w:tblPr>
      <w:tblGrid>
        <w:gridCol w:w="1001"/>
        <w:gridCol w:w="1001"/>
        <w:gridCol w:w="1727"/>
        <w:gridCol w:w="6671"/>
      </w:tblGrid>
      <w:tr w:rsidR="00A7599B" w:rsidRPr="00D27F44" w:rsidTr="00A7599B">
        <w:trPr>
          <w:trHeight w:val="435"/>
          <w:jc w:val="center"/>
        </w:trPr>
        <w:tc>
          <w:tcPr>
            <w:tcW w:w="10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宋体" w:hAnsi="宋体" w:cs="Tahoma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cs="Tahoma" w:hint="eastAsia"/>
                <w:b/>
                <w:bCs/>
                <w:color w:val="000000"/>
                <w:sz w:val="28"/>
                <w:szCs w:val="28"/>
              </w:rPr>
              <w:t>项目支出绩效评价指标体系</w:t>
            </w:r>
          </w:p>
        </w:tc>
      </w:tr>
      <w:tr w:rsidR="00A7599B" w:rsidRPr="00D27F44" w:rsidTr="00A7599B">
        <w:trPr>
          <w:trHeight w:val="285"/>
          <w:jc w:val="center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宋体" w:hAnsi="宋体" w:cs="Tahoma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cs="Tahoma" w:hint="eastAsia"/>
                <w:b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宋体" w:hAnsi="宋体" w:cs="Tahoma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cs="Tahoma" w:hint="eastAsia"/>
                <w:b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宋体" w:hAnsi="宋体" w:cs="Tahoma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cs="Tahoma" w:hint="eastAsia"/>
                <w:b/>
                <w:color w:val="000000"/>
                <w:sz w:val="28"/>
                <w:szCs w:val="28"/>
              </w:rPr>
              <w:t>三级指标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宋体" w:hAnsi="宋体" w:cs="Tahoma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cs="Tahoma" w:hint="eastAsia"/>
                <w:b/>
                <w:color w:val="000000"/>
                <w:sz w:val="28"/>
                <w:szCs w:val="28"/>
              </w:rPr>
              <w:t>指标解释</w:t>
            </w:r>
          </w:p>
        </w:tc>
      </w:tr>
      <w:tr w:rsidR="00A7599B" w:rsidRPr="00D27F44" w:rsidTr="00A7599B">
        <w:trPr>
          <w:trHeight w:val="766"/>
          <w:jc w:val="center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决策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绩效目标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绩效目标合理性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项目所设定的绩效目标是否依据充分，是否符合客观实际。</w:t>
            </w:r>
          </w:p>
        </w:tc>
      </w:tr>
      <w:tr w:rsidR="00A7599B" w:rsidRPr="00D27F44" w:rsidTr="00A7599B">
        <w:trPr>
          <w:trHeight w:val="976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过程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A7599B">
            <w:pPr>
              <w:spacing w:line="360" w:lineRule="auto"/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资金管理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资金到位率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实际到位资金与预算资金的比率，用以反映和考核资金落实情况对项目实施的总体保障程度。</w:t>
            </w:r>
          </w:p>
        </w:tc>
      </w:tr>
      <w:tr w:rsidR="00A7599B" w:rsidRPr="00D27F44" w:rsidTr="00A7599B">
        <w:trPr>
          <w:trHeight w:val="848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资金使用合规性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项目资金使用是否符合相关的财务管理制度规定，用以考核项目资金的规范运行情况。</w:t>
            </w:r>
          </w:p>
        </w:tc>
      </w:tr>
      <w:tr w:rsidR="00A7599B" w:rsidRPr="00D27F44" w:rsidTr="00A7599B">
        <w:trPr>
          <w:trHeight w:val="844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产出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产出数量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实际完成率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项目实施的实际数与计划数的比率，用以反映和考核项目产出数量目标的实现程度。</w:t>
            </w:r>
          </w:p>
        </w:tc>
      </w:tr>
      <w:tr w:rsidR="00A7599B" w:rsidRPr="00D27F44" w:rsidTr="00A7599B">
        <w:trPr>
          <w:trHeight w:val="700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产出</w:t>
            </w: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lastRenderedPageBreak/>
              <w:t>时效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A7599B">
            <w:pPr>
              <w:spacing w:line="276" w:lineRule="auto"/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lastRenderedPageBreak/>
              <w:t>完成及时性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项目实际完成时间与计划完成时间的比较，用以反映</w:t>
            </w: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lastRenderedPageBreak/>
              <w:t>和考核项目产出时效目标的实现程度。</w:t>
            </w:r>
          </w:p>
        </w:tc>
      </w:tr>
      <w:tr w:rsidR="00A7599B" w:rsidRPr="00D27F44" w:rsidTr="00A7599B">
        <w:trPr>
          <w:trHeight w:val="554"/>
          <w:jc w:val="center"/>
        </w:trPr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lastRenderedPageBreak/>
              <w:t>效益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项目效益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实施效益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项目实施所产生的效益。</w:t>
            </w:r>
          </w:p>
        </w:tc>
      </w:tr>
      <w:tr w:rsidR="00A7599B" w:rsidRPr="00D27F44" w:rsidTr="00A7599B">
        <w:trPr>
          <w:trHeight w:val="562"/>
          <w:jc w:val="center"/>
        </w:trPr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jc w:val="center"/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满意度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99B" w:rsidRPr="00D27F44" w:rsidRDefault="00A7599B" w:rsidP="001154DB">
            <w:pPr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</w:pPr>
            <w:r w:rsidRPr="00D27F44">
              <w:rPr>
                <w:rFonts w:ascii="仿宋_GB2312" w:eastAsia="仿宋_GB2312" w:hAnsi="宋体" w:cs="Tahoma" w:hint="eastAsia"/>
                <w:color w:val="000000"/>
                <w:sz w:val="28"/>
                <w:szCs w:val="28"/>
              </w:rPr>
              <w:t>社会公众或服务对象对项目实施效果的满意程度。</w:t>
            </w:r>
          </w:p>
        </w:tc>
      </w:tr>
    </w:tbl>
    <w:p w:rsidR="00A12280" w:rsidRPr="00D27F44" w:rsidRDefault="00A12280" w:rsidP="00A7599B">
      <w:pPr>
        <w:spacing w:line="600" w:lineRule="exact"/>
        <w:ind w:firstLineChars="150" w:firstLine="420"/>
        <w:rPr>
          <w:rFonts w:ascii="仿宋_GB2312" w:eastAsia="仿宋_GB2312" w:hAnsi="楷体_GB2312" w:cs="楷体_GB2312" w:hint="eastAsia"/>
          <w:sz w:val="28"/>
          <w:szCs w:val="28"/>
        </w:rPr>
      </w:pPr>
    </w:p>
    <w:p w:rsidR="00211D7F" w:rsidRPr="00D27F44" w:rsidRDefault="00211D7F" w:rsidP="00A7599B">
      <w:pPr>
        <w:spacing w:line="600" w:lineRule="exact"/>
        <w:ind w:firstLineChars="150" w:firstLine="42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（三）绩效评价工作过程。</w:t>
      </w:r>
    </w:p>
    <w:p w:rsidR="00A7599B" w:rsidRPr="00D27F44" w:rsidRDefault="00A7599B" w:rsidP="00A7599B">
      <w:pPr>
        <w:topLinePunct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D27F44">
        <w:rPr>
          <w:rFonts w:ascii="仿宋_GB2312" w:eastAsia="仿宋_GB2312" w:hint="eastAsia"/>
          <w:sz w:val="28"/>
          <w:szCs w:val="28"/>
        </w:rPr>
        <w:t>前期研读相关文件、政策，接着根据具体的绩效指标进行专门的信息收集，填报相关报表，最后对确认后的数据、资料进行综合分析，撰写绩效评价报告。</w:t>
      </w:r>
    </w:p>
    <w:p w:rsidR="00211D7F" w:rsidRPr="00D27F44" w:rsidRDefault="00211D7F" w:rsidP="00211D7F">
      <w:pPr>
        <w:spacing w:line="600" w:lineRule="exact"/>
        <w:ind w:firstLineChars="200" w:firstLine="560"/>
        <w:rPr>
          <w:rFonts w:ascii="仿宋_GB2312" w:eastAsia="仿宋_GB2312" w:hAnsi="黑体" w:cs="黑体" w:hint="eastAsia"/>
          <w:sz w:val="28"/>
          <w:szCs w:val="28"/>
        </w:rPr>
      </w:pPr>
      <w:r w:rsidRPr="00D27F44">
        <w:rPr>
          <w:rFonts w:ascii="仿宋_GB2312" w:eastAsia="仿宋_GB2312" w:hAnsi="黑体" w:cs="黑体" w:hint="eastAsia"/>
          <w:sz w:val="28"/>
          <w:szCs w:val="28"/>
        </w:rPr>
        <w:t>三、综合评价情况及评价结论（附相关评分表）</w:t>
      </w:r>
    </w:p>
    <w:p w:rsidR="00A7599B" w:rsidRPr="00D27F44" w:rsidRDefault="00A7599B" w:rsidP="00A7599B">
      <w:pPr>
        <w:pStyle w:val="a3"/>
        <w:widowControl/>
        <w:spacing w:before="0" w:beforeAutospacing="0" w:after="0" w:afterAutospacing="0" w:line="30" w:lineRule="atLeast"/>
        <w:ind w:firstLine="420"/>
        <w:rPr>
          <w:rFonts w:ascii="仿宋_GB2312" w:eastAsia="仿宋_GB2312" w:hAnsi="Times New Roman"/>
          <w:sz w:val="28"/>
          <w:szCs w:val="28"/>
        </w:rPr>
      </w:pPr>
      <w:r w:rsidRPr="00D27F44">
        <w:rPr>
          <w:rFonts w:ascii="仿宋_GB2312" w:eastAsia="仿宋_GB2312" w:hAnsi="Times New Roman" w:hint="eastAsia"/>
          <w:sz w:val="28"/>
          <w:szCs w:val="28"/>
        </w:rPr>
        <w:t>北京市门头沟区人民法院关于</w:t>
      </w:r>
      <w:r w:rsidRPr="00D27F44">
        <w:rPr>
          <w:rFonts w:ascii="仿宋_GB2312" w:eastAsia="仿宋_GB2312" w:hAnsi="Times New Roman" w:hint="eastAsia"/>
          <w:kern w:val="2"/>
          <w:sz w:val="28"/>
          <w:szCs w:val="28"/>
        </w:rPr>
        <w:t>中央政法转移支付资金（其他商品和服</w:t>
      </w:r>
      <w:r w:rsidRPr="00D27F44">
        <w:rPr>
          <w:rFonts w:ascii="仿宋_GB2312" w:eastAsia="仿宋_GB2312" w:hAnsi="Times New Roman" w:hint="eastAsia"/>
          <w:sz w:val="28"/>
          <w:szCs w:val="28"/>
        </w:rPr>
        <w:t>务支出）专项财政资金绩效评价结果得绩效分值</w:t>
      </w:r>
      <w:r w:rsidR="00CE2F38" w:rsidRPr="00D27F44">
        <w:rPr>
          <w:rFonts w:ascii="仿宋_GB2312" w:eastAsia="仿宋_GB2312" w:hAnsi="Times New Roman" w:hint="eastAsia"/>
          <w:sz w:val="28"/>
          <w:szCs w:val="28"/>
        </w:rPr>
        <w:t>90</w:t>
      </w:r>
      <w:r w:rsidRPr="00D27F44">
        <w:rPr>
          <w:rFonts w:ascii="仿宋_GB2312" w:eastAsia="仿宋_GB2312" w:hAnsi="Times New Roman" w:hint="eastAsia"/>
          <w:sz w:val="28"/>
          <w:szCs w:val="28"/>
        </w:rPr>
        <w:t>分，属于“优”。分布如下：</w:t>
      </w:r>
    </w:p>
    <w:p w:rsidR="007F5ACE" w:rsidRPr="00D27F44" w:rsidRDefault="007F5ACE" w:rsidP="007F5ACE">
      <w:pPr>
        <w:adjustRightInd w:val="0"/>
        <w:snapToGrid w:val="0"/>
        <w:spacing w:line="360" w:lineRule="auto"/>
        <w:ind w:firstLineChars="200" w:firstLine="562"/>
        <w:jc w:val="center"/>
        <w:rPr>
          <w:rFonts w:ascii="宋体" w:hAnsi="宋体"/>
          <w:b/>
          <w:color w:val="000000"/>
          <w:sz w:val="28"/>
          <w:szCs w:val="28"/>
        </w:rPr>
      </w:pPr>
      <w:bookmarkStart w:id="0" w:name="_Toc19729535"/>
      <w:bookmarkStart w:id="1" w:name="_Hlk71275068"/>
      <w:r w:rsidRPr="00D27F44">
        <w:rPr>
          <w:rFonts w:ascii="仿宋_GB2312" w:eastAsia="仿宋_GB2312" w:hAnsi="仿宋_GB2312" w:cs="仿宋_GB2312" w:hint="eastAsia"/>
          <w:b/>
          <w:sz w:val="28"/>
          <w:szCs w:val="28"/>
        </w:rPr>
        <w:t>中央政法转移支付资金</w:t>
      </w:r>
      <w:r w:rsidRPr="00D27F44">
        <w:rPr>
          <w:rFonts w:ascii="宋体" w:hAnsi="宋体" w:hint="eastAsia"/>
          <w:b/>
          <w:color w:val="000000"/>
          <w:sz w:val="28"/>
          <w:szCs w:val="28"/>
        </w:rPr>
        <w:t>项目</w:t>
      </w:r>
      <w:bookmarkEnd w:id="1"/>
      <w:r w:rsidRPr="00D27F44">
        <w:rPr>
          <w:rFonts w:ascii="宋体" w:hAnsi="宋体" w:hint="eastAsia"/>
          <w:b/>
          <w:color w:val="000000"/>
          <w:sz w:val="28"/>
          <w:szCs w:val="28"/>
        </w:rPr>
        <w:t>绩效评价得分情况表</w:t>
      </w:r>
      <w:bookmarkEnd w:id="0"/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2151"/>
        <w:gridCol w:w="2151"/>
        <w:gridCol w:w="2149"/>
      </w:tblGrid>
      <w:tr w:rsidR="007F5ACE" w:rsidRPr="00D27F44" w:rsidTr="0075337C">
        <w:trPr>
          <w:trHeight w:val="397"/>
          <w:tblHeader/>
          <w:jc w:val="center"/>
        </w:trPr>
        <w:tc>
          <w:tcPr>
            <w:tcW w:w="1215" w:type="pct"/>
            <w:shd w:val="clear" w:color="auto" w:fill="BFBFBF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评价内容</w:t>
            </w:r>
          </w:p>
        </w:tc>
        <w:tc>
          <w:tcPr>
            <w:tcW w:w="1262" w:type="pct"/>
            <w:shd w:val="clear" w:color="auto" w:fill="BFBFBF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分值</w:t>
            </w:r>
          </w:p>
        </w:tc>
        <w:tc>
          <w:tcPr>
            <w:tcW w:w="1262" w:type="pct"/>
            <w:shd w:val="clear" w:color="auto" w:fill="BFBFBF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评价得分</w:t>
            </w:r>
          </w:p>
        </w:tc>
        <w:tc>
          <w:tcPr>
            <w:tcW w:w="1261" w:type="pct"/>
            <w:shd w:val="clear" w:color="auto" w:fill="BFBFBF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得分率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sz w:val="28"/>
                <w:szCs w:val="28"/>
              </w:rPr>
              <w:t>决策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1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86.67%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sz w:val="28"/>
                <w:szCs w:val="28"/>
              </w:rPr>
              <w:t>过程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sz w:val="28"/>
                <w:szCs w:val="28"/>
              </w:rPr>
              <w:t>25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61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88%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sz w:val="28"/>
                <w:szCs w:val="28"/>
              </w:rPr>
              <w:t>产出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sz w:val="28"/>
                <w:szCs w:val="28"/>
              </w:rPr>
              <w:t>30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61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90%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效益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61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93.33%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综合得分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2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61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90%</w:t>
            </w:r>
          </w:p>
        </w:tc>
      </w:tr>
      <w:tr w:rsidR="007F5ACE" w:rsidRPr="00D27F44" w:rsidTr="0075337C">
        <w:trPr>
          <w:trHeight w:val="397"/>
          <w:jc w:val="center"/>
        </w:trPr>
        <w:tc>
          <w:tcPr>
            <w:tcW w:w="1215" w:type="pct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评价结论</w:t>
            </w:r>
          </w:p>
        </w:tc>
        <w:tc>
          <w:tcPr>
            <w:tcW w:w="3785" w:type="pct"/>
            <w:gridSpan w:val="3"/>
            <w:vAlign w:val="center"/>
          </w:tcPr>
          <w:p w:rsidR="007F5ACE" w:rsidRPr="00D27F44" w:rsidRDefault="007F5ACE" w:rsidP="0075337C">
            <w:pPr>
              <w:adjustRightInd w:val="0"/>
              <w:snapToGrid w:val="0"/>
              <w:jc w:val="center"/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</w:pPr>
            <w:r w:rsidRPr="00D27F44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>优</w:t>
            </w:r>
          </w:p>
        </w:tc>
      </w:tr>
    </w:tbl>
    <w:p w:rsidR="00CE2F38" w:rsidRPr="00D27F44" w:rsidRDefault="00CE2F38" w:rsidP="00CE2F38">
      <w:pPr>
        <w:rPr>
          <w:sz w:val="28"/>
          <w:szCs w:val="28"/>
        </w:rPr>
      </w:pPr>
    </w:p>
    <w:p w:rsidR="00211D7F" w:rsidRPr="00D27F44" w:rsidRDefault="00211D7F" w:rsidP="00A7599B">
      <w:pPr>
        <w:spacing w:line="600" w:lineRule="exact"/>
        <w:ind w:firstLineChars="200" w:firstLine="560"/>
        <w:rPr>
          <w:rFonts w:ascii="仿宋_GB2312" w:eastAsia="仿宋_GB2312" w:hAnsi="黑体" w:cs="黑体" w:hint="eastAsia"/>
          <w:sz w:val="28"/>
          <w:szCs w:val="28"/>
        </w:rPr>
      </w:pPr>
      <w:r w:rsidRPr="00D27F44">
        <w:rPr>
          <w:rFonts w:ascii="仿宋_GB2312" w:eastAsia="仿宋_GB2312" w:hAnsi="黑体" w:cs="黑体" w:hint="eastAsia"/>
          <w:sz w:val="28"/>
          <w:szCs w:val="28"/>
        </w:rPr>
        <w:t>四、绩效评价指标分析</w:t>
      </w:r>
    </w:p>
    <w:p w:rsidR="00211D7F" w:rsidRPr="00D27F44" w:rsidRDefault="00211D7F" w:rsidP="00211D7F">
      <w:pPr>
        <w:spacing w:line="600" w:lineRule="exact"/>
        <w:ind w:firstLineChars="200" w:firstLine="560"/>
        <w:outlineLvl w:val="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（一）项目决策情况。</w:t>
      </w:r>
    </w:p>
    <w:p w:rsidR="00BE40C6" w:rsidRPr="00D27F44" w:rsidRDefault="00BE40C6" w:rsidP="00BE40C6">
      <w:pPr>
        <w:spacing w:line="600" w:lineRule="exact"/>
        <w:ind w:firstLineChars="200" w:firstLine="592"/>
        <w:outlineLvl w:val="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此项目资金主要用于法院日常审判执行办案经费，包括审判执行工作中产生的办案差旅费、诉讼文书费、法制宣传材料及印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lastRenderedPageBreak/>
        <w:t>刷费、交通费、邮寄费、电话通讯费等对法院审判执行工作的保障方面。</w:t>
      </w:r>
    </w:p>
    <w:p w:rsidR="00211D7F" w:rsidRPr="00D27F44" w:rsidRDefault="00211D7F" w:rsidP="00211D7F">
      <w:pPr>
        <w:spacing w:line="600" w:lineRule="exact"/>
        <w:ind w:firstLineChars="200" w:firstLine="560"/>
        <w:outlineLvl w:val="0"/>
        <w:rPr>
          <w:rFonts w:ascii="仿宋_GB2312" w:eastAsia="仿宋_GB2312" w:hAnsi="楷体_GB2312" w:cs="楷体_GB2312" w:hint="eastAsia"/>
          <w:sz w:val="28"/>
          <w:szCs w:val="28"/>
        </w:rPr>
      </w:pPr>
      <w:r w:rsidRPr="00D27F44">
        <w:rPr>
          <w:rFonts w:ascii="仿宋_GB2312" w:eastAsia="仿宋_GB2312" w:hAnsi="楷体_GB2312" w:cs="楷体_GB2312" w:hint="eastAsia"/>
          <w:sz w:val="28"/>
          <w:szCs w:val="28"/>
        </w:rPr>
        <w:t>（二）项目过程情况。</w:t>
      </w:r>
    </w:p>
    <w:p w:rsidR="00BE40C6" w:rsidRPr="00D27F44" w:rsidRDefault="00BE40C6" w:rsidP="00BE40C6">
      <w:pPr>
        <w:ind w:firstLine="555"/>
        <w:rPr>
          <w:rFonts w:ascii="仿宋_GB2312" w:eastAsia="仿宋_GB2312" w:hint="eastAsia"/>
          <w:sz w:val="28"/>
          <w:szCs w:val="28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2021年财政预算安排中央政法转移资金（其他商品和服务支出）</w:t>
      </w:r>
      <w:r w:rsidR="00691E01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551.494274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万元，全年预算执行数为</w:t>
      </w:r>
      <w:r w:rsidR="00691E01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303.354235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万元，支出执行率为55</w:t>
      </w:r>
      <w:r w:rsidR="00691E01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.01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％。</w:t>
      </w:r>
    </w:p>
    <w:p w:rsidR="00211D7F" w:rsidRPr="00D27F44" w:rsidRDefault="00211D7F" w:rsidP="00A77F93">
      <w:pPr>
        <w:spacing w:line="360" w:lineRule="auto"/>
        <w:ind w:firstLineChars="200" w:firstLine="592"/>
        <w:outlineLvl w:val="0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（三）项目产出情况。</w:t>
      </w:r>
    </w:p>
    <w:p w:rsidR="00A77F93" w:rsidRPr="00D27F44" w:rsidRDefault="00BE40C6" w:rsidP="00A77F93">
      <w:pPr>
        <w:pStyle w:val="a3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92"/>
        <w:rPr>
          <w:rFonts w:ascii="仿宋_GB2312" w:eastAsia="仿宋_GB2312" w:hint="eastAsia"/>
          <w:color w:val="333333"/>
          <w:spacing w:val="8"/>
          <w:kern w:val="2"/>
          <w:sz w:val="28"/>
          <w:szCs w:val="28"/>
          <w:shd w:val="clear" w:color="auto" w:fill="FFFFFF"/>
        </w:rPr>
      </w:pPr>
      <w:r w:rsidRPr="00D27F44">
        <w:rPr>
          <w:rFonts w:ascii="仿宋_GB2312" w:eastAsia="仿宋_GB2312"/>
          <w:color w:val="333333"/>
          <w:spacing w:val="8"/>
          <w:kern w:val="2"/>
          <w:sz w:val="28"/>
          <w:szCs w:val="28"/>
          <w:shd w:val="clear" w:color="auto" w:fill="FFFFFF"/>
        </w:rPr>
        <w:t>202</w:t>
      </w:r>
      <w:r w:rsidRPr="00D27F44">
        <w:rPr>
          <w:rFonts w:ascii="仿宋_GB2312" w:eastAsia="仿宋_GB2312" w:hint="eastAsia"/>
          <w:color w:val="333333"/>
          <w:spacing w:val="8"/>
          <w:kern w:val="2"/>
          <w:sz w:val="28"/>
          <w:szCs w:val="28"/>
          <w:shd w:val="clear" w:color="auto" w:fill="FFFFFF"/>
        </w:rPr>
        <w:t>1年我院受理案件12172件，结案11560件，</w:t>
      </w:r>
      <w:r w:rsidR="00A77F93" w:rsidRPr="00D27F44">
        <w:rPr>
          <w:rFonts w:ascii="仿宋_GB2312" w:eastAsia="仿宋_GB2312" w:hint="eastAsia"/>
          <w:color w:val="333333"/>
          <w:spacing w:val="8"/>
          <w:kern w:val="2"/>
          <w:sz w:val="28"/>
          <w:szCs w:val="28"/>
          <w:shd w:val="clear" w:color="auto" w:fill="FFFFFF"/>
        </w:rPr>
        <w:t>一审判决案件改判发回重审率（瑕疵）0.42%，较上年度0.32%有所提高，但低于全市平均值；裁判文书上网率99.9%，投诉信访率0.08，执行质效99.83%，均完成了年初指标任务。2021年度收结比94.97%，电子送达覆盖率69.52%，均完成了年初指标任务。2021年网上预约立案数量占收案数的53.09%。我院坚持把习近平法治思想贯穿司法工作各领域全过程，紧紧围绕“让人民群众在每一个司法案件中感受到公平正义”的目标，持续深化司法公开，完善多元化纠纷解决机制，落实执法司法责任体系改革，推进案件繁简分流，全面提升审判质效和司法公信力，更好地为人民解忧、让正义提速。</w:t>
      </w:r>
    </w:p>
    <w:p w:rsidR="00211D7F" w:rsidRPr="00D27F44" w:rsidRDefault="00211D7F" w:rsidP="00A77F93">
      <w:pPr>
        <w:pStyle w:val="a3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Chars="200" w:firstLine="592"/>
        <w:rPr>
          <w:rFonts w:ascii="仿宋_GB2312" w:eastAsia="仿宋_GB2312" w:hint="eastAsia"/>
          <w:color w:val="333333"/>
          <w:spacing w:val="8"/>
          <w:kern w:val="2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int="eastAsia"/>
          <w:color w:val="333333"/>
          <w:spacing w:val="8"/>
          <w:kern w:val="2"/>
          <w:sz w:val="28"/>
          <w:szCs w:val="28"/>
          <w:shd w:val="clear" w:color="auto" w:fill="FFFFFF"/>
        </w:rPr>
        <w:t>（四）项目效益情况。</w:t>
      </w:r>
    </w:p>
    <w:p w:rsidR="00814F8B" w:rsidRPr="00D27F44" w:rsidRDefault="00814F8B" w:rsidP="00A77F93">
      <w:pPr>
        <w:topLinePunct/>
        <w:spacing w:line="360" w:lineRule="auto"/>
        <w:ind w:leftChars="-4" w:left="-8"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通过</w:t>
      </w:r>
      <w:r w:rsidR="00A77F93"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中央政法转移支付资金（其他商品和服务支出）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项目的实施提高了经费保障水平，改善了办案条件，提高了办案效率。</w:t>
      </w:r>
    </w:p>
    <w:p w:rsidR="00211D7F" w:rsidRPr="00D27F44" w:rsidRDefault="00211D7F" w:rsidP="00A77F93">
      <w:pPr>
        <w:spacing w:line="360" w:lineRule="auto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五、主要经验及做法、存在的问题及原因分析</w:t>
      </w:r>
    </w:p>
    <w:p w:rsidR="00BE40C6" w:rsidRPr="00D27F44" w:rsidRDefault="00BE40C6" w:rsidP="00A77F93">
      <w:pPr>
        <w:topLinePunct/>
        <w:spacing w:line="360" w:lineRule="auto"/>
        <w:ind w:firstLine="640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在执行过程中不断完善指标任务，按照保障审判执行工作为</w:t>
      </w: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lastRenderedPageBreak/>
        <w:t>第一要务的原则，合理安排使用资金。我院将继续加强财务监督，对项目资金进行事前、事中、事后的检查分析，形成书面报告，确保资金安全有效运行。</w:t>
      </w:r>
    </w:p>
    <w:p w:rsidR="00211D7F" w:rsidRPr="00D27F44" w:rsidRDefault="00211D7F" w:rsidP="00A77F93">
      <w:pPr>
        <w:spacing w:line="360" w:lineRule="auto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六、有关建议</w:t>
      </w:r>
    </w:p>
    <w:p w:rsidR="00BE40C6" w:rsidRPr="00D27F44" w:rsidRDefault="00BE40C6" w:rsidP="00A77F93">
      <w:pPr>
        <w:spacing w:line="360" w:lineRule="auto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无</w:t>
      </w:r>
    </w:p>
    <w:p w:rsidR="00211D7F" w:rsidRPr="00D27F44" w:rsidRDefault="00211D7F" w:rsidP="00A77F93">
      <w:pPr>
        <w:spacing w:line="360" w:lineRule="auto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七、其他需要说明的问题</w:t>
      </w:r>
    </w:p>
    <w:p w:rsidR="00211D7F" w:rsidRPr="00D27F44" w:rsidRDefault="00BE40C6" w:rsidP="00A77F93">
      <w:pPr>
        <w:spacing w:line="276" w:lineRule="auto"/>
        <w:ind w:firstLineChars="200" w:firstLine="592"/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</w:pPr>
      <w:r w:rsidRPr="00D27F44">
        <w:rPr>
          <w:rFonts w:ascii="仿宋_GB2312" w:eastAsia="仿宋_GB2312" w:hAnsi="Calibri" w:hint="eastAsia"/>
          <w:color w:val="333333"/>
          <w:spacing w:val="8"/>
          <w:sz w:val="28"/>
          <w:szCs w:val="28"/>
          <w:shd w:val="clear" w:color="auto" w:fill="FFFFFF"/>
        </w:rPr>
        <w:t>无</w:t>
      </w:r>
    </w:p>
    <w:p w:rsidR="001B4023" w:rsidRPr="00A77F93" w:rsidRDefault="001B4023" w:rsidP="00A77F93">
      <w:pPr>
        <w:spacing w:line="276" w:lineRule="auto"/>
        <w:rPr>
          <w:rFonts w:ascii="仿宋_GB2312" w:eastAsia="仿宋_GB2312" w:hAnsi="Calibri"/>
          <w:color w:val="333333"/>
          <w:spacing w:val="8"/>
          <w:sz w:val="28"/>
          <w:szCs w:val="28"/>
          <w:shd w:val="clear" w:color="auto" w:fill="FFFFFF"/>
        </w:rPr>
      </w:pPr>
    </w:p>
    <w:sectPr w:rsidR="001B4023" w:rsidRPr="00A77F93" w:rsidSect="001B4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9B5" w:rsidRDefault="00E279B5" w:rsidP="00CA28A6">
      <w:r>
        <w:separator/>
      </w:r>
    </w:p>
  </w:endnote>
  <w:endnote w:type="continuationSeparator" w:id="1">
    <w:p w:rsidR="00E279B5" w:rsidRDefault="00E279B5" w:rsidP="00CA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9B5" w:rsidRDefault="00E279B5" w:rsidP="00CA28A6">
      <w:r>
        <w:separator/>
      </w:r>
    </w:p>
  </w:footnote>
  <w:footnote w:type="continuationSeparator" w:id="1">
    <w:p w:rsidR="00E279B5" w:rsidRDefault="00E279B5" w:rsidP="00CA2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D7F"/>
    <w:rsid w:val="000B1F75"/>
    <w:rsid w:val="001154DB"/>
    <w:rsid w:val="001B4023"/>
    <w:rsid w:val="001F1090"/>
    <w:rsid w:val="00211D7F"/>
    <w:rsid w:val="004A3F71"/>
    <w:rsid w:val="00621EF0"/>
    <w:rsid w:val="00691E01"/>
    <w:rsid w:val="0075337C"/>
    <w:rsid w:val="00765250"/>
    <w:rsid w:val="007F5ACE"/>
    <w:rsid w:val="00814F8B"/>
    <w:rsid w:val="00885295"/>
    <w:rsid w:val="00A12280"/>
    <w:rsid w:val="00A44924"/>
    <w:rsid w:val="00A7599B"/>
    <w:rsid w:val="00A77F93"/>
    <w:rsid w:val="00BE40C6"/>
    <w:rsid w:val="00CA28A6"/>
    <w:rsid w:val="00CA7983"/>
    <w:rsid w:val="00CE2F38"/>
    <w:rsid w:val="00D27F44"/>
    <w:rsid w:val="00E04AD8"/>
    <w:rsid w:val="00E279B5"/>
    <w:rsid w:val="00EC1610"/>
    <w:rsid w:val="00F206FF"/>
    <w:rsid w:val="00F57067"/>
    <w:rsid w:val="00FC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D7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599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CA2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A28A6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A2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A28A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2022-08-24T02:58:00Z</dcterms:created>
  <dcterms:modified xsi:type="dcterms:W3CDTF">2022-08-24T02:58:00Z</dcterms:modified>
</cp:coreProperties>
</file>