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52"/>
          <w:szCs w:val="52"/>
        </w:rPr>
      </w:pPr>
    </w:p>
    <w:p>
      <w:pPr>
        <w:jc w:val="center"/>
        <w:rPr>
          <w:b/>
          <w:bCs/>
          <w:sz w:val="52"/>
          <w:szCs w:val="52"/>
        </w:rPr>
      </w:pPr>
    </w:p>
    <w:p>
      <w:pPr>
        <w:jc w:val="center"/>
        <w:rPr>
          <w:b/>
          <w:bCs/>
          <w:sz w:val="52"/>
          <w:szCs w:val="52"/>
        </w:rPr>
      </w:pPr>
    </w:p>
    <w:p>
      <w:pPr>
        <w:jc w:val="center"/>
        <w:rPr>
          <w:b/>
          <w:bCs/>
          <w:sz w:val="52"/>
          <w:szCs w:val="52"/>
        </w:rPr>
      </w:pPr>
    </w:p>
    <w:p>
      <w:pPr>
        <w:jc w:val="center"/>
        <w:rPr>
          <w:b/>
          <w:bCs/>
          <w:sz w:val="52"/>
          <w:szCs w:val="52"/>
        </w:rPr>
      </w:pPr>
    </w:p>
    <w:p>
      <w:pPr>
        <w:jc w:val="center"/>
        <w:rPr>
          <w:b/>
          <w:bCs/>
          <w:sz w:val="52"/>
          <w:szCs w:val="52"/>
        </w:rPr>
      </w:pPr>
    </w:p>
    <w:p>
      <w:pPr>
        <w:jc w:val="center"/>
        <w:rPr>
          <w:b/>
          <w:bCs/>
          <w:sz w:val="52"/>
          <w:szCs w:val="52"/>
        </w:rPr>
      </w:pPr>
      <w:r>
        <w:rPr>
          <w:rFonts w:hint="eastAsia"/>
          <w:b/>
          <w:bCs/>
          <w:sz w:val="52"/>
          <w:szCs w:val="52"/>
        </w:rPr>
        <w:t>北京市丰台区人民法院</w:t>
      </w:r>
    </w:p>
    <w:p>
      <w:pPr>
        <w:jc w:val="center"/>
        <w:rPr>
          <w:b/>
          <w:bCs/>
          <w:sz w:val="52"/>
          <w:szCs w:val="52"/>
        </w:rPr>
      </w:pPr>
    </w:p>
    <w:p>
      <w:pPr>
        <w:jc w:val="center"/>
        <w:rPr>
          <w:b/>
          <w:bCs/>
          <w:sz w:val="52"/>
          <w:szCs w:val="52"/>
        </w:rPr>
      </w:pPr>
      <w:r>
        <w:rPr>
          <w:rFonts w:hint="eastAsia"/>
          <w:b/>
          <w:bCs/>
          <w:sz w:val="52"/>
          <w:szCs w:val="52"/>
        </w:rPr>
        <w:t>部门整体绩效评价报告</w:t>
      </w:r>
    </w:p>
    <w:p>
      <w:pPr>
        <w:jc w:val="center"/>
        <w:rPr>
          <w:b/>
          <w:bCs/>
          <w:sz w:val="52"/>
        </w:rPr>
      </w:pPr>
    </w:p>
    <w:p>
      <w:pPr>
        <w:rPr>
          <w:rFonts w:eastAsia="黑体"/>
          <w:sz w:val="30"/>
        </w:rPr>
      </w:pPr>
    </w:p>
    <w:p>
      <w:pPr>
        <w:rPr>
          <w:rFonts w:eastAsia="黑体"/>
          <w:sz w:val="30"/>
        </w:rPr>
      </w:pPr>
    </w:p>
    <w:p>
      <w:pPr>
        <w:jc w:val="center"/>
        <w:rPr>
          <w:rFonts w:eastAsia="黑体"/>
          <w:sz w:val="30"/>
        </w:rPr>
      </w:pPr>
    </w:p>
    <w:p>
      <w:pPr>
        <w:jc w:val="center"/>
        <w:rPr>
          <w:rFonts w:eastAsia="黑体"/>
          <w:sz w:val="30"/>
        </w:rPr>
      </w:pPr>
    </w:p>
    <w:p>
      <w:pPr>
        <w:jc w:val="center"/>
        <w:rPr>
          <w:rFonts w:eastAsia="黑体"/>
          <w:sz w:val="30"/>
        </w:rPr>
      </w:pPr>
    </w:p>
    <w:p>
      <w:pPr>
        <w:rPr>
          <w:rFonts w:eastAsia="黑体"/>
          <w:sz w:val="30"/>
          <w:u w:val="single"/>
        </w:rPr>
      </w:pPr>
    </w:p>
    <w:p>
      <w:pPr>
        <w:rPr>
          <w:rFonts w:eastAsia="黑体"/>
          <w:sz w:val="30"/>
          <w:u w:val="single"/>
        </w:rPr>
      </w:pPr>
    </w:p>
    <w:p>
      <w:pPr>
        <w:rPr>
          <w:rFonts w:eastAsia="黑体"/>
          <w:sz w:val="30"/>
          <w:u w:val="single"/>
        </w:rPr>
      </w:pPr>
    </w:p>
    <w:p>
      <w:pPr>
        <w:rPr>
          <w:rFonts w:ascii="方正小标宋简体" w:eastAsia="方正小标宋简体"/>
          <w:sz w:val="36"/>
          <w:szCs w:val="36"/>
        </w:rPr>
      </w:pPr>
      <w:r>
        <w:rPr>
          <w:rFonts w:hint="eastAsia" w:ascii="方正小标宋简体" w:eastAsia="方正小标宋简体"/>
          <w:sz w:val="36"/>
          <w:szCs w:val="36"/>
        </w:rPr>
        <w:br w:type="page"/>
      </w:r>
      <w:bookmarkStart w:id="1" w:name="_GoBack"/>
      <w:bookmarkEnd w:id="1"/>
    </w:p>
    <w:p>
      <w:pPr>
        <w:spacing w:line="560" w:lineRule="exact"/>
        <w:jc w:val="center"/>
        <w:outlineLvl w:val="0"/>
        <w:rPr>
          <w:rFonts w:ascii="方正小标宋简体" w:eastAsia="方正小标宋简体"/>
          <w:sz w:val="36"/>
          <w:szCs w:val="36"/>
        </w:rPr>
      </w:pPr>
      <w:r>
        <w:rPr>
          <w:rFonts w:hint="eastAsia" w:ascii="方正小标宋简体" w:eastAsia="方正小标宋简体"/>
          <w:sz w:val="36"/>
          <w:szCs w:val="36"/>
        </w:rPr>
        <w:t>北京市丰台区人民法院</w:t>
      </w:r>
    </w:p>
    <w:p>
      <w:pPr>
        <w:spacing w:line="560" w:lineRule="exact"/>
        <w:jc w:val="center"/>
        <w:outlineLvl w:val="0"/>
        <w:rPr>
          <w:rFonts w:ascii="方正小标宋简体" w:eastAsia="方正小标宋简体"/>
          <w:sz w:val="36"/>
          <w:szCs w:val="36"/>
        </w:rPr>
      </w:pPr>
      <w:r>
        <w:rPr>
          <w:rFonts w:hint="eastAsia" w:ascii="方正小标宋简体" w:eastAsia="方正小标宋简体"/>
          <w:sz w:val="36"/>
          <w:szCs w:val="36"/>
        </w:rPr>
        <w:t>部门整体绩效评价报告</w:t>
      </w:r>
    </w:p>
    <w:p>
      <w:pPr>
        <w:jc w:val="center"/>
        <w:rPr>
          <w:rFonts w:ascii="仿宋_GB2312"/>
          <w:szCs w:val="30"/>
        </w:rPr>
      </w:pP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为进一步加强全面预算绩效管理，强化部门支出责任，提高财政资金使用效益，考核财政支出效率和综合效果，根据</w:t>
      </w:r>
      <w:r>
        <w:rPr>
          <w:rFonts w:hint="eastAsia" w:ascii="仿宋_GB2312" w:hAnsi="仿宋_GB2312" w:eastAsia="仿宋_GB2312" w:cs="仿宋_GB2312"/>
          <w:sz w:val="32"/>
        </w:rPr>
        <w:t>《中共北京市委 北京市人民政府关于全面实施预算绩效管理的实施意见》（京发〔2019〕12号）</w:t>
      </w:r>
      <w:r>
        <w:rPr>
          <w:rFonts w:hint="eastAsia" w:ascii="仿宋_GB2312" w:hAnsi="楷体" w:eastAsia="仿宋_GB2312"/>
          <w:bCs/>
          <w:kern w:val="0"/>
          <w:sz w:val="32"/>
          <w:szCs w:val="28"/>
        </w:rPr>
        <w:t>《北京市项目支出绩效评价管理办法》（京财绩效〔2020〕2146号），结合《北京市财政局关于开展202</w:t>
      </w:r>
      <w:r>
        <w:rPr>
          <w:rFonts w:ascii="仿宋_GB2312" w:hAnsi="楷体" w:eastAsia="仿宋_GB2312"/>
          <w:bCs/>
          <w:kern w:val="0"/>
          <w:sz w:val="32"/>
          <w:szCs w:val="28"/>
        </w:rPr>
        <w:t>2</w:t>
      </w:r>
      <w:r>
        <w:rPr>
          <w:rFonts w:hint="eastAsia" w:ascii="仿宋_GB2312" w:hAnsi="楷体" w:eastAsia="仿宋_GB2312"/>
          <w:bCs/>
          <w:kern w:val="0"/>
          <w:sz w:val="32"/>
          <w:szCs w:val="28"/>
        </w:rPr>
        <w:t>年全面预算绩效管理工作的通知》（京财绩效〔202</w:t>
      </w:r>
      <w:r>
        <w:rPr>
          <w:rFonts w:ascii="仿宋_GB2312" w:hAnsi="楷体" w:eastAsia="仿宋_GB2312"/>
          <w:bCs/>
          <w:kern w:val="0"/>
          <w:sz w:val="32"/>
          <w:szCs w:val="28"/>
        </w:rPr>
        <w:t>2</w:t>
      </w:r>
      <w:r>
        <w:rPr>
          <w:rFonts w:hint="eastAsia" w:ascii="仿宋_GB2312" w:hAnsi="楷体" w:eastAsia="仿宋_GB2312"/>
          <w:bCs/>
          <w:kern w:val="0"/>
          <w:sz w:val="32"/>
          <w:szCs w:val="28"/>
        </w:rPr>
        <w:t>〕</w:t>
      </w:r>
      <w:r>
        <w:rPr>
          <w:rFonts w:ascii="仿宋_GB2312" w:hAnsi="楷体" w:eastAsia="仿宋_GB2312"/>
          <w:bCs/>
          <w:kern w:val="0"/>
          <w:sz w:val="32"/>
          <w:szCs w:val="28"/>
        </w:rPr>
        <w:t>669</w:t>
      </w:r>
      <w:r>
        <w:rPr>
          <w:rFonts w:hint="eastAsia" w:ascii="仿宋_GB2312" w:hAnsi="楷体" w:eastAsia="仿宋_GB2312"/>
          <w:bCs/>
          <w:kern w:val="0"/>
          <w:sz w:val="32"/>
          <w:szCs w:val="28"/>
        </w:rPr>
        <w:t>号）的工作安排，北京市丰台区人民法院（以下简称“丰台法院”）组建绩效评价工作组，</w:t>
      </w:r>
      <w:r>
        <w:rPr>
          <w:rFonts w:ascii="仿宋_GB2312" w:hAnsi="楷体" w:eastAsia="仿宋_GB2312"/>
          <w:bCs/>
          <w:kern w:val="0"/>
          <w:sz w:val="32"/>
          <w:szCs w:val="28"/>
        </w:rPr>
        <w:t>对2021年度部门整体</w:t>
      </w:r>
      <w:r>
        <w:rPr>
          <w:rFonts w:hint="eastAsia" w:ascii="仿宋_GB2312" w:hAnsi="楷体" w:eastAsia="仿宋_GB2312"/>
          <w:bCs/>
          <w:kern w:val="0"/>
          <w:sz w:val="32"/>
          <w:szCs w:val="28"/>
        </w:rPr>
        <w:t>实施</w:t>
      </w:r>
      <w:r>
        <w:rPr>
          <w:rFonts w:ascii="仿宋_GB2312" w:hAnsi="楷体" w:eastAsia="仿宋_GB2312"/>
          <w:bCs/>
          <w:kern w:val="0"/>
          <w:sz w:val="32"/>
          <w:szCs w:val="28"/>
        </w:rPr>
        <w:t>绩效评价，</w:t>
      </w:r>
      <w:r>
        <w:rPr>
          <w:rFonts w:hint="eastAsia" w:ascii="仿宋_GB2312" w:hAnsi="楷体" w:eastAsia="仿宋_GB2312"/>
          <w:bCs/>
          <w:kern w:val="0"/>
          <w:sz w:val="32"/>
          <w:szCs w:val="28"/>
        </w:rPr>
        <w:t>形成本绩效评价报告。</w:t>
      </w:r>
    </w:p>
    <w:p>
      <w:pPr>
        <w:ind w:firstLine="640" w:firstLineChars="200"/>
        <w:outlineLvl w:val="0"/>
        <w:rPr>
          <w:rFonts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ind w:firstLine="640" w:firstLineChars="200"/>
        <w:outlineLvl w:val="1"/>
        <w:rPr>
          <w:rFonts w:ascii="楷体_GB2312" w:eastAsia="楷体_GB2312"/>
          <w:sz w:val="32"/>
          <w:szCs w:val="32"/>
        </w:rPr>
      </w:pPr>
      <w:r>
        <w:rPr>
          <w:rFonts w:hint="eastAsia" w:ascii="楷体_GB2312" w:eastAsia="楷体_GB2312"/>
          <w:sz w:val="32"/>
          <w:szCs w:val="32"/>
        </w:rPr>
        <w:t>（一）机构设置及职责工作任务情况</w:t>
      </w:r>
    </w:p>
    <w:p>
      <w:pPr>
        <w:ind w:left="105" w:leftChars="50" w:firstLine="640" w:firstLineChars="200"/>
        <w:outlineLvl w:val="2"/>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1.部门机构设置</w:t>
      </w:r>
    </w:p>
    <w:p>
      <w:pPr>
        <w:autoSpaceDE w:val="0"/>
        <w:autoSpaceDN w:val="0"/>
        <w:adjustRightInd w:val="0"/>
        <w:spacing w:line="560" w:lineRule="exact"/>
        <w:ind w:firstLine="640"/>
        <w:rPr>
          <w:rFonts w:ascii="仿宋_GB2312" w:hAnsi="宋体-简" w:eastAsia="仿宋_GB2312" w:cs="Songti SC"/>
          <w:kern w:val="0"/>
          <w:sz w:val="32"/>
          <w:szCs w:val="32"/>
        </w:rPr>
      </w:pPr>
      <w:r>
        <w:rPr>
          <w:rFonts w:hint="eastAsia" w:ascii="仿宋_GB2312" w:hAnsi="仿宋_GB2312" w:eastAsia="仿宋_GB2312" w:cs="仿宋_GB2312"/>
          <w:sz w:val="32"/>
        </w:rPr>
        <w:t>北京市丰台区人民法院为行政单位,是国家的审判机关。</w:t>
      </w:r>
      <w:r>
        <w:rPr>
          <w:rFonts w:hint="eastAsia" w:ascii="仿宋_GB2312" w:hAnsi="宋体-简" w:eastAsia="仿宋_GB2312" w:cs="Songti SC"/>
          <w:kern w:val="0"/>
          <w:sz w:val="32"/>
          <w:szCs w:val="32"/>
        </w:rPr>
        <w:t>根据《北京市基层人民法院内设机构改革方案》，丰台法院设立内设机构</w:t>
      </w:r>
      <w:r>
        <w:rPr>
          <w:rFonts w:hint="eastAsia" w:ascii="仿宋_GB2312" w:hAnsi="宋体-简" w:eastAsia="仿宋_GB2312" w:cs="Times"/>
          <w:kern w:val="0"/>
          <w:sz w:val="32"/>
          <w:szCs w:val="32"/>
        </w:rPr>
        <w:t>13</w:t>
      </w:r>
      <w:r>
        <w:rPr>
          <w:rFonts w:hint="eastAsia" w:ascii="仿宋_GB2312" w:hAnsi="宋体-简" w:eastAsia="仿宋_GB2312" w:cs="Songti SC"/>
          <w:kern w:val="0"/>
          <w:sz w:val="32"/>
          <w:szCs w:val="32"/>
        </w:rPr>
        <w:t>个，其中审判业务机构10个，分别为立案庭（诉讼服务中心）、刑事审判庭、民事审判一庭、民事审判二庭、民事审判三庭、民事审判四庭（知识产权审判庭）、行政审判庭、综合审判庭、执行局、审判管理办公室（研究室）；非审判业务机构3个，分别是政治部（机关党委、机关纪委）、综合办公室、司法警察大队。</w:t>
      </w:r>
    </w:p>
    <w:p>
      <w:pPr>
        <w:ind w:left="105" w:leftChars="50" w:firstLine="640" w:firstLineChars="200"/>
        <w:outlineLvl w:val="2"/>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2.人员配置及人员构成情况</w:t>
      </w:r>
    </w:p>
    <w:p>
      <w:pPr>
        <w:widowControl/>
        <w:shd w:val="clear" w:color="auto" w:fill="FFFFFF"/>
        <w:spacing w:line="555" w:lineRule="atLeast"/>
        <w:ind w:firstLine="645"/>
        <w:jc w:val="left"/>
        <w:rPr>
          <w:rFonts w:ascii="仿宋_GB2312" w:hAnsi="Arial" w:eastAsia="仿宋_GB2312" w:cs="Arial"/>
          <w:color w:val="000000"/>
          <w:kern w:val="0"/>
          <w:sz w:val="32"/>
          <w:szCs w:val="32"/>
        </w:rPr>
      </w:pPr>
      <w:r>
        <w:rPr>
          <w:rFonts w:hint="eastAsia" w:ascii="仿宋_GB2312" w:hAnsi="Arial" w:eastAsia="仿宋_GB2312" w:cs="Arial"/>
          <w:color w:val="000000"/>
          <w:kern w:val="0"/>
          <w:sz w:val="32"/>
          <w:szCs w:val="32"/>
        </w:rPr>
        <w:t>丰台法院部门行政编制454人、事业编制23人。</w:t>
      </w:r>
    </w:p>
    <w:p>
      <w:pPr>
        <w:widowControl/>
        <w:shd w:val="clear" w:color="auto" w:fill="FFFFFF"/>
        <w:spacing w:line="555" w:lineRule="atLeast"/>
        <w:ind w:firstLine="645"/>
        <w:jc w:val="left"/>
        <w:rPr>
          <w:rFonts w:ascii="Arial" w:hAnsi="Arial" w:cs="Arial"/>
          <w:color w:val="000000"/>
          <w:kern w:val="0"/>
          <w:sz w:val="24"/>
        </w:rPr>
      </w:pPr>
      <w:r>
        <w:rPr>
          <w:rFonts w:hint="eastAsia" w:ascii="仿宋_GB2312" w:hAnsi="Arial" w:eastAsia="仿宋_GB2312" w:cs="Arial"/>
          <w:color w:val="000000"/>
          <w:kern w:val="0"/>
          <w:sz w:val="32"/>
          <w:szCs w:val="32"/>
        </w:rPr>
        <w:t>截至2021年12月31人，实有行政编制</w:t>
      </w:r>
      <w:r>
        <w:rPr>
          <w:rFonts w:ascii="仿宋_GB2312" w:hAnsi="Arial" w:eastAsia="仿宋_GB2312" w:cs="Arial"/>
          <w:color w:val="000000"/>
          <w:kern w:val="0"/>
          <w:sz w:val="32"/>
          <w:szCs w:val="32"/>
        </w:rPr>
        <w:t>412</w:t>
      </w:r>
      <w:r>
        <w:rPr>
          <w:rFonts w:hint="eastAsia" w:ascii="仿宋_GB2312" w:hAnsi="Arial" w:eastAsia="仿宋_GB2312" w:cs="Arial"/>
          <w:color w:val="000000"/>
          <w:kern w:val="0"/>
          <w:sz w:val="32"/>
          <w:szCs w:val="32"/>
        </w:rPr>
        <w:t>人，事业编制23人；聘用人员（法院聘任书记员、聘用制司法警察、）</w:t>
      </w:r>
      <w:r>
        <w:rPr>
          <w:rFonts w:ascii="仿宋_GB2312" w:hAnsi="Arial" w:eastAsia="仿宋_GB2312" w:cs="Arial"/>
          <w:color w:val="000000"/>
          <w:kern w:val="0"/>
          <w:sz w:val="32"/>
          <w:szCs w:val="32"/>
        </w:rPr>
        <w:t>199</w:t>
      </w:r>
      <w:r>
        <w:rPr>
          <w:rFonts w:hint="eastAsia" w:ascii="仿宋_GB2312" w:hAnsi="Arial" w:eastAsia="仿宋_GB2312" w:cs="Arial"/>
          <w:color w:val="000000"/>
          <w:kern w:val="0"/>
          <w:sz w:val="32"/>
          <w:szCs w:val="32"/>
        </w:rPr>
        <w:t>人。离退休人员114人。</w:t>
      </w:r>
    </w:p>
    <w:p>
      <w:pPr>
        <w:ind w:left="105" w:leftChars="50" w:firstLine="640" w:firstLineChars="200"/>
        <w:outlineLvl w:val="2"/>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3.部门职能</w:t>
      </w:r>
    </w:p>
    <w:p>
      <w:pPr>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北京市丰台区人民法院的主要职责是：</w:t>
      </w:r>
    </w:p>
    <w:p>
      <w:pPr>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（1）依照法律规定，审判执行辖区内一审民商事、刑事、行政、执行案件及房山区一审知产案件。</w:t>
      </w:r>
    </w:p>
    <w:p>
      <w:pPr>
        <w:ind w:firstLine="640" w:firstLineChars="200"/>
        <w:rPr>
          <w:rFonts w:ascii="仿宋_GB2312" w:eastAsia="仿宋_GB2312"/>
          <w:color w:val="000000"/>
          <w:sz w:val="32"/>
          <w:szCs w:val="32"/>
          <w:shd w:val="clear" w:color="auto" w:fill="FFFFFF"/>
        </w:rPr>
      </w:pPr>
      <w:r>
        <w:rPr>
          <w:rFonts w:hint="eastAsia" w:ascii="仿宋_GB2312" w:hAnsi="仿宋_GB2312" w:eastAsia="仿宋_GB2312" w:cs="仿宋_GB2312"/>
          <w:sz w:val="32"/>
        </w:rPr>
        <w:t>（2）</w:t>
      </w:r>
      <w:r>
        <w:rPr>
          <w:rFonts w:hint="eastAsia" w:ascii="仿宋_GB2312" w:eastAsia="仿宋_GB2312"/>
          <w:color w:val="000000"/>
          <w:sz w:val="32"/>
          <w:szCs w:val="32"/>
          <w:shd w:val="clear" w:color="auto" w:fill="FFFFFF"/>
        </w:rPr>
        <w:t>受理和审理各类申诉案件，处理来信来访；对其中确有错误的已经发生法律效力的判决、裁定，根据审判监督程序进行再审。</w:t>
      </w:r>
    </w:p>
    <w:p>
      <w:pPr>
        <w:ind w:firstLine="640" w:firstLineChars="200"/>
        <w:rPr>
          <w:rFonts w:ascii="仿宋_GB2312" w:eastAsia="仿宋_GB2312"/>
          <w:color w:val="000000"/>
          <w:sz w:val="32"/>
          <w:szCs w:val="32"/>
          <w:shd w:val="clear" w:color="auto" w:fill="FFFFFF"/>
        </w:rPr>
      </w:pPr>
      <w:r>
        <w:rPr>
          <w:rFonts w:hint="eastAsia" w:ascii="仿宋_GB2312" w:eastAsia="仿宋_GB2312"/>
          <w:color w:val="000000"/>
          <w:sz w:val="32"/>
          <w:szCs w:val="32"/>
          <w:shd w:val="clear" w:color="auto" w:fill="FFFFFF"/>
        </w:rPr>
        <w:t>（3）依法行使司法执行权和司法决定权。</w:t>
      </w:r>
    </w:p>
    <w:p>
      <w:pPr>
        <w:ind w:firstLine="640" w:firstLineChars="200"/>
        <w:rPr>
          <w:rFonts w:ascii="仿宋_GB2312" w:eastAsia="仿宋_GB2312"/>
          <w:color w:val="000000"/>
          <w:sz w:val="32"/>
          <w:szCs w:val="32"/>
          <w:shd w:val="clear" w:color="auto" w:fill="FFFFFF"/>
        </w:rPr>
      </w:pPr>
      <w:r>
        <w:rPr>
          <w:rFonts w:hint="eastAsia" w:ascii="仿宋_GB2312" w:eastAsia="仿宋_GB2312"/>
          <w:color w:val="000000"/>
          <w:sz w:val="32"/>
          <w:szCs w:val="32"/>
          <w:shd w:val="clear" w:color="auto" w:fill="FFFFFF"/>
        </w:rPr>
        <w:t>（4）针对案件审理中发现的问题提出司法建议。</w:t>
      </w:r>
    </w:p>
    <w:p>
      <w:pPr>
        <w:ind w:firstLine="640" w:firstLineChars="200"/>
        <w:rPr>
          <w:rFonts w:ascii="仿宋_GB2312" w:eastAsia="仿宋_GB2312"/>
          <w:color w:val="000000"/>
          <w:sz w:val="32"/>
          <w:szCs w:val="32"/>
          <w:shd w:val="clear" w:color="auto" w:fill="FFFFFF"/>
        </w:rPr>
      </w:pPr>
      <w:r>
        <w:rPr>
          <w:rFonts w:hint="eastAsia" w:ascii="仿宋_GB2312" w:eastAsia="仿宋_GB2312"/>
          <w:color w:val="000000"/>
          <w:sz w:val="32"/>
          <w:szCs w:val="32"/>
          <w:shd w:val="clear" w:color="auto" w:fill="FFFFFF"/>
        </w:rPr>
        <w:t>（5）按照干部管理权限管理本院的法官、法官助理、书记员、司法警察和司法行政人员。</w:t>
      </w:r>
    </w:p>
    <w:p>
      <w:pPr>
        <w:ind w:firstLine="640" w:firstLineChars="200"/>
        <w:rPr>
          <w:rFonts w:ascii="仿宋_GB2312" w:eastAsia="仿宋_GB2312"/>
          <w:color w:val="000000"/>
          <w:sz w:val="32"/>
          <w:szCs w:val="32"/>
          <w:shd w:val="clear" w:color="auto" w:fill="FFFFFF"/>
        </w:rPr>
      </w:pPr>
      <w:r>
        <w:rPr>
          <w:rFonts w:hint="eastAsia" w:ascii="仿宋_GB2312" w:eastAsia="仿宋_GB2312"/>
          <w:color w:val="000000"/>
          <w:sz w:val="32"/>
          <w:szCs w:val="32"/>
          <w:shd w:val="clear" w:color="auto" w:fill="FFFFFF"/>
        </w:rPr>
        <w:t>（6）负责本院党组织的思想、组织、作风建设，领导区法院工、青、妇等群众组织工作。</w:t>
      </w:r>
    </w:p>
    <w:p>
      <w:pPr>
        <w:ind w:firstLine="640" w:firstLineChars="200"/>
        <w:rPr>
          <w:rFonts w:ascii="仿宋_GB2312" w:eastAsia="仿宋_GB2312"/>
          <w:color w:val="000000"/>
          <w:sz w:val="32"/>
          <w:szCs w:val="32"/>
          <w:shd w:val="clear" w:color="auto" w:fill="FFFFFF"/>
        </w:rPr>
      </w:pPr>
      <w:r>
        <w:rPr>
          <w:rFonts w:hint="eastAsia" w:ascii="仿宋_GB2312" w:eastAsia="仿宋_GB2312"/>
          <w:color w:val="000000"/>
          <w:sz w:val="32"/>
          <w:szCs w:val="32"/>
          <w:shd w:val="clear" w:color="auto" w:fill="FFFFFF"/>
        </w:rPr>
        <w:t>（7）负责本院的监察工作，按照管理权限监督、检查区法院工作人员执行国家法律、法规、政策及行政纪律情况。</w:t>
      </w:r>
    </w:p>
    <w:p>
      <w:pPr>
        <w:ind w:firstLine="640" w:firstLineChars="200"/>
        <w:rPr>
          <w:rFonts w:ascii="仿宋_GB2312" w:hAnsi="仿宋_GB2312" w:eastAsia="仿宋_GB2312" w:cs="仿宋_GB2312"/>
          <w:sz w:val="32"/>
        </w:rPr>
      </w:pPr>
      <w:r>
        <w:rPr>
          <w:rFonts w:hint="eastAsia" w:ascii="仿宋_GB2312" w:eastAsia="仿宋_GB2312"/>
          <w:color w:val="000000"/>
          <w:sz w:val="32"/>
          <w:szCs w:val="32"/>
          <w:shd w:val="clear" w:color="auto" w:fill="FFFFFF"/>
        </w:rPr>
        <w:t>（8）承办其他应由区法院负责的工作。</w:t>
      </w:r>
    </w:p>
    <w:p>
      <w:pPr>
        <w:ind w:firstLine="640" w:firstLineChars="200"/>
        <w:outlineLvl w:val="1"/>
        <w:rPr>
          <w:rFonts w:ascii="楷体_GB2312" w:eastAsia="楷体_GB2312"/>
          <w:sz w:val="32"/>
          <w:szCs w:val="32"/>
        </w:rPr>
      </w:pPr>
      <w:r>
        <w:rPr>
          <w:rFonts w:hint="eastAsia" w:ascii="楷体_GB2312" w:eastAsia="楷体_GB2312"/>
          <w:sz w:val="32"/>
          <w:szCs w:val="32"/>
        </w:rPr>
        <w:t>（二）部门整体绩效目标设立情况</w:t>
      </w:r>
    </w:p>
    <w:p>
      <w:pPr>
        <w:ind w:firstLine="640" w:firstLineChars="200"/>
        <w:rPr>
          <w:rFonts w:ascii="仿宋_GB2312" w:hAnsi="仿宋_GB2312" w:eastAsia="仿宋_GB2312" w:cs="仿宋_GB2312"/>
          <w:sz w:val="32"/>
        </w:rPr>
      </w:pPr>
      <w:r>
        <w:rPr>
          <w:rFonts w:ascii="仿宋_GB2312" w:hAnsi="仿宋_GB2312" w:eastAsia="仿宋_GB2312" w:cs="仿宋_GB2312"/>
          <w:sz w:val="32"/>
        </w:rPr>
        <w:t>2021</w:t>
      </w:r>
      <w:r>
        <w:rPr>
          <w:rFonts w:hint="eastAsia" w:ascii="仿宋_GB2312" w:hAnsi="仿宋_GB2312" w:eastAsia="仿宋_GB2312" w:cs="仿宋_GB2312"/>
          <w:sz w:val="32"/>
        </w:rPr>
        <w:t>年，丰台法院坚持以习近平新时代中国特色社会主义思想为指导，全面贯彻落实党的十九大和十九届二中、三中、四中、五中、六中全会精神，深入贯彻以习近平新时代中国特色社会主义思想为指引，主动适应社会主要矛盾变化对法院工作的新要求，主动对接人民群众最关心最直接的司法需求，主动服务区域经济社会发展大局，主动推进司法改革的系统性和有效性，打造忠诚、干净、担当的法官队伍，努力让人民群众在每一个案件中感受到公平正义。</w:t>
      </w:r>
    </w:p>
    <w:p>
      <w:pPr>
        <w:ind w:firstLine="640" w:firstLineChars="200"/>
        <w:outlineLvl w:val="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pPr>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2021年</w:t>
      </w:r>
      <w:r>
        <w:rPr>
          <w:rFonts w:ascii="仿宋_GB2312" w:hAnsi="宋体" w:eastAsia="仿宋_GB2312" w:cs="宋体"/>
          <w:color w:val="000000"/>
          <w:kern w:val="0"/>
          <w:sz w:val="32"/>
          <w:szCs w:val="32"/>
        </w:rPr>
        <w:t>全年</w:t>
      </w:r>
      <w:r>
        <w:rPr>
          <w:rFonts w:hint="eastAsia" w:ascii="仿宋_GB2312" w:hAnsi="宋体" w:eastAsia="仿宋_GB2312" w:cs="宋体"/>
          <w:color w:val="000000"/>
          <w:kern w:val="0"/>
          <w:sz w:val="32"/>
          <w:szCs w:val="32"/>
        </w:rPr>
        <w:t>预算31</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980</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02万元</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其中</w:t>
      </w:r>
      <w:r>
        <w:rPr>
          <w:rFonts w:ascii="仿宋_GB2312" w:hAnsi="宋体" w:eastAsia="仿宋_GB2312" w:cs="宋体"/>
          <w:color w:val="000000"/>
          <w:kern w:val="0"/>
          <w:sz w:val="32"/>
          <w:szCs w:val="32"/>
        </w:rPr>
        <w:t>，基本</w:t>
      </w:r>
      <w:r>
        <w:rPr>
          <w:rFonts w:hint="eastAsia" w:ascii="仿宋_GB2312" w:hAnsi="宋体" w:eastAsia="仿宋_GB2312" w:cs="宋体"/>
          <w:color w:val="000000"/>
          <w:kern w:val="0"/>
          <w:sz w:val="32"/>
          <w:szCs w:val="32"/>
        </w:rPr>
        <w:t>支出</w:t>
      </w:r>
      <w:r>
        <w:rPr>
          <w:rFonts w:ascii="仿宋_GB2312" w:hAnsi="宋体" w:eastAsia="仿宋_GB2312" w:cs="宋体"/>
          <w:color w:val="000000"/>
          <w:kern w:val="0"/>
          <w:sz w:val="32"/>
          <w:szCs w:val="32"/>
        </w:rPr>
        <w:t>预算22,281.11万元，</w:t>
      </w:r>
      <w:r>
        <w:rPr>
          <w:rFonts w:hint="eastAsia" w:ascii="仿宋_GB2312" w:hAnsi="宋体" w:eastAsia="仿宋_GB2312" w:cs="宋体"/>
          <w:color w:val="000000"/>
          <w:kern w:val="0"/>
          <w:sz w:val="32"/>
          <w:szCs w:val="32"/>
        </w:rPr>
        <w:t>项目支出预算</w:t>
      </w:r>
      <w:r>
        <w:rPr>
          <w:rFonts w:ascii="仿宋_GB2312" w:hAnsi="宋体" w:eastAsia="仿宋_GB2312" w:cs="宋体"/>
          <w:color w:val="000000"/>
          <w:kern w:val="0"/>
          <w:sz w:val="32"/>
          <w:szCs w:val="32"/>
        </w:rPr>
        <w:t>9,698.91万元</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资金总体</w:t>
      </w:r>
      <w:r>
        <w:rPr>
          <w:rFonts w:hint="eastAsia" w:ascii="仿宋_GB2312" w:hAnsi="宋体" w:eastAsia="仿宋_GB2312" w:cs="宋体"/>
          <w:color w:val="000000"/>
          <w:kern w:val="0"/>
          <w:sz w:val="32"/>
          <w:szCs w:val="32"/>
        </w:rPr>
        <w:t>支出</w:t>
      </w:r>
      <w:r>
        <w:rPr>
          <w:rFonts w:ascii="仿宋_GB2312" w:hAnsi="宋体" w:eastAsia="仿宋_GB2312" w:cs="宋体"/>
          <w:color w:val="000000"/>
          <w:kern w:val="0"/>
          <w:sz w:val="32"/>
          <w:szCs w:val="32"/>
        </w:rPr>
        <w:t>30,763.20万元，其中，基本支出21,943.41万元，项目</w:t>
      </w:r>
      <w:r>
        <w:rPr>
          <w:rFonts w:hint="eastAsia" w:ascii="仿宋_GB2312" w:hAnsi="宋体" w:eastAsia="仿宋_GB2312" w:cs="宋体"/>
          <w:color w:val="000000"/>
          <w:kern w:val="0"/>
          <w:sz w:val="32"/>
          <w:szCs w:val="32"/>
        </w:rPr>
        <w:t>支出</w:t>
      </w:r>
      <w:r>
        <w:rPr>
          <w:rFonts w:ascii="仿宋_GB2312" w:hAnsi="宋体" w:eastAsia="仿宋_GB2312" w:cs="宋体"/>
          <w:color w:val="000000"/>
          <w:kern w:val="0"/>
          <w:sz w:val="32"/>
          <w:szCs w:val="32"/>
        </w:rPr>
        <w:t>8,819.79万元。</w:t>
      </w:r>
      <w:r>
        <w:rPr>
          <w:rFonts w:hint="eastAsia" w:ascii="仿宋_GB2312" w:hAnsi="宋体" w:eastAsia="仿宋_GB2312" w:cs="宋体"/>
          <w:color w:val="000000"/>
          <w:kern w:val="0"/>
          <w:sz w:val="32"/>
          <w:szCs w:val="32"/>
        </w:rPr>
        <w:t>预算</w:t>
      </w:r>
      <w:r>
        <w:rPr>
          <w:rFonts w:ascii="仿宋_GB2312" w:hAnsi="宋体" w:eastAsia="仿宋_GB2312" w:cs="宋体"/>
          <w:color w:val="000000"/>
          <w:kern w:val="0"/>
          <w:sz w:val="32"/>
          <w:szCs w:val="32"/>
        </w:rPr>
        <w:t>执行率为96.20%</w:t>
      </w:r>
      <w:r>
        <w:rPr>
          <w:rFonts w:hint="eastAsia" w:ascii="仿宋_GB2312" w:hAnsi="宋体" w:eastAsia="仿宋_GB2312" w:cs="宋体"/>
          <w:color w:val="000000"/>
          <w:kern w:val="0"/>
          <w:sz w:val="32"/>
          <w:szCs w:val="32"/>
        </w:rPr>
        <w:t>。</w:t>
      </w:r>
    </w:p>
    <w:p>
      <w:pPr>
        <w:ind w:left="105" w:leftChars="50" w:firstLine="480" w:firstLineChars="150"/>
        <w:outlineLvl w:val="0"/>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pPr>
        <w:ind w:left="105" w:leftChars="50" w:firstLine="640" w:firstLineChars="200"/>
        <w:outlineLvl w:val="1"/>
        <w:rPr>
          <w:rFonts w:ascii="楷体_GB2312" w:eastAsia="楷体_GB2312"/>
          <w:sz w:val="32"/>
          <w:szCs w:val="32"/>
        </w:rPr>
      </w:pPr>
      <w:r>
        <w:rPr>
          <w:rFonts w:hint="eastAsia" w:ascii="楷体_GB2312" w:eastAsia="楷体_GB2312"/>
          <w:sz w:val="32"/>
          <w:szCs w:val="32"/>
        </w:rPr>
        <w:t>（一）产出完成情况分析</w:t>
      </w:r>
    </w:p>
    <w:p>
      <w:pPr>
        <w:ind w:left="105" w:leftChars="50" w:firstLine="640" w:firstLineChars="200"/>
        <w:outlineLvl w:val="2"/>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1.产出数量</w:t>
      </w:r>
    </w:p>
    <w:p>
      <w:pPr>
        <w:ind w:left="105" w:leftChars="50"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2021年共计完成</w:t>
      </w:r>
      <w:r>
        <w:rPr>
          <w:rFonts w:ascii="仿宋_GB2312" w:hAnsi="宋体" w:eastAsia="仿宋_GB2312" w:cs="宋体"/>
          <w:color w:val="000000"/>
          <w:kern w:val="0"/>
          <w:sz w:val="32"/>
          <w:szCs w:val="32"/>
        </w:rPr>
        <w:t>18</w:t>
      </w:r>
      <w:r>
        <w:rPr>
          <w:rFonts w:hint="eastAsia" w:ascii="仿宋_GB2312" w:hAnsi="宋体" w:eastAsia="仿宋_GB2312" w:cs="宋体"/>
          <w:color w:val="000000"/>
          <w:kern w:val="0"/>
          <w:sz w:val="32"/>
          <w:szCs w:val="32"/>
        </w:rPr>
        <w:t>个项目，主要为公共安全项目。</w:t>
      </w:r>
    </w:p>
    <w:p>
      <w:pPr>
        <w:ind w:left="105" w:leftChars="50"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hAnsi="宋体" w:eastAsia="仿宋_GB2312" w:cs="宋体"/>
          <w:color w:val="000000"/>
          <w:kern w:val="0"/>
          <w:sz w:val="32"/>
          <w:szCs w:val="32"/>
        </w:rPr>
        <w:t>（1）2021年</w:t>
      </w:r>
      <w:r>
        <w:rPr>
          <w:rFonts w:hint="eastAsia" w:ascii="仿宋_GB2312" w:eastAsia="仿宋_GB2312"/>
          <w:color w:val="000000" w:themeColor="text1"/>
          <w:sz w:val="32"/>
          <w:szCs w:val="32"/>
          <w14:textFill>
            <w14:solidFill>
              <w14:schemeClr w14:val="tx1"/>
            </w14:solidFill>
          </w14:textFill>
        </w:rPr>
        <w:t>丰台法院新收案件63333件，已结案件55176件；审结刑事案件1589件，判处罪犯1874人。审结故意伤害、抢劫、绑架等案件143件；审结中金、银升资本等非吸犯罪34件；审结民商事案件33951件。审结婚姻家庭、房屋买卖等涉民生案件22550件，依法办理司法救助案件14件，向困难诉讼群众发放司法救助金72万元。审结公司、投资、私募基金等商事案件9552件；审结行政诉讼案件478件，审查和执结行政非诉案件472件。推动行政机关负责人累计出庭应诉77人次。促进87起行政案件协调和解。执结案件18718件，执行到位30余亿元。设置专门流转通道，高效执结涉民生案件2042件。</w:t>
      </w:r>
    </w:p>
    <w:p>
      <w:pPr>
        <w:ind w:left="105" w:leftChars="50"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2）完善“多元调解+速裁”工作机制，组建43个速裁团队，招录44名专职调解员编入速裁团队，甄选14家调解机构配合调解，在全区21个街乡镇铺设“点站”；建设全流程智慧法院服务体系，建设42个云法庭，立案窗口专岗推广应用“移动微法院”，在线庭审24345件。</w:t>
      </w:r>
    </w:p>
    <w:p>
      <w:pPr>
        <w:ind w:left="105" w:leftChars="50" w:firstLine="640" w:firstLineChars="200"/>
        <w:outlineLvl w:val="2"/>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2.产出</w:t>
      </w:r>
      <w:r>
        <w:rPr>
          <w:rFonts w:ascii="仿宋_GB2312" w:hAnsi="宋体" w:eastAsia="仿宋_GB2312" w:cs="宋体"/>
          <w:color w:val="000000"/>
          <w:kern w:val="0"/>
          <w:sz w:val="32"/>
          <w:szCs w:val="32"/>
        </w:rPr>
        <w:t>质量</w:t>
      </w:r>
    </w:p>
    <w:p>
      <w:pPr>
        <w:ind w:left="105" w:leftChars="50" w:firstLine="640" w:firstLineChars="200"/>
        <w:rPr>
          <w:rFonts w:ascii="仿宋_GB2312" w:eastAsia="仿宋_GB2312"/>
          <w:sz w:val="32"/>
          <w:szCs w:val="32"/>
        </w:rPr>
      </w:pPr>
      <w:r>
        <w:rPr>
          <w:rFonts w:hint="eastAsia" w:ascii="仿宋_GB2312" w:eastAsia="仿宋_GB2312"/>
          <w:color w:val="000000" w:themeColor="text1"/>
          <w:sz w:val="32"/>
          <w:szCs w:val="32"/>
          <w14:textFill>
            <w14:solidFill>
              <w14:schemeClr w14:val="tx1"/>
            </w14:solidFill>
          </w14:textFill>
        </w:rPr>
        <w:t>（1）截至2021年11月，新收案件同比增长18.24%，已结案件同比增长16.2%，均排名全市法院第五，结案均衡度居全市一类法院第一。</w:t>
      </w:r>
      <w:r>
        <w:rPr>
          <w:rFonts w:hint="eastAsia" w:ascii="仿宋_GB2312" w:eastAsia="仿宋_GB2312"/>
          <w:color w:val="000000"/>
          <w:spacing w:val="14"/>
          <w:kern w:val="0"/>
          <w:sz w:val="32"/>
          <w:szCs w:val="32"/>
        </w:rPr>
        <w:t>审结刑事案件同比上升22.1%和判处罪犯同比上升22.2%；</w:t>
      </w:r>
      <w:r>
        <w:rPr>
          <w:rFonts w:hint="eastAsia" w:ascii="仿宋_GB2312" w:eastAsia="仿宋_GB2312"/>
          <w:sz w:val="32"/>
          <w:szCs w:val="32"/>
        </w:rPr>
        <w:t>审结民商事案件同比上升24.6%，平均审理时长同比缩短19.01%；审结行政诉讼案件478件同比上升13.54%，审查和执结行政非诉案件同比上升198.73%。执结案件同比上升2.87%，执行案件时长缩短35%。</w:t>
      </w:r>
    </w:p>
    <w:p>
      <w:pPr>
        <w:ind w:firstLine="640" w:firstLineChars="200"/>
      </w:pPr>
      <w:r>
        <w:rPr>
          <w:rFonts w:hint="eastAsia" w:ascii="仿宋_GB2312" w:hAnsi="宋体" w:eastAsia="仿宋_GB2312" w:cs="宋体"/>
          <w:color w:val="000000"/>
          <w:kern w:val="0"/>
          <w:sz w:val="32"/>
          <w:szCs w:val="32"/>
        </w:rPr>
        <w:t>（2）</w:t>
      </w:r>
      <w:r>
        <w:rPr>
          <w:rFonts w:hint="eastAsia" w:ascii="仿宋_GB2312" w:eastAsia="仿宋_GB2312"/>
          <w:sz w:val="32"/>
          <w:szCs w:val="32"/>
        </w:rPr>
        <w:t>在线庭审同比增加</w:t>
      </w:r>
      <w:r>
        <w:rPr>
          <w:rFonts w:hint="eastAsia" w:ascii="仿宋_GB2312" w:eastAsia="仿宋_GB2312"/>
          <w:color w:val="000000"/>
          <w:sz w:val="32"/>
          <w:szCs w:val="32"/>
        </w:rPr>
        <w:t>47.33%。民商事案件电子送达占比排名北京法院第一。电子卷宗全程嵌入办案系统，减少70%庭前阅卷时间，80%以上笔录修改时间。</w:t>
      </w:r>
    </w:p>
    <w:p>
      <w:pPr>
        <w:ind w:left="105" w:leftChars="50" w:firstLine="480" w:firstLineChars="150"/>
        <w:outlineLvl w:val="2"/>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3.产出</w:t>
      </w:r>
      <w:r>
        <w:rPr>
          <w:rFonts w:ascii="仿宋_GB2312" w:hAnsi="宋体" w:eastAsia="仿宋_GB2312" w:cs="宋体"/>
          <w:color w:val="000000"/>
          <w:kern w:val="0"/>
          <w:sz w:val="32"/>
          <w:szCs w:val="32"/>
        </w:rPr>
        <w:t>进度</w:t>
      </w:r>
    </w:p>
    <w:p>
      <w:pPr>
        <w:ind w:left="105" w:leftChars="50"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丰台法院工作贯穿全年，按照年初预算批复及年中追加调整，2021年完成了各项工作。</w:t>
      </w:r>
    </w:p>
    <w:p>
      <w:pPr>
        <w:ind w:left="105" w:leftChars="50" w:firstLine="480" w:firstLineChars="150"/>
        <w:outlineLvl w:val="2"/>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4.</w:t>
      </w:r>
      <w:r>
        <w:rPr>
          <w:rFonts w:hint="eastAsia" w:ascii="仿宋_GB2312" w:hAnsi="宋体" w:eastAsia="仿宋_GB2312" w:cs="宋体"/>
          <w:color w:val="000000"/>
          <w:kern w:val="0"/>
          <w:sz w:val="32"/>
          <w:szCs w:val="32"/>
        </w:rPr>
        <w:t>产出</w:t>
      </w:r>
      <w:r>
        <w:rPr>
          <w:rFonts w:ascii="仿宋_GB2312" w:hAnsi="宋体" w:eastAsia="仿宋_GB2312" w:cs="宋体"/>
          <w:color w:val="000000"/>
          <w:kern w:val="0"/>
          <w:sz w:val="32"/>
          <w:szCs w:val="32"/>
        </w:rPr>
        <w:t>成本</w:t>
      </w:r>
    </w:p>
    <w:p>
      <w:pPr>
        <w:ind w:left="105" w:leftChars="50"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2021年预算总体支出30,763.20万元，其中，2021年基本支出为21,943.41万元，项目支出为8,819.79万元，部门整体支出控制在预算批复内。</w:t>
      </w:r>
    </w:p>
    <w:p>
      <w:pPr>
        <w:ind w:left="105" w:leftChars="50" w:firstLine="480" w:firstLineChars="150"/>
        <w:outlineLvl w:val="1"/>
        <w:rPr>
          <w:rFonts w:ascii="楷体_GB2312" w:eastAsia="楷体_GB2312"/>
          <w:sz w:val="32"/>
          <w:szCs w:val="32"/>
        </w:rPr>
      </w:pPr>
      <w:r>
        <w:rPr>
          <w:rFonts w:hint="eastAsia" w:ascii="楷体_GB2312" w:eastAsia="楷体_GB2312"/>
          <w:sz w:val="32"/>
          <w:szCs w:val="32"/>
        </w:rPr>
        <w:t>（二）效果</w:t>
      </w:r>
      <w:r>
        <w:rPr>
          <w:rFonts w:ascii="楷体_GB2312" w:eastAsia="楷体_GB2312"/>
          <w:sz w:val="32"/>
          <w:szCs w:val="32"/>
        </w:rPr>
        <w:t>实现情况分析</w:t>
      </w:r>
    </w:p>
    <w:p>
      <w:pPr>
        <w:ind w:left="105" w:leftChars="50" w:firstLine="480" w:firstLineChars="150"/>
        <w:outlineLvl w:val="2"/>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1</w:t>
      </w:r>
      <w:r>
        <w:rPr>
          <w:rFonts w:hint="eastAsia" w:ascii="仿宋_GB2312" w:hAnsi="宋体" w:eastAsia="仿宋_GB2312" w:cs="宋体"/>
          <w:color w:val="000000"/>
          <w:kern w:val="0"/>
          <w:sz w:val="32"/>
          <w:szCs w:val="32"/>
        </w:rPr>
        <w:t>.社会效益</w:t>
      </w:r>
    </w:p>
    <w:p>
      <w:pPr>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原创党史话剧《千里寻儿》与歌曲《丰碑的传颂》荣获市高院“优秀原创话剧”和“十佳原创歌曲”奖。开展“我为群众办实事”活动，推出便民利民举措207项，干警心系群众、为民服务的水平进一步提升。工作成效获中央督导组、市指导组充分肯定。</w:t>
      </w:r>
    </w:p>
    <w:p>
      <w:pPr>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维护首都安全稳定，妥善审理扫黑除恶常态化后全区首例涉恶案件，荣获“北京市扫黑除恶专项斗争先进集体”称号。弘扬社会主义核心价值观，发布第三批5件“弘扬社会主义核心价值观典型案例”，社会主义核心价值观融入裁判文书释法说理司法大数据研究。“假和解、真逃债判赔案”明确人民法院可不予调整违约金情形，引导当事人诚实守信，被确定为全国第166号指导性案例。完善“多元调解+速裁”工作机制，强化调解全程指导对接，群众解纷不断提速。执行指挥中心系统自动识别案件并将对应信息录入办案系统，在法治日报社主办的2021政法智能化建设技术装备及成果展中荣获“智慧法院创新案例”。</w:t>
      </w:r>
    </w:p>
    <w:p>
      <w:pPr>
        <w:ind w:left="105" w:leftChars="50" w:firstLine="640" w:firstLineChars="200"/>
        <w:outlineLvl w:val="2"/>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2.环境效益</w:t>
      </w:r>
    </w:p>
    <w:p>
      <w:pPr>
        <w:ind w:firstLine="640" w:firstLineChars="20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常态化开展“扫黑除恶”专项斗争</w:t>
      </w:r>
      <w:r>
        <w:rPr>
          <w:rFonts w:hint="eastAsia" w:ascii="仿宋_GB2312" w:hAnsi="宋体" w:eastAsia="仿宋_GB2312" w:cs="宋体"/>
          <w:color w:val="000000"/>
          <w:kern w:val="0"/>
          <w:sz w:val="32"/>
          <w:szCs w:val="32"/>
        </w:rPr>
        <w:t>，妥善处理两会、建党一百周年大庆等重要节点发生的突发事件，</w:t>
      </w:r>
      <w:r>
        <w:rPr>
          <w:rFonts w:ascii="仿宋_GB2312" w:hAnsi="宋体" w:eastAsia="仿宋_GB2312" w:cs="宋体"/>
          <w:color w:val="000000"/>
          <w:kern w:val="0"/>
          <w:sz w:val="32"/>
          <w:szCs w:val="32"/>
        </w:rPr>
        <w:t>坚决维护首都安全稳定</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加大刑事犯罪打击力度，审结故意伤害、抢劫、绑架等案件</w:t>
      </w:r>
      <w:r>
        <w:rPr>
          <w:rFonts w:hint="eastAsia" w:ascii="仿宋_GB2312" w:hAnsi="宋体" w:eastAsia="仿宋_GB2312" w:cs="宋体"/>
          <w:color w:val="000000"/>
          <w:kern w:val="0"/>
          <w:sz w:val="32"/>
          <w:szCs w:val="32"/>
        </w:rPr>
        <w:t>，助力平安北京建设；</w:t>
      </w:r>
      <w:r>
        <w:rPr>
          <w:rFonts w:ascii="仿宋_GB2312" w:hAnsi="宋体" w:eastAsia="仿宋_GB2312" w:cs="宋体"/>
          <w:color w:val="000000"/>
          <w:kern w:val="0"/>
          <w:sz w:val="32"/>
          <w:szCs w:val="32"/>
        </w:rPr>
        <w:t>妥善化解民商事纠纷，持续优化法治营商环境</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维护经营秩序，平衡劳资权益，推动市场经济繁荣稳定</w:t>
      </w:r>
      <w:r>
        <w:rPr>
          <w:rFonts w:hint="eastAsia" w:ascii="仿宋_GB2312" w:hAnsi="宋体" w:eastAsia="仿宋_GB2312" w:cs="宋体"/>
          <w:color w:val="000000"/>
          <w:kern w:val="0"/>
          <w:sz w:val="32"/>
          <w:szCs w:val="32"/>
        </w:rPr>
        <w:t>。</w:t>
      </w:r>
    </w:p>
    <w:p>
      <w:pPr>
        <w:ind w:left="105" w:leftChars="50" w:firstLine="640" w:firstLineChars="200"/>
        <w:outlineLvl w:val="2"/>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3.可持续性影响</w:t>
      </w:r>
    </w:p>
    <w:p>
      <w:pPr>
        <w:ind w:left="0" w:leftChars="0" w:firstLine="640" w:firstLineChars="200"/>
        <w:outlineLvl w:val="9"/>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加强基层基础建设，提高司法为民工作水平。以丰台区的发展详规和发展方向为牵引，加快人民法庭建设，科学规划、合理布局，争取各方面支持，为人民群众提供更加便捷舒适的诉讼场所。加快诉调对接中心建设，建成集立案登记、诉讼服务、诉调对接、信访化解等功能为一体的综合性大平台，为人民群众提供“一站式”高效便利的纠纷解决渠道。加快“智慧丰法”建设，用足用好信息化手段，更好地服务群众，便捷诉讼，更好地服务法官，提高质效。</w:t>
      </w:r>
    </w:p>
    <w:p>
      <w:pPr>
        <w:ind w:left="105" w:leftChars="50" w:firstLine="640" w:firstLineChars="200"/>
        <w:outlineLvl w:val="2"/>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4</w:t>
      </w:r>
      <w:r>
        <w:rPr>
          <w:rFonts w:hint="eastAsia" w:ascii="仿宋_GB2312" w:hAnsi="宋体" w:eastAsia="仿宋_GB2312" w:cs="宋体"/>
          <w:color w:val="000000"/>
          <w:kern w:val="0"/>
          <w:sz w:val="32"/>
          <w:szCs w:val="32"/>
        </w:rPr>
        <w:t>.服务对象</w:t>
      </w:r>
      <w:r>
        <w:rPr>
          <w:rFonts w:ascii="仿宋_GB2312" w:hAnsi="宋体" w:eastAsia="仿宋_GB2312" w:cs="宋体"/>
          <w:color w:val="000000"/>
          <w:kern w:val="0"/>
          <w:sz w:val="32"/>
          <w:szCs w:val="32"/>
        </w:rPr>
        <w:t>满意度</w:t>
      </w:r>
    </w:p>
    <w:p>
      <w:pPr>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服务对象满意度达到9</w:t>
      </w:r>
      <w:r>
        <w:rPr>
          <w:rFonts w:ascii="仿宋_GB2312" w:hAnsi="宋体" w:eastAsia="仿宋_GB2312" w:cs="宋体"/>
          <w:color w:val="000000"/>
          <w:kern w:val="0"/>
          <w:sz w:val="32"/>
          <w:szCs w:val="32"/>
        </w:rPr>
        <w:t>0%</w:t>
      </w:r>
      <w:r>
        <w:rPr>
          <w:rFonts w:hint="eastAsia" w:ascii="仿宋_GB2312" w:hAnsi="宋体" w:eastAsia="仿宋_GB2312" w:cs="宋体"/>
          <w:color w:val="000000"/>
          <w:kern w:val="0"/>
          <w:sz w:val="32"/>
          <w:szCs w:val="32"/>
        </w:rPr>
        <w:t>以上。</w:t>
      </w:r>
    </w:p>
    <w:p>
      <w:pPr>
        <w:ind w:left="105" w:leftChars="50" w:firstLine="480" w:firstLineChars="150"/>
        <w:outlineLvl w:val="0"/>
        <w:rPr>
          <w:rFonts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pPr>
        <w:ind w:left="105" w:leftChars="50" w:firstLine="640" w:firstLineChars="200"/>
        <w:outlineLvl w:val="1"/>
        <w:rPr>
          <w:rFonts w:ascii="楷体_GB2312" w:eastAsia="楷体_GB2312"/>
          <w:sz w:val="32"/>
          <w:szCs w:val="32"/>
        </w:rPr>
      </w:pPr>
      <w:r>
        <w:rPr>
          <w:rFonts w:hint="eastAsia" w:ascii="楷体_GB2312" w:eastAsia="楷体_GB2312"/>
          <w:sz w:val="32"/>
          <w:szCs w:val="32"/>
        </w:rPr>
        <w:t>（一）财务管理</w:t>
      </w:r>
    </w:p>
    <w:p>
      <w:pPr>
        <w:ind w:left="105" w:leftChars="50" w:firstLine="640" w:firstLineChars="200"/>
        <w:outlineLvl w:val="2"/>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1.财务</w:t>
      </w:r>
      <w:r>
        <w:rPr>
          <w:rFonts w:ascii="仿宋_GB2312" w:hAnsi="宋体" w:eastAsia="仿宋_GB2312" w:cs="宋体"/>
          <w:color w:val="000000"/>
          <w:kern w:val="0"/>
          <w:sz w:val="32"/>
          <w:szCs w:val="32"/>
        </w:rPr>
        <w:t>管理制度健全性</w:t>
      </w:r>
    </w:p>
    <w:p>
      <w:pPr>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2021年，丰台法院在《北京市丰台区人民法院财务管理制度》等基础上，修订完善各项内部管理制度，建立《北京市丰台区人民法院内部控制手册》，逐步建立健全预算业务、收支业务、政府采购业务等财务管理制度，部门财务管理制度较健全，具有一定可操作性。</w:t>
      </w:r>
    </w:p>
    <w:p>
      <w:pPr>
        <w:ind w:left="105" w:leftChars="50" w:firstLine="640" w:firstLineChars="200"/>
        <w:outlineLvl w:val="2"/>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2.资金使用合规性</w:t>
      </w:r>
      <w:r>
        <w:rPr>
          <w:rFonts w:ascii="仿宋_GB2312" w:hAnsi="宋体" w:eastAsia="仿宋_GB2312" w:cs="宋体"/>
          <w:color w:val="000000"/>
          <w:kern w:val="0"/>
          <w:sz w:val="32"/>
          <w:szCs w:val="32"/>
        </w:rPr>
        <w:t>和安全性</w:t>
      </w:r>
    </w:p>
    <w:p>
      <w:pPr>
        <w:ind w:left="105" w:leftChars="50"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丰台法院严格执行相关财政管理要求，围绕全年办案等业务做好资金统筹保障，加强财务基础管理，牢固树立“过紧日子”思想，不断提高资金使用效益。</w:t>
      </w:r>
    </w:p>
    <w:p>
      <w:pPr>
        <w:ind w:left="105" w:leftChars="50"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落实财政部门预算编制要求，加强项目预算评审，合理测算预算需求，提高了预算编制的准确性。夯实日常财务管理工作，经费支出均按照预算执行，不存在无预算支出或超范围支出等情况，从而保证预算的执行率偏差较小，预算使用和管理水平良好。各项支出审批严格履行内部审批程序，资金使用符合国家财经法规和财务管理规定。严格执行会计制度，规范日常核算，严格执行各项支出标准，强化内部控制，各项资金管理安全。</w:t>
      </w:r>
    </w:p>
    <w:p>
      <w:pPr>
        <w:ind w:left="105" w:leftChars="50" w:firstLine="640" w:firstLineChars="200"/>
        <w:outlineLvl w:val="2"/>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3.</w:t>
      </w:r>
      <w:r>
        <w:rPr>
          <w:rFonts w:hint="eastAsia" w:ascii="仿宋_GB2312" w:hAnsi="宋体" w:eastAsia="仿宋_GB2312" w:cs="宋体"/>
          <w:color w:val="000000"/>
          <w:kern w:val="0"/>
          <w:sz w:val="32"/>
          <w:szCs w:val="32"/>
        </w:rPr>
        <w:t>会计</w:t>
      </w:r>
      <w:r>
        <w:rPr>
          <w:rFonts w:ascii="仿宋_GB2312" w:hAnsi="宋体" w:eastAsia="仿宋_GB2312" w:cs="宋体"/>
          <w:color w:val="000000"/>
          <w:kern w:val="0"/>
          <w:sz w:val="32"/>
          <w:szCs w:val="32"/>
        </w:rPr>
        <w:t>基础信息完善性</w:t>
      </w:r>
    </w:p>
    <w:p>
      <w:pPr>
        <w:ind w:left="105" w:leftChars="50"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按政府会计制度和《财政部关于贯彻实施政府会计准则制度的通知》相关要求开展会计工作，财务人员注重财务、采购、管理等各类知识的学习与培训，积极参加预算、决算、财务报告等网上培训，保证了预决算及日常会计核算的规范性。丰台法院会计基础数据信息和会计信息资料真实、完整、准确，相关管理工作较为规范。</w:t>
      </w:r>
    </w:p>
    <w:p>
      <w:pPr>
        <w:ind w:left="105" w:leftChars="50" w:firstLine="640" w:firstLineChars="200"/>
        <w:outlineLvl w:val="1"/>
        <w:rPr>
          <w:rFonts w:ascii="楷体_GB2312" w:eastAsia="楷体_GB2312"/>
          <w:sz w:val="32"/>
          <w:szCs w:val="32"/>
        </w:rPr>
      </w:pPr>
      <w:r>
        <w:rPr>
          <w:rFonts w:hint="eastAsia" w:ascii="楷体_GB2312" w:eastAsia="楷体_GB2312"/>
          <w:sz w:val="32"/>
          <w:szCs w:val="32"/>
        </w:rPr>
        <w:t>（二）资产管理</w:t>
      </w:r>
    </w:p>
    <w:p>
      <w:pPr>
        <w:ind w:firstLine="640" w:firstLineChars="200"/>
        <w:outlineLvl w:val="2"/>
        <w:rPr>
          <w:rFonts w:ascii="仿宋_GB2312" w:eastAsia="仿宋_GB2312"/>
          <w:sz w:val="32"/>
          <w:szCs w:val="32"/>
        </w:rPr>
      </w:pPr>
      <w:r>
        <w:rPr>
          <w:rFonts w:hint="eastAsia" w:ascii="仿宋_GB2312" w:eastAsia="仿宋_GB2312"/>
          <w:sz w:val="32"/>
          <w:szCs w:val="32"/>
        </w:rPr>
        <w:t>1.资产总体情况</w:t>
      </w:r>
    </w:p>
    <w:p>
      <w:pPr>
        <w:widowControl/>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截至2021年12月31日，资产总额</w:t>
      </w:r>
      <w:r>
        <w:rPr>
          <w:rFonts w:hint="eastAsia" w:ascii="仿宋_GB2312" w:hAnsi="Arial" w:eastAsia="仿宋_GB2312" w:cs="Arial"/>
          <w:kern w:val="0"/>
          <w:sz w:val="20"/>
          <w:szCs w:val="20"/>
        </w:rPr>
        <w:t xml:space="preserve"> </w:t>
      </w:r>
      <w:r>
        <w:rPr>
          <w:rFonts w:hint="eastAsia" w:ascii="仿宋_GB2312" w:hAnsi="宋体" w:eastAsia="仿宋_GB2312" w:cs="宋体"/>
          <w:color w:val="000000"/>
          <w:kern w:val="0"/>
          <w:sz w:val="32"/>
          <w:szCs w:val="32"/>
        </w:rPr>
        <w:t>30,235.64万元，包括：货币资金378.24万元，财政应返还额度1,182.73万元，其他应收款1.43万元，存货18.74万元，待摊费用468.96万元，固定资产净值25,200.28万元，无形资产净值38.07万元，受托代理资产</w:t>
      </w:r>
      <w:r>
        <w:rPr>
          <w:rFonts w:hint="eastAsia" w:ascii="仿宋_GB2312" w:hAnsi="仿宋" w:eastAsia="仿宋_GB2312" w:cs="仿宋"/>
          <w:color w:val="000000"/>
          <w:sz w:val="32"/>
          <w:szCs w:val="32"/>
        </w:rPr>
        <w:t>779.53</w:t>
      </w:r>
      <w:r>
        <w:rPr>
          <w:rFonts w:hint="eastAsia" w:ascii="仿宋_GB2312" w:hAnsi="宋体" w:eastAsia="仿宋_GB2312" w:cs="宋体"/>
          <w:color w:val="000000"/>
          <w:kern w:val="0"/>
          <w:sz w:val="32"/>
          <w:szCs w:val="32"/>
        </w:rPr>
        <w:t>万元。</w:t>
      </w:r>
    </w:p>
    <w:p>
      <w:pPr>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在资产构成中，固定资产所占比重较大，按照固定资产的构成情况具体分成六类：土地、房屋及构筑物19,356.48万元，占固定资产的76.81%；通用设备4,977.17万元，占19.75%；专用设备117.16万元，占0.46%；文物和陈列品23.84万元，占0.09%；图书档案11.21万元，占0.04%；家具、用具、装具及动植物714.42万元，占2.83%。</w:t>
      </w:r>
    </w:p>
    <w:p>
      <w:pPr>
        <w:ind w:left="105" w:leftChars="50" w:firstLine="640" w:firstLineChars="200"/>
        <w:outlineLvl w:val="2"/>
        <w:rPr>
          <w:rFonts w:ascii="仿宋_GB2312" w:eastAsia="仿宋_GB2312"/>
          <w:sz w:val="32"/>
          <w:szCs w:val="32"/>
        </w:rPr>
      </w:pPr>
      <w:r>
        <w:rPr>
          <w:rFonts w:hint="eastAsia" w:ascii="仿宋_GB2312" w:eastAsia="仿宋_GB2312"/>
          <w:sz w:val="32"/>
          <w:szCs w:val="32"/>
        </w:rPr>
        <w:t>2.资产管理制度及过程管理情况</w:t>
      </w:r>
    </w:p>
    <w:p>
      <w:pPr>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丰台法院通过《丰台法院固定资产管理规定》，明确固定资产使用、资产的范围、资产的购买配置、</w:t>
      </w:r>
      <w:r>
        <w:rPr>
          <w:rFonts w:hint="eastAsia" w:ascii="仿宋_GB2312" w:eastAsia="仿宋_GB2312"/>
          <w:sz w:val="32"/>
        </w:rPr>
        <w:t>验收及出入库</w:t>
      </w:r>
      <w:r>
        <w:rPr>
          <w:rFonts w:hint="eastAsia" w:ascii="仿宋_GB2312" w:hAnsi="宋体" w:eastAsia="仿宋_GB2312" w:cs="宋体"/>
          <w:color w:val="000000"/>
          <w:kern w:val="0"/>
          <w:sz w:val="32"/>
          <w:szCs w:val="32"/>
        </w:rPr>
        <w:t>、资产处置等管理内容，规范了固定资产管理。</w:t>
      </w:r>
    </w:p>
    <w:p>
      <w:pPr>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目前，丰台法院资产管理信息系统建设已融入预算一体化系统的工作进程中。在行政事业性国有资产管理上积极贯彻落实党中央、国务院决策部署，贯彻落实《行政事业性国有资产管理条例》（国务院令第738号）的精神，在资产管理制度制定、资产数据基础管理、资产配置高效使用和资产处置全流程管理、信息化建设等方面取得了一定的成效，使资源统筹进一步加强、资产运行绩效进一步提高、在财务流动资产运行效率及固定资产管理等方面进一步强化。充分保障政法机关的高效运转，保障法院的审判工作和其他各项工作的顺利进行，在推进法院的司法改革等方面发挥了积极的作用。</w:t>
      </w:r>
    </w:p>
    <w:p>
      <w:pPr>
        <w:ind w:left="105" w:leftChars="50" w:firstLine="640" w:firstLineChars="200"/>
        <w:outlineLvl w:val="1"/>
        <w:rPr>
          <w:rFonts w:ascii="楷体_GB2312" w:eastAsia="楷体_GB2312"/>
          <w:sz w:val="32"/>
          <w:szCs w:val="32"/>
        </w:rPr>
      </w:pPr>
      <w:r>
        <w:rPr>
          <w:rFonts w:hint="eastAsia" w:ascii="楷体_GB2312" w:eastAsia="楷体_GB2312"/>
          <w:sz w:val="32"/>
          <w:szCs w:val="32"/>
        </w:rPr>
        <w:t>（三）绩效</w:t>
      </w:r>
      <w:r>
        <w:rPr>
          <w:rFonts w:ascii="楷体_GB2312" w:eastAsia="楷体_GB2312"/>
          <w:sz w:val="32"/>
          <w:szCs w:val="32"/>
        </w:rPr>
        <w:t>管理</w:t>
      </w:r>
    </w:p>
    <w:p>
      <w:pPr>
        <w:ind w:left="142" w:right="84"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丰台法院根据市财政局关于“预算编制有目标、预算执行有监控、预算完成有评价、评价结果有反馈、反馈结果有应用”的预算绩效管理要求，不断推进全面预算绩效管理工作，按要求开展预算绩效目标填报、预算绩效监控、预算绩效评价等工作。</w:t>
      </w:r>
    </w:p>
    <w:p>
      <w:pPr>
        <w:ind w:left="142" w:right="84"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丰台法院所有预算资金纳入部门预算绩效管理工作，按照市财政要求对2021年度全部预算项目开展预算绩效监控工作，从预算资金执行、管理以及绩效目标完成等情况进行分析，进一步加强了预算绩效运行监控管理。</w:t>
      </w:r>
    </w:p>
    <w:p>
      <w:pPr>
        <w:ind w:left="142" w:right="84"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按照《北京市财政局关于开展2022年全面预算绩效管理工作的通知》（京财绩效〔2022〕669号）的工作要求，对2021年度16个项目实施绩效自评，对“诉调对接中心装修改造项目”采用部门评价方式，出具项目绩效评价报告；对15个项目采用单位自评方式，填写项目支出绩效自评表。</w:t>
      </w:r>
    </w:p>
    <w:p>
      <w:pPr>
        <w:ind w:left="142" w:right="84"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2021年部门预算绩效管理总体完成较好，从评价结果看，项目立项符合部门职责和相关管理制度，制定的项目绩效目标较合理，各项工作有序开展，任务完成质量较高。发挥了财政资金的使用效益。</w:t>
      </w:r>
    </w:p>
    <w:p>
      <w:pPr>
        <w:ind w:left="105" w:leftChars="50" w:firstLine="640" w:firstLineChars="200"/>
        <w:outlineLvl w:val="1"/>
        <w:rPr>
          <w:rFonts w:ascii="楷体_GB2312" w:eastAsia="楷体_GB2312"/>
          <w:sz w:val="32"/>
          <w:szCs w:val="32"/>
        </w:rPr>
      </w:pPr>
      <w:r>
        <w:rPr>
          <w:rFonts w:hint="eastAsia" w:ascii="楷体_GB2312" w:eastAsia="楷体_GB2312"/>
          <w:sz w:val="32"/>
          <w:szCs w:val="32"/>
        </w:rPr>
        <w:t>（四）结转结余率</w:t>
      </w:r>
    </w:p>
    <w:p>
      <w:pPr>
        <w:widowControl/>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丰台法院2021年末结转结余1,216.82万元，全年预算支出</w:t>
      </w:r>
      <w:r>
        <w:rPr>
          <w:rFonts w:ascii="仿宋_GB2312" w:hAnsi="宋体" w:eastAsia="仿宋_GB2312" w:cs="宋体"/>
          <w:color w:val="000000"/>
          <w:kern w:val="0"/>
          <w:sz w:val="32"/>
          <w:szCs w:val="32"/>
        </w:rPr>
        <w:t>31</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980.02</w:t>
      </w:r>
      <w:r>
        <w:rPr>
          <w:rFonts w:hint="eastAsia" w:ascii="仿宋_GB2312" w:hAnsi="宋体" w:eastAsia="仿宋_GB2312" w:cs="宋体"/>
          <w:color w:val="000000"/>
          <w:kern w:val="0"/>
          <w:sz w:val="32"/>
          <w:szCs w:val="32"/>
        </w:rPr>
        <w:t>万元，结转结余率为</w:t>
      </w:r>
      <w:r>
        <w:rPr>
          <w:rFonts w:ascii="仿宋_GB2312" w:hAnsi="宋体" w:eastAsia="仿宋_GB2312" w:cs="宋体"/>
          <w:color w:val="000000"/>
          <w:kern w:val="0"/>
          <w:sz w:val="32"/>
          <w:szCs w:val="32"/>
        </w:rPr>
        <w:t>3.</w:t>
      </w:r>
      <w:r>
        <w:rPr>
          <w:rFonts w:hint="eastAsia" w:ascii="仿宋_GB2312" w:hAnsi="宋体" w:eastAsia="仿宋_GB2312" w:cs="宋体"/>
          <w:color w:val="000000"/>
          <w:kern w:val="0"/>
          <w:sz w:val="32"/>
          <w:szCs w:val="32"/>
        </w:rPr>
        <w:t>80%，较上年结转结余率（13.89%）低。</w:t>
      </w:r>
    </w:p>
    <w:p>
      <w:pPr>
        <w:ind w:left="105" w:leftChars="50" w:firstLine="640" w:firstLineChars="200"/>
        <w:outlineLvl w:val="1"/>
        <w:rPr>
          <w:rFonts w:ascii="楷体_GB2312" w:eastAsia="楷体_GB2312"/>
          <w:sz w:val="32"/>
          <w:szCs w:val="32"/>
        </w:rPr>
      </w:pPr>
      <w:r>
        <w:rPr>
          <w:rFonts w:hint="eastAsia" w:ascii="楷体_GB2312" w:eastAsia="楷体_GB2312"/>
          <w:sz w:val="32"/>
          <w:szCs w:val="32"/>
        </w:rPr>
        <w:t>（五）部门</w:t>
      </w:r>
      <w:r>
        <w:rPr>
          <w:rFonts w:ascii="楷体_GB2312" w:eastAsia="楷体_GB2312"/>
          <w:sz w:val="32"/>
          <w:szCs w:val="32"/>
        </w:rPr>
        <w:t>预决算差异率</w:t>
      </w:r>
    </w:p>
    <w:p>
      <w:pPr>
        <w:widowControl/>
        <w:ind w:left="0" w:leftChars="0" w:firstLine="640" w:firstLineChars="200"/>
        <w:outlineLvl w:val="9"/>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2021年，年初部门预算31,532.18万元，年度部门决算30,763.20万元，预决算差异率为</w:t>
      </w:r>
      <w:r>
        <w:rPr>
          <w:rFonts w:ascii="仿宋_GB2312" w:hAnsi="宋体" w:eastAsia="仿宋_GB2312" w:cs="宋体"/>
          <w:color w:val="000000"/>
          <w:kern w:val="0"/>
          <w:sz w:val="32"/>
          <w:szCs w:val="32"/>
        </w:rPr>
        <w:t>1.42</w:t>
      </w:r>
      <w:r>
        <w:rPr>
          <w:rFonts w:hint="eastAsia" w:ascii="仿宋_GB2312" w:hAnsi="宋体" w:eastAsia="仿宋_GB2312" w:cs="宋体"/>
          <w:color w:val="000000"/>
          <w:kern w:val="0"/>
          <w:sz w:val="32"/>
          <w:szCs w:val="32"/>
        </w:rPr>
        <w:t>%，低于市级平均差异率（28.30%）。</w:t>
      </w:r>
    </w:p>
    <w:p>
      <w:pPr>
        <w:ind w:left="105" w:leftChars="50" w:firstLine="480" w:firstLineChars="150"/>
        <w:outlineLvl w:val="0"/>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pPr>
        <w:ind w:left="105" w:leftChars="50" w:firstLine="640" w:firstLineChars="200"/>
        <w:outlineLvl w:val="1"/>
        <w:rPr>
          <w:rFonts w:ascii="楷体_GB2312" w:eastAsia="楷体_GB2312"/>
          <w:sz w:val="32"/>
          <w:szCs w:val="32"/>
        </w:rPr>
      </w:pP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p>
    <w:p>
      <w:pPr>
        <w:ind w:left="105" w:leftChars="50"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经评价，丰台法院2</w:t>
      </w:r>
      <w:r>
        <w:rPr>
          <w:rFonts w:ascii="仿宋_GB2312" w:hAnsi="宋体" w:eastAsia="仿宋_GB2312" w:cs="宋体"/>
          <w:color w:val="000000"/>
          <w:kern w:val="0"/>
          <w:sz w:val="32"/>
          <w:szCs w:val="32"/>
        </w:rPr>
        <w:t>021</w:t>
      </w:r>
      <w:r>
        <w:rPr>
          <w:rFonts w:hint="eastAsia" w:ascii="仿宋_GB2312" w:hAnsi="宋体" w:eastAsia="仿宋_GB2312" w:cs="宋体"/>
          <w:color w:val="000000"/>
          <w:kern w:val="0"/>
          <w:sz w:val="32"/>
          <w:szCs w:val="32"/>
        </w:rPr>
        <w:t>年度部门整体支出绩效评价总得分92.23分，评价结果为“优秀”。其中当年预算执行情况得分为19.23分；整体绩效目标实现情况得分为54分；预算管理情况得分19分。</w:t>
      </w:r>
    </w:p>
    <w:p>
      <w:pPr>
        <w:ind w:left="105" w:leftChars="50" w:firstLine="640" w:firstLineChars="200"/>
        <w:outlineLvl w:val="1"/>
        <w:rPr>
          <w:rFonts w:ascii="楷体_GB2312" w:eastAsia="楷体_GB2312"/>
          <w:sz w:val="32"/>
          <w:szCs w:val="32"/>
        </w:rPr>
      </w:pPr>
      <w:r>
        <w:rPr>
          <w:rFonts w:hint="eastAsia" w:ascii="楷体_GB2312" w:eastAsia="楷体_GB2312"/>
          <w:sz w:val="32"/>
          <w:szCs w:val="32"/>
        </w:rPr>
        <w:t>（二）存在的问题</w:t>
      </w:r>
    </w:p>
    <w:p>
      <w:pPr>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1</w:t>
      </w:r>
      <w:r>
        <w:rPr>
          <w:rFonts w:hint="eastAsia" w:ascii="仿宋_GB2312" w:hAnsi="宋体" w:eastAsia="仿宋_GB2312" w:cs="宋体"/>
          <w:color w:val="000000"/>
          <w:kern w:val="0"/>
          <w:sz w:val="32"/>
          <w:szCs w:val="32"/>
        </w:rPr>
        <w:t>）部门整体绩效目标设定较宏观，未结合业务细化绩效指标。个别项目绩效目标不够合理，项目绩效目标与实际业务、预算内容等结合不紧密，绩效指标的细化、量化程度不够。</w:t>
      </w:r>
    </w:p>
    <w:p>
      <w:pPr>
        <w:ind w:left="105" w:leftChars="50"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2</w:t>
      </w:r>
      <w:r>
        <w:rPr>
          <w:rFonts w:hint="eastAsia" w:ascii="仿宋_GB2312" w:hAnsi="宋体" w:eastAsia="仿宋_GB2312" w:cs="宋体"/>
          <w:color w:val="000000"/>
          <w:kern w:val="0"/>
          <w:sz w:val="32"/>
          <w:szCs w:val="32"/>
        </w:rPr>
        <w:t>）部分项目绩效信息的收集和汇总分析不充分,项目资料收集不完整。部分项目服务对象满意度调查开展不够全面，导致项目效益效果资料未能完整、充分呈现。</w:t>
      </w:r>
    </w:p>
    <w:p>
      <w:pPr>
        <w:ind w:firstLine="640" w:firstLineChars="200"/>
        <w:outlineLvl w:val="0"/>
        <w:rPr>
          <w:rFonts w:ascii="仿宋_GB2312" w:hAnsi="宋体" w:eastAsia="仿宋_GB2312" w:cs="宋体"/>
          <w:color w:val="000000"/>
          <w:kern w:val="0"/>
          <w:sz w:val="32"/>
          <w:szCs w:val="32"/>
        </w:rPr>
      </w:pPr>
      <w:r>
        <w:rPr>
          <w:rFonts w:hint="eastAsia" w:ascii="黑体" w:hAnsi="黑体" w:eastAsia="黑体" w:cs="宋体"/>
          <w:color w:val="000000"/>
          <w:kern w:val="0"/>
          <w:sz w:val="32"/>
          <w:szCs w:val="32"/>
        </w:rPr>
        <w:t>六、措施建议</w:t>
      </w:r>
    </w:p>
    <w:p>
      <w:pPr>
        <w:ind w:firstLine="640" w:firstLineChars="200"/>
        <w:rPr>
          <w:rFonts w:ascii="仿宋_GB2312" w:eastAsia="仿宋_GB2312"/>
          <w:sz w:val="32"/>
          <w:szCs w:val="32"/>
        </w:rPr>
      </w:pPr>
      <w:bookmarkStart w:id="0" w:name="_Toc72401385"/>
      <w:r>
        <w:rPr>
          <w:rFonts w:hint="eastAsia" w:ascii="仿宋_GB2312" w:eastAsia="仿宋_GB2312"/>
          <w:sz w:val="32"/>
          <w:szCs w:val="32"/>
        </w:rPr>
        <w:t>（一）提高全面预算绩效管理意识，加强绩效目标设定合理性、规范性。充分结合实际业务、预算内容，科学、完整地设置绩效目标与指标，并保障绩效目标与指标的对应关系，做到细化、量化、可衡量。</w:t>
      </w:r>
    </w:p>
    <w:p>
      <w:pPr>
        <w:ind w:firstLine="640" w:firstLineChars="200"/>
        <w:rPr>
          <w:rFonts w:ascii="仿宋_GB2312" w:hAnsi="宋体" w:eastAsia="仿宋_GB2312" w:cs="宋体"/>
          <w:color w:val="000000"/>
          <w:kern w:val="0"/>
          <w:sz w:val="32"/>
          <w:szCs w:val="32"/>
        </w:rPr>
      </w:pPr>
      <w:r>
        <w:rPr>
          <w:rFonts w:hint="eastAsia" w:ascii="仿宋_GB2312" w:eastAsia="仿宋_GB2312"/>
          <w:sz w:val="32"/>
          <w:szCs w:val="32"/>
        </w:rPr>
        <w:t>（二）注重</w:t>
      </w:r>
      <w:bookmarkEnd w:id="0"/>
      <w:r>
        <w:rPr>
          <w:rFonts w:hint="eastAsia" w:ascii="仿宋_GB2312" w:eastAsia="仿宋_GB2312"/>
          <w:sz w:val="32"/>
          <w:szCs w:val="32"/>
        </w:rPr>
        <w:t>项目效益资料收集和呈现，特别要注重对项目质量和效益的挖掘，用效果资料和数据支撑项目效益。结合项目服务对象，选择适当的方式、方法开展服务对象满意度调查及分析，充分反映项目服务对象满意度效果。</w:t>
      </w:r>
    </w:p>
    <w:p>
      <w:pPr>
        <w:widowControl/>
        <w:ind w:firstLine="640" w:firstLineChars="200"/>
        <w:jc w:val="left"/>
        <w:outlineLvl w:val="0"/>
      </w:pPr>
      <w:r>
        <w:rPr>
          <w:rFonts w:hint="eastAsia" w:ascii="黑体" w:hAnsi="黑体" w:eastAsia="黑体" w:cs="宋体"/>
          <w:color w:val="000000"/>
          <w:kern w:val="0"/>
          <w:sz w:val="32"/>
          <w:szCs w:val="32"/>
        </w:rPr>
        <w:t>七、附件</w:t>
      </w:r>
    </w:p>
    <w:p>
      <w:pPr>
        <w:ind w:left="105" w:leftChars="50" w:firstLine="640" w:firstLineChars="200"/>
        <w:outlineLvl w:val="9"/>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2021年部门整体绩效评价指标体系评分表</w:t>
      </w:r>
    </w:p>
    <w:p>
      <w:pPr>
        <w:sectPr>
          <w:headerReference r:id="rId3" w:type="default"/>
          <w:footerReference r:id="rId5" w:type="default"/>
          <w:headerReference r:id="rId4" w:type="even"/>
          <w:pgSz w:w="11906" w:h="16838"/>
          <w:pgMar w:top="1440" w:right="1797" w:bottom="1440" w:left="1797" w:header="851" w:footer="992" w:gutter="0"/>
          <w:pgNumType w:fmt="numberInDash"/>
          <w:cols w:space="425" w:num="1"/>
          <w:docGrid w:type="lines" w:linePitch="312" w:charSpace="0"/>
        </w:sectPr>
      </w:pPr>
    </w:p>
    <w:p/>
    <w:p>
      <w:pPr>
        <w:ind w:firstLine="0" w:firstLineChars="0"/>
        <w:outlineLvl w:val="9"/>
        <w:rPr>
          <w:rFonts w:ascii="黑体" w:hAnsi="黑体" w:eastAsia="黑体"/>
          <w:sz w:val="32"/>
          <w:szCs w:val="32"/>
        </w:rPr>
      </w:pPr>
      <w:r>
        <w:rPr>
          <w:rFonts w:hint="eastAsia" w:ascii="黑体" w:hAnsi="黑体" w:eastAsia="黑体"/>
          <w:sz w:val="32"/>
          <w:szCs w:val="32"/>
        </w:rPr>
        <w:t>附件</w:t>
      </w:r>
    </w:p>
    <w:tbl>
      <w:tblPr>
        <w:tblStyle w:val="7"/>
        <w:tblW w:w="5000" w:type="pct"/>
        <w:tblInd w:w="0" w:type="dxa"/>
        <w:tblLayout w:type="fixed"/>
        <w:tblCellMar>
          <w:top w:w="0" w:type="dxa"/>
          <w:left w:w="108" w:type="dxa"/>
          <w:bottom w:w="0" w:type="dxa"/>
          <w:right w:w="108" w:type="dxa"/>
        </w:tblCellMar>
      </w:tblPr>
      <w:tblGrid>
        <w:gridCol w:w="817"/>
        <w:gridCol w:w="853"/>
        <w:gridCol w:w="1131"/>
        <w:gridCol w:w="1259"/>
        <w:gridCol w:w="17"/>
        <w:gridCol w:w="856"/>
        <w:gridCol w:w="6"/>
        <w:gridCol w:w="609"/>
        <w:gridCol w:w="799"/>
        <w:gridCol w:w="3685"/>
        <w:gridCol w:w="4142"/>
      </w:tblGrid>
      <w:tr>
        <w:trPr>
          <w:trHeight w:val="499" w:hRule="atLeast"/>
        </w:trPr>
        <w:tc>
          <w:tcPr>
            <w:tcW w:w="5000" w:type="pct"/>
            <w:gridSpan w:val="11"/>
            <w:tcBorders>
              <w:top w:val="nil"/>
              <w:left w:val="nil"/>
              <w:bottom w:val="single" w:color="auto" w:sz="4" w:space="0"/>
              <w:right w:val="nil"/>
            </w:tcBorders>
            <w:noWrap/>
            <w:vAlign w:val="bottom"/>
          </w:tcPr>
          <w:p>
            <w:pPr>
              <w:widowControl/>
              <w:jc w:val="center"/>
              <w:rPr>
                <w:rFonts w:ascii="方正小标宋简体" w:hAnsi="黑体" w:eastAsia="方正小标宋简体" w:cs="宋体"/>
                <w:color w:val="000000"/>
                <w:kern w:val="0"/>
                <w:sz w:val="44"/>
                <w:szCs w:val="44"/>
              </w:rPr>
            </w:pPr>
            <w:r>
              <w:rPr>
                <w:rFonts w:hint="eastAsia" w:ascii="方正小标宋简体" w:hAnsi="黑体" w:eastAsia="方正小标宋简体" w:cs="宋体"/>
                <w:color w:val="000000"/>
                <w:kern w:val="0"/>
                <w:sz w:val="44"/>
                <w:szCs w:val="44"/>
              </w:rPr>
              <w:t>2021年部门整体绩效评价指标体系评分表</w:t>
            </w:r>
          </w:p>
        </w:tc>
      </w:tr>
      <w:tr>
        <w:tblPrEx>
          <w:tblCellMar>
            <w:top w:w="0" w:type="dxa"/>
            <w:left w:w="108" w:type="dxa"/>
            <w:bottom w:w="0" w:type="dxa"/>
            <w:right w:w="108" w:type="dxa"/>
          </w:tblCellMar>
        </w:tblPrEx>
        <w:trPr>
          <w:trHeight w:val="470" w:hRule="atLeast"/>
        </w:trPr>
        <w:tc>
          <w:tcPr>
            <w:tcW w:w="5000" w:type="pct"/>
            <w:gridSpan w:val="11"/>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一、</w:t>
            </w:r>
            <w:r>
              <w:rPr>
                <w:rFonts w:hint="eastAsia" w:ascii="宋体" w:hAnsi="宋体" w:cs="宋体"/>
                <w:color w:val="000000"/>
                <w:kern w:val="0"/>
                <w:sz w:val="20"/>
                <w:szCs w:val="20"/>
              </w:rPr>
              <w:t>当年预算执行情况（20分）</w:t>
            </w:r>
          </w:p>
        </w:tc>
      </w:tr>
      <w:tr>
        <w:tblPrEx>
          <w:tblCellMar>
            <w:top w:w="0" w:type="dxa"/>
            <w:left w:w="108" w:type="dxa"/>
            <w:bottom w:w="0" w:type="dxa"/>
            <w:right w:w="108" w:type="dxa"/>
          </w:tblCellMar>
        </w:tblPrEx>
        <w:trPr>
          <w:trHeight w:val="660" w:hRule="atLeast"/>
        </w:trPr>
        <w:tc>
          <w:tcPr>
            <w:tcW w:w="28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30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39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预算数（万元）</w:t>
            </w:r>
          </w:p>
        </w:tc>
        <w:tc>
          <w:tcPr>
            <w:tcW w:w="44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执行数（万元）</w:t>
            </w:r>
          </w:p>
        </w:tc>
        <w:tc>
          <w:tcPr>
            <w:tcW w:w="310"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预算执行率</w:t>
            </w:r>
          </w:p>
        </w:tc>
        <w:tc>
          <w:tcPr>
            <w:tcW w:w="214"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29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指标解释</w:t>
            </w:r>
          </w:p>
        </w:tc>
        <w:tc>
          <w:tcPr>
            <w:tcW w:w="1461"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评分标准</w:t>
            </w:r>
          </w:p>
        </w:tc>
      </w:tr>
      <w:tr>
        <w:trPr>
          <w:trHeight w:val="605" w:hRule="atLeast"/>
        </w:trPr>
        <w:tc>
          <w:tcPr>
            <w:tcW w:w="288" w:type="pct"/>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当年预算执行情况（20）</w:t>
            </w:r>
          </w:p>
        </w:tc>
        <w:tc>
          <w:tcPr>
            <w:tcW w:w="30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资金总体</w:t>
            </w:r>
          </w:p>
        </w:tc>
        <w:tc>
          <w:tcPr>
            <w:tcW w:w="39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31</w:t>
            </w:r>
            <w:r>
              <w:rPr>
                <w:rFonts w:ascii="宋体" w:hAnsi="宋体" w:cs="宋体"/>
                <w:color w:val="000000"/>
                <w:kern w:val="0"/>
                <w:sz w:val="20"/>
                <w:szCs w:val="20"/>
              </w:rPr>
              <w:t>,</w:t>
            </w:r>
            <w:r>
              <w:rPr>
                <w:rFonts w:hint="eastAsia" w:ascii="宋体" w:hAnsi="宋体" w:cs="宋体"/>
                <w:color w:val="000000"/>
                <w:kern w:val="0"/>
                <w:sz w:val="20"/>
                <w:szCs w:val="20"/>
              </w:rPr>
              <w:t>980.02</w:t>
            </w:r>
          </w:p>
        </w:tc>
        <w:tc>
          <w:tcPr>
            <w:tcW w:w="444"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宋体" w:hAnsi="宋体" w:cs="宋体"/>
                <w:color w:val="000000"/>
                <w:kern w:val="0"/>
                <w:sz w:val="20"/>
                <w:szCs w:val="20"/>
              </w:rPr>
              <w:t>30</w:t>
            </w:r>
            <w:r>
              <w:rPr>
                <w:rFonts w:ascii="宋体" w:hAnsi="宋体" w:cs="宋体"/>
                <w:color w:val="000000"/>
                <w:kern w:val="0"/>
                <w:sz w:val="20"/>
                <w:szCs w:val="20"/>
              </w:rPr>
              <w:t>,</w:t>
            </w:r>
            <w:r>
              <w:rPr>
                <w:rFonts w:hint="eastAsia" w:ascii="宋体" w:hAnsi="宋体" w:cs="宋体"/>
                <w:color w:val="000000"/>
                <w:kern w:val="0"/>
                <w:sz w:val="20"/>
                <w:szCs w:val="20"/>
              </w:rPr>
              <w:t>763.20</w:t>
            </w:r>
          </w:p>
        </w:tc>
        <w:tc>
          <w:tcPr>
            <w:tcW w:w="310" w:type="pct"/>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宋体" w:hAnsi="宋体" w:cs="宋体"/>
                <w:color w:val="000000"/>
                <w:kern w:val="0"/>
                <w:sz w:val="20"/>
                <w:szCs w:val="20"/>
              </w:rPr>
              <w:t>96.20%</w:t>
            </w:r>
          </w:p>
        </w:tc>
        <w:tc>
          <w:tcPr>
            <w:tcW w:w="214"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281"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19.23　</w:t>
            </w:r>
          </w:p>
        </w:tc>
        <w:tc>
          <w:tcPr>
            <w:tcW w:w="1299"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部门全年执行数与全年预算数的比率。资金总体=基本支出+项目支出+其他</w:t>
            </w:r>
          </w:p>
        </w:tc>
        <w:tc>
          <w:tcPr>
            <w:tcW w:w="1461" w:type="pct"/>
            <w:vMerge w:val="restart"/>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①得分一档最高不能超过该指标分值上限（20分）。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rPr>
          <w:trHeight w:val="600" w:hRule="atLeast"/>
        </w:trPr>
        <w:tc>
          <w:tcPr>
            <w:tcW w:w="288"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00" w:type="pct"/>
            <w:tcBorders>
              <w:top w:val="single" w:color="auto" w:sz="4" w:space="0"/>
              <w:left w:val="single" w:color="auto" w:sz="4" w:space="0"/>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基本支出</w:t>
            </w:r>
          </w:p>
        </w:tc>
        <w:tc>
          <w:tcPr>
            <w:tcW w:w="39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22,281.11</w:t>
            </w:r>
          </w:p>
        </w:tc>
        <w:tc>
          <w:tcPr>
            <w:tcW w:w="444" w:type="pct"/>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宋体" w:hAnsi="宋体" w:cs="宋体"/>
                <w:color w:val="000000"/>
                <w:kern w:val="0"/>
                <w:sz w:val="20"/>
                <w:szCs w:val="20"/>
              </w:rPr>
              <w:t>21,943.41</w:t>
            </w:r>
          </w:p>
        </w:tc>
        <w:tc>
          <w:tcPr>
            <w:tcW w:w="310" w:type="pct"/>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21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81" w:type="pct"/>
            <w:vMerge w:val="continue"/>
            <w:tcBorders>
              <w:top w:val="single" w:color="auto" w:sz="4" w:space="0"/>
              <w:left w:val="nil"/>
              <w:bottom w:val="single" w:color="auto" w:sz="4" w:space="0"/>
              <w:right w:val="nil"/>
            </w:tcBorders>
            <w:vAlign w:val="center"/>
          </w:tcPr>
          <w:p>
            <w:pPr>
              <w:widowControl/>
              <w:jc w:val="left"/>
              <w:rPr>
                <w:rFonts w:ascii="宋体" w:hAnsi="宋体" w:cs="宋体"/>
                <w:color w:val="000000"/>
                <w:kern w:val="0"/>
                <w:sz w:val="20"/>
                <w:szCs w:val="20"/>
              </w:rPr>
            </w:pPr>
          </w:p>
        </w:tc>
        <w:tc>
          <w:tcPr>
            <w:tcW w:w="1299"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461"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15" w:hRule="atLeast"/>
        </w:trPr>
        <w:tc>
          <w:tcPr>
            <w:tcW w:w="288"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00" w:type="pct"/>
            <w:tcBorders>
              <w:top w:val="single" w:color="auto" w:sz="4" w:space="0"/>
              <w:left w:val="single" w:color="auto" w:sz="4" w:space="0"/>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项目支出</w:t>
            </w:r>
          </w:p>
        </w:tc>
        <w:tc>
          <w:tcPr>
            <w:tcW w:w="39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9,698.9</w:t>
            </w:r>
            <w:r>
              <w:rPr>
                <w:rFonts w:ascii="宋体" w:hAnsi="宋体" w:cs="宋体"/>
                <w:color w:val="000000"/>
                <w:kern w:val="0"/>
                <w:sz w:val="20"/>
                <w:szCs w:val="20"/>
              </w:rPr>
              <w:t>1</w:t>
            </w:r>
          </w:p>
        </w:tc>
        <w:tc>
          <w:tcPr>
            <w:tcW w:w="444"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8,819.79</w:t>
            </w:r>
          </w:p>
        </w:tc>
        <w:tc>
          <w:tcPr>
            <w:tcW w:w="310" w:type="pct"/>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1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81" w:type="pct"/>
            <w:vMerge w:val="continue"/>
            <w:tcBorders>
              <w:top w:val="single" w:color="auto" w:sz="4" w:space="0"/>
              <w:left w:val="nil"/>
              <w:bottom w:val="single" w:color="auto" w:sz="4" w:space="0"/>
              <w:right w:val="nil"/>
            </w:tcBorders>
            <w:vAlign w:val="center"/>
          </w:tcPr>
          <w:p>
            <w:pPr>
              <w:widowControl/>
              <w:jc w:val="left"/>
              <w:rPr>
                <w:rFonts w:ascii="宋体" w:hAnsi="宋体" w:cs="宋体"/>
                <w:color w:val="000000"/>
                <w:kern w:val="0"/>
                <w:sz w:val="20"/>
                <w:szCs w:val="20"/>
              </w:rPr>
            </w:pPr>
          </w:p>
        </w:tc>
        <w:tc>
          <w:tcPr>
            <w:tcW w:w="1299"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461"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2940" w:hRule="atLeast"/>
        </w:trPr>
        <w:tc>
          <w:tcPr>
            <w:tcW w:w="288"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0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w:t>
            </w:r>
          </w:p>
        </w:tc>
        <w:tc>
          <w:tcPr>
            <w:tcW w:w="39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444"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310" w:type="pct"/>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14"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81" w:type="pct"/>
            <w:vMerge w:val="continue"/>
            <w:tcBorders>
              <w:top w:val="single" w:color="auto" w:sz="4" w:space="0"/>
              <w:left w:val="nil"/>
              <w:bottom w:val="single" w:color="auto" w:sz="4" w:space="0"/>
              <w:right w:val="nil"/>
            </w:tcBorders>
            <w:vAlign w:val="center"/>
          </w:tcPr>
          <w:p>
            <w:pPr>
              <w:widowControl/>
              <w:jc w:val="left"/>
              <w:rPr>
                <w:rFonts w:ascii="宋体" w:hAnsi="宋体" w:cs="宋体"/>
                <w:color w:val="000000"/>
                <w:kern w:val="0"/>
                <w:sz w:val="20"/>
                <w:szCs w:val="20"/>
              </w:rPr>
            </w:pPr>
          </w:p>
        </w:tc>
        <w:tc>
          <w:tcPr>
            <w:tcW w:w="1299"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461"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rPr>
          <w:trHeight w:val="569" w:hRule="atLeast"/>
        </w:trPr>
        <w:tc>
          <w:tcPr>
            <w:tcW w:w="5000" w:type="pct"/>
            <w:gridSpan w:val="11"/>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二</w:t>
            </w:r>
            <w:r>
              <w:rPr>
                <w:rFonts w:ascii="宋体" w:hAnsi="宋体" w:cs="宋体"/>
                <w:color w:val="000000"/>
                <w:kern w:val="0"/>
                <w:sz w:val="18"/>
                <w:szCs w:val="18"/>
              </w:rPr>
              <w:t>、</w:t>
            </w:r>
            <w:r>
              <w:rPr>
                <w:rFonts w:hint="eastAsia" w:ascii="宋体" w:hAnsi="宋体" w:cs="宋体"/>
                <w:color w:val="000000"/>
                <w:kern w:val="0"/>
                <w:sz w:val="20"/>
                <w:szCs w:val="20"/>
              </w:rPr>
              <w:t>整体绩效目标实现情况（60分）</w:t>
            </w:r>
          </w:p>
        </w:tc>
      </w:tr>
      <w:tr>
        <w:trPr>
          <w:trHeight w:val="499" w:hRule="atLeast"/>
        </w:trPr>
        <w:tc>
          <w:tcPr>
            <w:tcW w:w="28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300"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39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450"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304"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完成值</w:t>
            </w:r>
          </w:p>
        </w:tc>
        <w:tc>
          <w:tcPr>
            <w:tcW w:w="214"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281" w:type="pct"/>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29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46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trHeight w:val="1738" w:hRule="atLeast"/>
        </w:trPr>
        <w:tc>
          <w:tcPr>
            <w:tcW w:w="288"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整体绩效目标实现情况（60）</w:t>
            </w:r>
          </w:p>
        </w:tc>
        <w:tc>
          <w:tcPr>
            <w:tcW w:w="300" w:type="pct"/>
            <w:vMerge w:val="restart"/>
            <w:tcBorders>
              <w:top w:val="single" w:color="auto" w:sz="4" w:space="0"/>
              <w:left w:val="nil"/>
              <w:right w:val="single" w:color="auto" w:sz="4" w:space="0"/>
            </w:tcBorders>
            <w:vAlign w:val="center"/>
          </w:tcPr>
          <w:p>
            <w:pPr>
              <w:widowControl/>
              <w:jc w:val="center"/>
              <w:rPr>
                <w:rFonts w:ascii="宋体" w:hAnsi="宋体" w:cs="宋体"/>
                <w:color w:val="000000"/>
                <w:kern w:val="0"/>
                <w:sz w:val="20"/>
                <w:szCs w:val="20"/>
              </w:rPr>
            </w:pPr>
          </w:p>
          <w:p>
            <w:pPr>
              <w:jc w:val="center"/>
              <w:rPr>
                <w:rFonts w:ascii="宋体" w:hAnsi="宋体" w:cs="宋体"/>
                <w:color w:val="000000"/>
                <w:kern w:val="0"/>
                <w:sz w:val="20"/>
                <w:szCs w:val="20"/>
              </w:rPr>
            </w:pPr>
            <w:r>
              <w:rPr>
                <w:rFonts w:hint="eastAsia" w:ascii="宋体" w:hAnsi="宋体" w:cs="宋体"/>
                <w:color w:val="000000"/>
                <w:kern w:val="0"/>
                <w:sz w:val="20"/>
                <w:szCs w:val="20"/>
              </w:rPr>
              <w:t>产出（30）</w:t>
            </w:r>
          </w:p>
        </w:tc>
        <w:tc>
          <w:tcPr>
            <w:tcW w:w="39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数量指标</w:t>
            </w:r>
          </w:p>
        </w:tc>
        <w:tc>
          <w:tcPr>
            <w:tcW w:w="450" w:type="pct"/>
            <w:gridSpan w:val="2"/>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宋体" w:hAnsi="宋体" w:cs="宋体"/>
                <w:color w:val="000000"/>
                <w:kern w:val="0"/>
                <w:sz w:val="20"/>
                <w:szCs w:val="20"/>
              </w:rPr>
              <w:t>案件办结数量等业务指标</w:t>
            </w:r>
          </w:p>
        </w:tc>
        <w:tc>
          <w:tcPr>
            <w:tcW w:w="301"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p>
            <w:pPr>
              <w:jc w:val="center"/>
              <w:rPr>
                <w:rFonts w:ascii="宋体" w:hAnsi="宋体" w:cs="宋体"/>
                <w:color w:val="000000"/>
                <w:kern w:val="0"/>
                <w:sz w:val="20"/>
                <w:szCs w:val="20"/>
              </w:rPr>
            </w:pPr>
            <w:r>
              <w:rPr>
                <w:rFonts w:ascii="宋体" w:hAnsi="宋体" w:cs="宋体"/>
                <w:color w:val="000000"/>
                <w:kern w:val="0"/>
                <w:sz w:val="20"/>
                <w:szCs w:val="20"/>
              </w:rPr>
              <w:t>部门产出数量与绩效目标相符</w:t>
            </w:r>
          </w:p>
        </w:tc>
        <w:tc>
          <w:tcPr>
            <w:tcW w:w="216"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p>
            <w:pPr>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281" w:type="pct"/>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0"/>
                <w:szCs w:val="20"/>
              </w:rPr>
            </w:pPr>
          </w:p>
          <w:p>
            <w:pPr>
              <w:jc w:val="center"/>
              <w:rPr>
                <w:rFonts w:ascii="宋体" w:hAnsi="宋体" w:cs="宋体"/>
                <w:color w:val="000000"/>
                <w:kern w:val="0"/>
                <w:sz w:val="20"/>
                <w:szCs w:val="20"/>
              </w:rPr>
            </w:pPr>
            <w:r>
              <w:rPr>
                <w:rFonts w:ascii="宋体" w:hAnsi="宋体" w:cs="宋体"/>
                <w:color w:val="000000"/>
                <w:kern w:val="0"/>
                <w:sz w:val="20"/>
                <w:szCs w:val="20"/>
              </w:rPr>
              <w:t>10</w:t>
            </w:r>
          </w:p>
        </w:tc>
        <w:tc>
          <w:tcPr>
            <w:tcW w:w="1299"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产出数量</w:t>
            </w:r>
            <w:r>
              <w:rPr>
                <w:rFonts w:hint="eastAsia" w:ascii="宋体" w:hAnsi="宋体" w:cs="宋体"/>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color w:val="000000"/>
                <w:kern w:val="0"/>
                <w:sz w:val="18"/>
                <w:szCs w:val="18"/>
              </w:rPr>
              <w:t>产出质量</w:t>
            </w:r>
            <w:r>
              <w:rPr>
                <w:rFonts w:hint="eastAsia" w:ascii="宋体" w:hAnsi="宋体" w:cs="宋体"/>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color w:val="000000"/>
                <w:kern w:val="0"/>
                <w:sz w:val="18"/>
                <w:szCs w:val="18"/>
              </w:rPr>
              <w:t>产出进度：</w:t>
            </w:r>
            <w:r>
              <w:rPr>
                <w:rFonts w:hint="eastAsia" w:ascii="宋体" w:hAnsi="宋体" w:cs="宋体"/>
                <w:color w:val="000000"/>
                <w:kern w:val="0"/>
                <w:sz w:val="18"/>
                <w:szCs w:val="18"/>
              </w:rPr>
              <w:t>按时完成率=（按时完成工作数/实际完成工作数）×100%。按时完成工作数：部门（单位）按照整体绩效目标确定的时限实际完成的工作任务数量。</w:t>
            </w:r>
            <w:r>
              <w:rPr>
                <w:rFonts w:hint="eastAsia" w:ascii="宋体" w:hAnsi="宋体" w:cs="宋体"/>
                <w:b/>
                <w:bCs/>
                <w:color w:val="000000"/>
                <w:kern w:val="0"/>
                <w:sz w:val="18"/>
                <w:szCs w:val="18"/>
              </w:rPr>
              <w:t>产出成本</w:t>
            </w:r>
            <w:r>
              <w:rPr>
                <w:rFonts w:hint="eastAsia" w:ascii="宋体" w:hAnsi="宋体" w:cs="宋体"/>
                <w:color w:val="000000"/>
                <w:kern w:val="0"/>
                <w:sz w:val="18"/>
                <w:szCs w:val="18"/>
              </w:rPr>
              <w:t>：单位产出相对于上一年度的节约额；②单位产出相对于市场同类产出的节约额；③部门公用经费的控制情况。</w:t>
            </w:r>
          </w:p>
        </w:tc>
        <w:tc>
          <w:tcPr>
            <w:tcW w:w="1461"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tblPrEx>
          <w:tblCellMar>
            <w:top w:w="0" w:type="dxa"/>
            <w:left w:w="108" w:type="dxa"/>
            <w:bottom w:w="0" w:type="dxa"/>
            <w:right w:w="108" w:type="dxa"/>
          </w:tblCellMar>
        </w:tblPrEx>
        <w:trPr>
          <w:trHeight w:val="1547" w:hRule="atLeast"/>
        </w:trPr>
        <w:tc>
          <w:tcPr>
            <w:tcW w:w="288"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00" w:type="pct"/>
            <w:vMerge w:val="continue"/>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9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质量指标</w:t>
            </w:r>
          </w:p>
        </w:tc>
        <w:tc>
          <w:tcPr>
            <w:tcW w:w="450"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案件办结率等业务指标</w:t>
            </w:r>
          </w:p>
        </w:tc>
        <w:tc>
          <w:tcPr>
            <w:tcW w:w="301"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基本达到标准，资料需进一步归集整理</w:t>
            </w:r>
          </w:p>
        </w:tc>
        <w:tc>
          <w:tcPr>
            <w:tcW w:w="216" w:type="pct"/>
            <w:gridSpan w:val="2"/>
            <w:tcBorders>
              <w:top w:val="single" w:color="auto" w:sz="4" w:space="0"/>
              <w:left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10</w:t>
            </w:r>
          </w:p>
        </w:tc>
        <w:tc>
          <w:tcPr>
            <w:tcW w:w="281" w:type="pct"/>
            <w:tcBorders>
              <w:top w:val="single" w:color="auto" w:sz="4" w:space="0"/>
              <w:left w:val="nil"/>
              <w:bottom w:val="single" w:color="auto" w:sz="4" w:space="0"/>
              <w:right w:val="nil"/>
            </w:tcBorders>
            <w:noWrap/>
            <w:vAlign w:val="center"/>
          </w:tcPr>
          <w:p>
            <w:pPr>
              <w:jc w:val="center"/>
              <w:rPr>
                <w:rFonts w:ascii="宋体" w:hAnsi="宋体" w:cs="宋体"/>
                <w:color w:val="000000"/>
                <w:kern w:val="0"/>
                <w:sz w:val="20"/>
                <w:szCs w:val="20"/>
              </w:rPr>
            </w:pPr>
            <w:r>
              <w:rPr>
                <w:rFonts w:hint="eastAsia" w:ascii="宋体" w:hAnsi="宋体" w:cs="宋体"/>
                <w:color w:val="000000"/>
                <w:kern w:val="0"/>
                <w:sz w:val="20"/>
                <w:szCs w:val="20"/>
              </w:rPr>
              <w:t>9</w:t>
            </w:r>
          </w:p>
        </w:tc>
        <w:tc>
          <w:tcPr>
            <w:tcW w:w="1299"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461"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rPr>
          <w:trHeight w:val="1512" w:hRule="atLeast"/>
        </w:trPr>
        <w:tc>
          <w:tcPr>
            <w:tcW w:w="288"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00" w:type="pct"/>
            <w:vMerge w:val="continue"/>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98" w:type="pct"/>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进度指标</w:t>
            </w:r>
          </w:p>
        </w:tc>
        <w:tc>
          <w:tcPr>
            <w:tcW w:w="450" w:type="pct"/>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完成全年项目</w:t>
            </w:r>
          </w:p>
        </w:tc>
        <w:tc>
          <w:tcPr>
            <w:tcW w:w="301" w:type="pct"/>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r>
              <w:rPr>
                <w:rFonts w:ascii="宋体" w:hAnsi="宋体" w:cs="宋体"/>
                <w:color w:val="000000"/>
                <w:kern w:val="0"/>
                <w:sz w:val="20"/>
                <w:szCs w:val="20"/>
              </w:rPr>
              <w:t>021</w:t>
            </w:r>
            <w:r>
              <w:rPr>
                <w:rFonts w:hint="eastAsia" w:ascii="宋体" w:hAnsi="宋体" w:cs="宋体"/>
                <w:color w:val="000000"/>
                <w:kern w:val="0"/>
                <w:sz w:val="20"/>
                <w:szCs w:val="20"/>
              </w:rPr>
              <w:t>年全年执行,个别项目结转</w:t>
            </w:r>
          </w:p>
        </w:tc>
        <w:tc>
          <w:tcPr>
            <w:tcW w:w="216" w:type="pct"/>
            <w:gridSpan w:val="2"/>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5</w:t>
            </w:r>
          </w:p>
        </w:tc>
        <w:tc>
          <w:tcPr>
            <w:tcW w:w="281" w:type="pct"/>
            <w:tcBorders>
              <w:top w:val="nil"/>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1299"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461"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rPr>
          <w:trHeight w:val="1692" w:hRule="atLeast"/>
        </w:trPr>
        <w:tc>
          <w:tcPr>
            <w:tcW w:w="288"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00" w:type="pct"/>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98" w:type="pct"/>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成本指标</w:t>
            </w:r>
          </w:p>
        </w:tc>
        <w:tc>
          <w:tcPr>
            <w:tcW w:w="450" w:type="pct"/>
            <w:gridSpan w:val="2"/>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部门预算控制在</w:t>
            </w:r>
          </w:p>
          <w:p>
            <w:pPr>
              <w:widowControl/>
              <w:jc w:val="center"/>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sz w:val="20"/>
                <w:szCs w:val="20"/>
              </w:rPr>
              <w:t>31</w:t>
            </w:r>
            <w:r>
              <w:rPr>
                <w:rFonts w:asciiTheme="minorEastAsia" w:hAnsiTheme="minorEastAsia" w:eastAsiaTheme="minorEastAsia"/>
                <w:color w:val="000000"/>
                <w:sz w:val="20"/>
                <w:szCs w:val="20"/>
              </w:rPr>
              <w:t>,</w:t>
            </w:r>
            <w:r>
              <w:rPr>
                <w:rFonts w:hint="eastAsia" w:asciiTheme="minorEastAsia" w:hAnsiTheme="minorEastAsia" w:eastAsiaTheme="minorEastAsia"/>
                <w:color w:val="000000"/>
                <w:sz w:val="20"/>
                <w:szCs w:val="20"/>
              </w:rPr>
              <w:t>980.02</w:t>
            </w:r>
          </w:p>
          <w:p>
            <w:pPr>
              <w:widowControl/>
              <w:jc w:val="center"/>
              <w:rPr>
                <w:rFonts w:cs="宋体" w:asciiTheme="minorEastAsia" w:hAnsiTheme="minorEastAsia" w:eastAsiaTheme="minorEastAsia"/>
                <w:color w:val="000000"/>
                <w:kern w:val="0"/>
                <w:sz w:val="20"/>
                <w:szCs w:val="20"/>
                <w:highlight w:val="yellow"/>
              </w:rPr>
            </w:pPr>
            <w:r>
              <w:rPr>
                <w:rFonts w:hint="eastAsia" w:cs="宋体" w:asciiTheme="minorEastAsia" w:hAnsiTheme="minorEastAsia" w:eastAsiaTheme="minorEastAsia"/>
                <w:color w:val="000000"/>
                <w:kern w:val="0"/>
                <w:sz w:val="20"/>
                <w:szCs w:val="20"/>
              </w:rPr>
              <w:t>万元内</w:t>
            </w:r>
          </w:p>
        </w:tc>
        <w:tc>
          <w:tcPr>
            <w:tcW w:w="301" w:type="pct"/>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年度预算执行</w:t>
            </w:r>
          </w:p>
          <w:p>
            <w:pPr>
              <w:widowControl/>
              <w:jc w:val="center"/>
              <w:rPr>
                <w:rFonts w:asciiTheme="minorEastAsia" w:hAnsiTheme="minorEastAsia" w:eastAsiaTheme="minorEastAsia"/>
                <w:color w:val="000000"/>
                <w:kern w:val="0"/>
                <w:sz w:val="20"/>
                <w:szCs w:val="20"/>
              </w:rPr>
            </w:pPr>
            <w:r>
              <w:rPr>
                <w:rFonts w:hint="eastAsia" w:asciiTheme="minorEastAsia" w:hAnsiTheme="minorEastAsia" w:eastAsiaTheme="minorEastAsia"/>
                <w:color w:val="000000"/>
                <w:sz w:val="20"/>
                <w:szCs w:val="20"/>
              </w:rPr>
              <w:t>30</w:t>
            </w:r>
            <w:r>
              <w:rPr>
                <w:rFonts w:asciiTheme="minorEastAsia" w:hAnsiTheme="minorEastAsia" w:eastAsiaTheme="minorEastAsia"/>
                <w:color w:val="000000"/>
                <w:sz w:val="20"/>
                <w:szCs w:val="20"/>
              </w:rPr>
              <w:t>,</w:t>
            </w:r>
            <w:r>
              <w:rPr>
                <w:rFonts w:hint="eastAsia" w:asciiTheme="minorEastAsia" w:hAnsiTheme="minorEastAsia" w:eastAsiaTheme="minorEastAsia"/>
                <w:color w:val="000000"/>
                <w:sz w:val="20"/>
                <w:szCs w:val="20"/>
              </w:rPr>
              <w:t>763.20</w:t>
            </w:r>
          </w:p>
          <w:p>
            <w:pPr>
              <w:widowControl/>
              <w:jc w:val="center"/>
              <w:rPr>
                <w:rFonts w:cs="宋体" w:asciiTheme="minorEastAsia" w:hAnsiTheme="minorEastAsia" w:eastAsiaTheme="minorEastAsia"/>
                <w:color w:val="000000"/>
                <w:kern w:val="0"/>
                <w:sz w:val="20"/>
                <w:szCs w:val="20"/>
                <w:highlight w:val="yellow"/>
              </w:rPr>
            </w:pPr>
            <w:r>
              <w:rPr>
                <w:rFonts w:hint="eastAsia" w:cs="宋体" w:asciiTheme="minorEastAsia" w:hAnsiTheme="minorEastAsia" w:eastAsiaTheme="minorEastAsia"/>
                <w:color w:val="000000"/>
                <w:kern w:val="0"/>
                <w:sz w:val="20"/>
                <w:szCs w:val="20"/>
              </w:rPr>
              <w:t>万元</w:t>
            </w:r>
          </w:p>
        </w:tc>
        <w:tc>
          <w:tcPr>
            <w:tcW w:w="216" w:type="pct"/>
            <w:gridSpan w:val="2"/>
            <w:tcBorders>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281" w:type="pct"/>
            <w:tcBorders>
              <w:top w:val="nil"/>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299"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461"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2399" w:hRule="atLeast"/>
        </w:trPr>
        <w:tc>
          <w:tcPr>
            <w:tcW w:w="288"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00"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效果（30）</w:t>
            </w:r>
          </w:p>
        </w:tc>
        <w:tc>
          <w:tcPr>
            <w:tcW w:w="39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社会效益</w:t>
            </w:r>
          </w:p>
        </w:tc>
        <w:tc>
          <w:tcPr>
            <w:tcW w:w="450"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highlight w:val="yellow"/>
              </w:rPr>
            </w:pPr>
            <w:r>
              <w:rPr>
                <w:rFonts w:hint="eastAsia" w:ascii="宋体" w:hAnsi="宋体" w:cs="宋体"/>
                <w:color w:val="000000"/>
                <w:kern w:val="0"/>
                <w:sz w:val="20"/>
                <w:szCs w:val="20"/>
              </w:rPr>
              <w:t>为民服务水平更进一步提升</w:t>
            </w:r>
          </w:p>
        </w:tc>
        <w:tc>
          <w:tcPr>
            <w:tcW w:w="30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基本达到预期目标，资料需进一步归集整理</w:t>
            </w:r>
          </w:p>
        </w:tc>
        <w:tc>
          <w:tcPr>
            <w:tcW w:w="216" w:type="pct"/>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281"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w:t>
            </w:r>
          </w:p>
        </w:tc>
        <w:tc>
          <w:tcPr>
            <w:tcW w:w="1299"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经济效益</w:t>
            </w:r>
            <w:r>
              <w:rPr>
                <w:rFonts w:hint="eastAsia" w:ascii="宋体" w:hAnsi="宋体" w:cs="宋体"/>
                <w:color w:val="000000"/>
                <w:kern w:val="0"/>
                <w:sz w:val="18"/>
                <w:szCs w:val="18"/>
              </w:rPr>
              <w:t>：部门（单位）履行职责对经济发展所带来的直接或间接影响。</w:t>
            </w:r>
            <w:r>
              <w:rPr>
                <w:rFonts w:hint="eastAsia" w:ascii="宋体" w:hAnsi="宋体" w:cs="宋体"/>
                <w:b/>
                <w:bCs/>
                <w:color w:val="000000"/>
                <w:kern w:val="0"/>
                <w:sz w:val="18"/>
                <w:szCs w:val="18"/>
              </w:rPr>
              <w:t>社会效益</w:t>
            </w:r>
            <w:r>
              <w:rPr>
                <w:rFonts w:hint="eastAsia" w:ascii="宋体" w:hAnsi="宋体" w:cs="宋体"/>
                <w:color w:val="000000"/>
                <w:kern w:val="0"/>
                <w:sz w:val="18"/>
                <w:szCs w:val="18"/>
              </w:rPr>
              <w:t>：部门（单位）履行职责对社会发展所带来的直接或间接影响。</w:t>
            </w:r>
            <w:r>
              <w:rPr>
                <w:rFonts w:hint="eastAsia" w:ascii="宋体" w:hAnsi="宋体" w:cs="宋体"/>
                <w:b/>
                <w:bCs/>
                <w:color w:val="000000"/>
                <w:kern w:val="0"/>
                <w:sz w:val="18"/>
                <w:szCs w:val="18"/>
              </w:rPr>
              <w:t>环境效益</w:t>
            </w:r>
            <w:r>
              <w:rPr>
                <w:rFonts w:hint="eastAsia" w:ascii="宋体" w:hAnsi="宋体" w:cs="宋体"/>
                <w:color w:val="000000"/>
                <w:kern w:val="0"/>
                <w:sz w:val="18"/>
                <w:szCs w:val="18"/>
              </w:rPr>
              <w:t>：部门（单位）履行职责对环境所带来的直接或间接影响。</w:t>
            </w:r>
            <w:r>
              <w:rPr>
                <w:rFonts w:hint="eastAsia" w:ascii="宋体" w:hAnsi="宋体" w:cs="宋体"/>
                <w:b/>
                <w:bCs/>
                <w:color w:val="000000"/>
                <w:kern w:val="0"/>
                <w:sz w:val="18"/>
                <w:szCs w:val="18"/>
              </w:rPr>
              <w:t>可持续性影响：</w:t>
            </w:r>
            <w:r>
              <w:rPr>
                <w:rFonts w:hint="eastAsia" w:ascii="宋体" w:hAnsi="宋体" w:cs="宋体"/>
                <w:color w:val="000000"/>
                <w:kern w:val="0"/>
                <w:sz w:val="18"/>
                <w:szCs w:val="18"/>
              </w:rPr>
              <w:t>部门绩效目标实现的长效机制建设情况，部门工作效率提升措施的创新。</w:t>
            </w:r>
            <w:r>
              <w:rPr>
                <w:rFonts w:hint="eastAsia" w:ascii="宋体" w:hAnsi="宋体" w:cs="宋体"/>
                <w:b/>
                <w:bCs/>
                <w:color w:val="000000"/>
                <w:kern w:val="0"/>
                <w:sz w:val="18"/>
                <w:szCs w:val="18"/>
              </w:rPr>
              <w:t>服务对象满意度</w:t>
            </w:r>
            <w:r>
              <w:rPr>
                <w:rFonts w:hint="eastAsia" w:ascii="宋体" w:hAnsi="宋体" w:cs="宋体"/>
                <w:color w:val="000000"/>
                <w:kern w:val="0"/>
                <w:sz w:val="18"/>
                <w:szCs w:val="18"/>
              </w:rPr>
              <w:t>：部门（单位）的服务对象对部门履职效果的满意程度。</w:t>
            </w:r>
          </w:p>
        </w:tc>
        <w:tc>
          <w:tcPr>
            <w:tcW w:w="1461" w:type="pct"/>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部门根据实际情况选择指标进行填写，并将其细化为相应的个性化指标。对于效益类指标可从受益对象瞄准度、受益广度和受益深度上进行设计分析。</w:t>
            </w:r>
          </w:p>
        </w:tc>
      </w:tr>
      <w:tr>
        <w:tblPrEx>
          <w:tblCellMar>
            <w:top w:w="0" w:type="dxa"/>
            <w:left w:w="108" w:type="dxa"/>
            <w:bottom w:w="0" w:type="dxa"/>
            <w:right w:w="108" w:type="dxa"/>
          </w:tblCellMar>
        </w:tblPrEx>
        <w:trPr>
          <w:trHeight w:val="1007" w:hRule="atLeast"/>
        </w:trPr>
        <w:tc>
          <w:tcPr>
            <w:tcW w:w="288"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0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9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环境效益</w:t>
            </w:r>
          </w:p>
        </w:tc>
        <w:tc>
          <w:tcPr>
            <w:tcW w:w="450"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维护首都安全稳定，保障良好环境</w:t>
            </w:r>
          </w:p>
        </w:tc>
        <w:tc>
          <w:tcPr>
            <w:tcW w:w="301"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基本达到预期目标</w:t>
            </w:r>
          </w:p>
        </w:tc>
        <w:tc>
          <w:tcPr>
            <w:tcW w:w="216" w:type="pct"/>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10</w:t>
            </w:r>
          </w:p>
        </w:tc>
        <w:tc>
          <w:tcPr>
            <w:tcW w:w="281" w:type="pct"/>
            <w:tcBorders>
              <w:top w:val="single" w:color="auto" w:sz="4" w:space="0"/>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299"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461"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rPr>
          <w:trHeight w:val="2470" w:hRule="atLeast"/>
        </w:trPr>
        <w:tc>
          <w:tcPr>
            <w:tcW w:w="288"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0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98" w:type="pct"/>
            <w:tcBorders>
              <w:top w:val="nil"/>
              <w:left w:val="nil"/>
              <w:bottom w:val="single" w:color="auto" w:sz="4" w:space="0"/>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可持续性影响</w:t>
            </w:r>
          </w:p>
        </w:tc>
        <w:tc>
          <w:tcPr>
            <w:tcW w:w="450" w:type="pct"/>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用信息化手段，便捷诉讼，更好地服务法官，提高质效</w:t>
            </w:r>
          </w:p>
        </w:tc>
        <w:tc>
          <w:tcPr>
            <w:tcW w:w="301" w:type="pct"/>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基本达到预期目标，资料需进一步归集整理</w:t>
            </w:r>
          </w:p>
        </w:tc>
        <w:tc>
          <w:tcPr>
            <w:tcW w:w="216" w:type="pct"/>
            <w:gridSpan w:val="2"/>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5</w:t>
            </w:r>
          </w:p>
        </w:tc>
        <w:tc>
          <w:tcPr>
            <w:tcW w:w="281" w:type="pct"/>
            <w:tcBorders>
              <w:top w:val="nil"/>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1299"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461"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rPr>
          <w:trHeight w:val="2099" w:hRule="atLeast"/>
        </w:trPr>
        <w:tc>
          <w:tcPr>
            <w:tcW w:w="288"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0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98" w:type="pct"/>
            <w:tcBorders>
              <w:top w:val="nil"/>
              <w:left w:val="nil"/>
              <w:right w:val="single" w:color="auto" w:sz="4" w:space="0"/>
            </w:tcBorders>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服务对象满意程度</w:t>
            </w:r>
          </w:p>
        </w:tc>
        <w:tc>
          <w:tcPr>
            <w:tcW w:w="450" w:type="pct"/>
            <w:gridSpan w:val="2"/>
            <w:tcBorders>
              <w:top w:val="nil"/>
              <w:left w:val="nil"/>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服务对象满意度9</w:t>
            </w:r>
            <w:r>
              <w:rPr>
                <w:rFonts w:ascii="宋体" w:hAnsi="宋体" w:cs="宋体"/>
                <w:color w:val="000000"/>
                <w:kern w:val="0"/>
                <w:sz w:val="20"/>
                <w:szCs w:val="20"/>
              </w:rPr>
              <w:t>0%</w:t>
            </w:r>
            <w:r>
              <w:rPr>
                <w:rFonts w:hint="eastAsia" w:ascii="宋体" w:hAnsi="宋体" w:cs="宋体"/>
                <w:color w:val="000000"/>
                <w:kern w:val="0"/>
                <w:sz w:val="20"/>
                <w:szCs w:val="20"/>
              </w:rPr>
              <w:t>以上</w:t>
            </w:r>
          </w:p>
        </w:tc>
        <w:tc>
          <w:tcPr>
            <w:tcW w:w="301" w:type="pct"/>
            <w:tcBorders>
              <w:top w:val="nil"/>
              <w:left w:val="nil"/>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满意度全面调查需进一步落实</w:t>
            </w:r>
          </w:p>
        </w:tc>
        <w:tc>
          <w:tcPr>
            <w:tcW w:w="216" w:type="pct"/>
            <w:gridSpan w:val="2"/>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5</w:t>
            </w:r>
          </w:p>
        </w:tc>
        <w:tc>
          <w:tcPr>
            <w:tcW w:w="281" w:type="pct"/>
            <w:tcBorders>
              <w:top w:val="nil"/>
              <w:left w:val="nil"/>
              <w:right w:val="nil"/>
            </w:tcBorders>
            <w:noWrap/>
            <w:vAlign w:val="center"/>
          </w:tcPr>
          <w:p>
            <w:pPr>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1299"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461"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99" w:hRule="atLeast"/>
        </w:trPr>
        <w:tc>
          <w:tcPr>
            <w:tcW w:w="5000" w:type="pct"/>
            <w:gridSpan w:val="11"/>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三</w:t>
            </w:r>
            <w:r>
              <w:rPr>
                <w:rFonts w:ascii="宋体" w:hAnsi="宋体" w:cs="宋体"/>
                <w:color w:val="000000"/>
                <w:kern w:val="0"/>
                <w:sz w:val="18"/>
                <w:szCs w:val="18"/>
              </w:rPr>
              <w:t>、</w:t>
            </w:r>
            <w:r>
              <w:rPr>
                <w:rFonts w:hint="eastAsia" w:ascii="宋体" w:hAnsi="宋体" w:cs="宋体"/>
                <w:color w:val="000000"/>
                <w:kern w:val="0"/>
                <w:sz w:val="20"/>
                <w:szCs w:val="20"/>
              </w:rPr>
              <w:t>预算管理情况（20分）</w:t>
            </w:r>
          </w:p>
        </w:tc>
      </w:tr>
      <w:tr>
        <w:tblPrEx>
          <w:tblCellMar>
            <w:top w:w="0" w:type="dxa"/>
            <w:left w:w="108" w:type="dxa"/>
            <w:bottom w:w="0" w:type="dxa"/>
            <w:right w:w="108" w:type="dxa"/>
          </w:tblCellMar>
        </w:tblPrEx>
        <w:trPr>
          <w:trHeight w:val="702" w:hRule="atLeast"/>
        </w:trPr>
        <w:tc>
          <w:tcPr>
            <w:tcW w:w="28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30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p>
        </w:tc>
        <w:tc>
          <w:tcPr>
            <w:tcW w:w="39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p>
        </w:tc>
        <w:tc>
          <w:tcPr>
            <w:tcW w:w="450"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值</w:t>
            </w:r>
          </w:p>
        </w:tc>
        <w:tc>
          <w:tcPr>
            <w:tcW w:w="301"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w:t>
            </w:r>
            <w:r>
              <w:rPr>
                <w:rFonts w:ascii="宋体" w:hAnsi="宋体" w:cs="宋体"/>
                <w:color w:val="000000"/>
                <w:kern w:val="0"/>
                <w:sz w:val="20"/>
                <w:szCs w:val="20"/>
              </w:rPr>
              <w:t>值</w:t>
            </w:r>
          </w:p>
        </w:tc>
        <w:tc>
          <w:tcPr>
            <w:tcW w:w="216" w:type="pct"/>
            <w:gridSpan w:val="2"/>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w:t>
            </w:r>
            <w:r>
              <w:rPr>
                <w:rFonts w:ascii="宋体" w:hAnsi="宋体" w:cs="宋体"/>
                <w:color w:val="000000"/>
                <w:kern w:val="0"/>
                <w:sz w:val="20"/>
                <w:szCs w:val="20"/>
              </w:rPr>
              <w:t>值</w:t>
            </w:r>
          </w:p>
        </w:tc>
        <w:tc>
          <w:tcPr>
            <w:tcW w:w="281" w:type="pct"/>
            <w:tcBorders>
              <w:top w:val="single" w:color="auto" w:sz="4" w:space="0"/>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w:t>
            </w:r>
            <w:r>
              <w:rPr>
                <w:rFonts w:ascii="宋体" w:hAnsi="宋体" w:cs="宋体"/>
                <w:color w:val="000000"/>
                <w:kern w:val="0"/>
                <w:sz w:val="20"/>
                <w:szCs w:val="20"/>
              </w:rPr>
              <w:t>分</w:t>
            </w:r>
          </w:p>
        </w:tc>
        <w:tc>
          <w:tcPr>
            <w:tcW w:w="1299"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461"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rPr>
          <w:trHeight w:val="1230" w:hRule="atLeast"/>
        </w:trPr>
        <w:tc>
          <w:tcPr>
            <w:tcW w:w="288"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预算管理情况（20）</w:t>
            </w:r>
          </w:p>
        </w:tc>
        <w:tc>
          <w:tcPr>
            <w:tcW w:w="300"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财务管理（4）</w:t>
            </w:r>
          </w:p>
        </w:tc>
        <w:tc>
          <w:tcPr>
            <w:tcW w:w="39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财务管理制度健全性</w:t>
            </w:r>
          </w:p>
        </w:tc>
        <w:tc>
          <w:tcPr>
            <w:tcW w:w="450"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财务管理制度健全性　</w:t>
            </w:r>
          </w:p>
        </w:tc>
        <w:tc>
          <w:tcPr>
            <w:tcW w:w="301"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完整　</w:t>
            </w:r>
          </w:p>
        </w:tc>
        <w:tc>
          <w:tcPr>
            <w:tcW w:w="216" w:type="pct"/>
            <w:gridSpan w:val="2"/>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281" w:type="pct"/>
            <w:tcBorders>
              <w:top w:val="single" w:color="auto" w:sz="4" w:space="0"/>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1</w:t>
            </w:r>
          </w:p>
        </w:tc>
        <w:tc>
          <w:tcPr>
            <w:tcW w:w="1299"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财务管理制度健全性:</w:t>
            </w:r>
            <w:r>
              <w:rPr>
                <w:rFonts w:hint="eastAsia" w:ascii="宋体" w:hAnsi="宋体" w:cs="宋体"/>
                <w:color w:val="000000"/>
                <w:kern w:val="0"/>
                <w:sz w:val="18"/>
                <w:szCs w:val="18"/>
              </w:rPr>
              <w:t>部门（单位）为加强财务管理、规范财务行为而制定的管理制度。</w:t>
            </w:r>
          </w:p>
        </w:tc>
        <w:tc>
          <w:tcPr>
            <w:tcW w:w="1461" w:type="pct"/>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trPr>
          <w:trHeight w:val="444" w:hRule="atLeast"/>
        </w:trPr>
        <w:tc>
          <w:tcPr>
            <w:tcW w:w="288" w:type="pct"/>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00"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9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资金使用合规性和安全性</w:t>
            </w:r>
          </w:p>
        </w:tc>
        <w:tc>
          <w:tcPr>
            <w:tcW w:w="450"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资金使用合规性和安全性　</w:t>
            </w:r>
          </w:p>
        </w:tc>
        <w:tc>
          <w:tcPr>
            <w:tcW w:w="301"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规范　</w:t>
            </w:r>
          </w:p>
        </w:tc>
        <w:tc>
          <w:tcPr>
            <w:tcW w:w="216" w:type="pct"/>
            <w:gridSpan w:val="2"/>
            <w:tcBorders>
              <w:top w:val="single" w:color="auto" w:sz="4" w:space="0"/>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281" w:type="pct"/>
            <w:tcBorders>
              <w:top w:val="single" w:color="auto" w:sz="4" w:space="0"/>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1299"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资金使用合规性和安全性:</w:t>
            </w:r>
            <w:r>
              <w:rPr>
                <w:rFonts w:hint="eastAsia" w:ascii="宋体" w:hAnsi="宋体" w:cs="宋体"/>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461" w:type="pct"/>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CellMar>
            <w:top w:w="0" w:type="dxa"/>
            <w:left w:w="108" w:type="dxa"/>
            <w:bottom w:w="0" w:type="dxa"/>
            <w:right w:w="108" w:type="dxa"/>
          </w:tblCellMar>
        </w:tblPrEx>
        <w:trPr>
          <w:trHeight w:val="1035" w:hRule="atLeast"/>
        </w:trPr>
        <w:tc>
          <w:tcPr>
            <w:tcW w:w="288"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00" w:type="pct"/>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98" w:type="pct"/>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会计基础信息完善性</w:t>
            </w:r>
          </w:p>
        </w:tc>
        <w:tc>
          <w:tcPr>
            <w:tcW w:w="450" w:type="pct"/>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会计基础信息真实、完整、准确　</w:t>
            </w:r>
          </w:p>
        </w:tc>
        <w:tc>
          <w:tcPr>
            <w:tcW w:w="301" w:type="pct"/>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规范　</w:t>
            </w:r>
          </w:p>
        </w:tc>
        <w:tc>
          <w:tcPr>
            <w:tcW w:w="216" w:type="pct"/>
            <w:gridSpan w:val="2"/>
            <w:tcBorders>
              <w:top w:val="nil"/>
              <w:left w:val="nil"/>
              <w:bottom w:val="single" w:color="auto" w:sz="4" w:space="0"/>
              <w:right w:val="single" w:color="auto" w:sz="4" w:space="0"/>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281" w:type="pct"/>
            <w:tcBorders>
              <w:top w:val="nil"/>
              <w:left w:val="nil"/>
              <w:bottom w:val="single" w:color="auto" w:sz="4" w:space="0"/>
              <w:right w:val="nil"/>
            </w:tcBorders>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1299" w:type="pct"/>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会计基础信息完善性:</w:t>
            </w:r>
            <w:r>
              <w:rPr>
                <w:rFonts w:hint="eastAsia" w:ascii="宋体" w:hAnsi="宋体" w:cs="宋体"/>
                <w:color w:val="000000"/>
                <w:kern w:val="0"/>
                <w:sz w:val="18"/>
                <w:szCs w:val="18"/>
              </w:rPr>
              <w:t>部门（单位）会计基础信息情况。</w:t>
            </w:r>
          </w:p>
        </w:tc>
        <w:tc>
          <w:tcPr>
            <w:tcW w:w="1461" w:type="pct"/>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tblPrEx>
          <w:tblCellMar>
            <w:top w:w="0" w:type="dxa"/>
            <w:left w:w="108" w:type="dxa"/>
            <w:bottom w:w="0" w:type="dxa"/>
            <w:right w:w="108" w:type="dxa"/>
          </w:tblCellMar>
        </w:tblPrEx>
        <w:trPr>
          <w:trHeight w:val="2220" w:hRule="atLeast"/>
        </w:trPr>
        <w:tc>
          <w:tcPr>
            <w:tcW w:w="288"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00"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资产管理（4）</w:t>
            </w:r>
          </w:p>
        </w:tc>
        <w:tc>
          <w:tcPr>
            <w:tcW w:w="398"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资产管理规范性</w:t>
            </w:r>
          </w:p>
        </w:tc>
        <w:tc>
          <w:tcPr>
            <w:tcW w:w="450"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资产制度健全，管理规范</w:t>
            </w:r>
          </w:p>
        </w:tc>
        <w:tc>
          <w:tcPr>
            <w:tcW w:w="30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规范</w:t>
            </w:r>
          </w:p>
        </w:tc>
        <w:tc>
          <w:tcPr>
            <w:tcW w:w="216"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281" w:type="pc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1299"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资产管理规范性:</w:t>
            </w:r>
            <w:r>
              <w:rPr>
                <w:rFonts w:hint="eastAsia" w:ascii="宋体" w:hAnsi="宋体" w:cs="宋体"/>
                <w:color w:val="000000"/>
                <w:kern w:val="0"/>
                <w:sz w:val="18"/>
                <w:szCs w:val="18"/>
              </w:rPr>
              <w:t>部门（单位）的资产是否保持安全完整，资产配置是否合理，资产使用和资产处理是否规范，用以反映和考核部门（单位）资产管理的整体水平。</w:t>
            </w:r>
          </w:p>
        </w:tc>
        <w:tc>
          <w:tcPr>
            <w:tcW w:w="1461"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rPr>
          <w:trHeight w:val="1750" w:hRule="atLeast"/>
        </w:trPr>
        <w:tc>
          <w:tcPr>
            <w:tcW w:w="288"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00"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绩效管理（4）</w:t>
            </w:r>
          </w:p>
        </w:tc>
        <w:tc>
          <w:tcPr>
            <w:tcW w:w="398"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绩效管理情况</w:t>
            </w:r>
          </w:p>
        </w:tc>
        <w:tc>
          <w:tcPr>
            <w:tcW w:w="450"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绩效管理规范，未发生目标偏离</w:t>
            </w:r>
          </w:p>
        </w:tc>
        <w:tc>
          <w:tcPr>
            <w:tcW w:w="301" w:type="pc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基本规范，目标设定上需进一步合理、细化</w:t>
            </w:r>
          </w:p>
        </w:tc>
        <w:tc>
          <w:tcPr>
            <w:tcW w:w="216" w:type="pct"/>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281" w:type="pct"/>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1299"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绩效管理情况:</w:t>
            </w:r>
            <w:r>
              <w:rPr>
                <w:rFonts w:hint="eastAsia" w:ascii="宋体" w:hAnsi="宋体" w:cs="宋体"/>
                <w:color w:val="000000"/>
                <w:kern w:val="0"/>
                <w:sz w:val="18"/>
                <w:szCs w:val="18"/>
              </w:rPr>
              <w:t>考核部门（单位）在绩效管理信息的汇总和应用情况。</w:t>
            </w:r>
          </w:p>
        </w:tc>
        <w:tc>
          <w:tcPr>
            <w:tcW w:w="1461" w:type="pct"/>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①部门（单位）是否及时对绩效信息进行汇总分析整理；②部门（单位）是否对绩效目标偏离情况及时进行矫正。每有一项不合格扣2分。</w:t>
            </w:r>
          </w:p>
        </w:tc>
      </w:tr>
      <w:tr>
        <w:trPr>
          <w:trHeight w:val="1365" w:hRule="atLeast"/>
        </w:trPr>
        <w:tc>
          <w:tcPr>
            <w:tcW w:w="288"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00" w:type="pct"/>
            <w:tcBorders>
              <w:top w:val="nil"/>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结转结余率（4）</w:t>
            </w:r>
          </w:p>
        </w:tc>
        <w:tc>
          <w:tcPr>
            <w:tcW w:w="849" w:type="pct"/>
            <w:gridSpan w:val="3"/>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13.89%</w:t>
            </w:r>
          </w:p>
        </w:tc>
        <w:tc>
          <w:tcPr>
            <w:tcW w:w="301" w:type="pct"/>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3.</w:t>
            </w:r>
            <w:r>
              <w:rPr>
                <w:rFonts w:hint="eastAsia" w:ascii="宋体" w:hAnsi="宋体" w:cs="宋体"/>
                <w:color w:val="000000"/>
                <w:kern w:val="0"/>
                <w:sz w:val="20"/>
                <w:szCs w:val="20"/>
              </w:rPr>
              <w:t>80</w:t>
            </w:r>
            <w:r>
              <w:rPr>
                <w:rFonts w:ascii="宋体" w:hAnsi="宋体" w:cs="宋体"/>
                <w:color w:val="000000"/>
                <w:kern w:val="0"/>
                <w:sz w:val="20"/>
                <w:szCs w:val="20"/>
              </w:rPr>
              <w:t>%</w:t>
            </w:r>
          </w:p>
        </w:tc>
        <w:tc>
          <w:tcPr>
            <w:tcW w:w="216" w:type="pct"/>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281" w:type="pct"/>
            <w:tcBorders>
              <w:top w:val="nil"/>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　</w:t>
            </w:r>
          </w:p>
        </w:tc>
        <w:tc>
          <w:tcPr>
            <w:tcW w:w="1299" w:type="pc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结转结余率=结转结余总额/支出预算数×100%。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结转结余总额：部门（单位）本年度的结转资金与结余资金之和。</w:t>
            </w:r>
          </w:p>
        </w:tc>
        <w:tc>
          <w:tcPr>
            <w:tcW w:w="1461" w:type="pct"/>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CellMar>
            <w:top w:w="0" w:type="dxa"/>
            <w:left w:w="108" w:type="dxa"/>
            <w:bottom w:w="0" w:type="dxa"/>
            <w:right w:w="108" w:type="dxa"/>
          </w:tblCellMar>
        </w:tblPrEx>
        <w:trPr>
          <w:trHeight w:val="90" w:hRule="atLeast"/>
        </w:trPr>
        <w:tc>
          <w:tcPr>
            <w:tcW w:w="288" w:type="pct"/>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300" w:type="pct"/>
            <w:tcBorders>
              <w:top w:val="nil"/>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部门预决算差异率（4）</w:t>
            </w:r>
          </w:p>
        </w:tc>
        <w:tc>
          <w:tcPr>
            <w:tcW w:w="849" w:type="pct"/>
            <w:gridSpan w:val="3"/>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301" w:type="pct"/>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1.42%</w:t>
            </w:r>
          </w:p>
        </w:tc>
        <w:tc>
          <w:tcPr>
            <w:tcW w:w="216" w:type="pct"/>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281" w:type="pct"/>
            <w:tcBorders>
              <w:top w:val="nil"/>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　</w:t>
            </w:r>
          </w:p>
        </w:tc>
        <w:tc>
          <w:tcPr>
            <w:tcW w:w="1299" w:type="pct"/>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通过年度部门决算与年初部门预算对比，对部门的年度支出情况进行考核，衡量部门预算的约束力。</w:t>
            </w:r>
          </w:p>
        </w:tc>
        <w:tc>
          <w:tcPr>
            <w:tcW w:w="1461" w:type="pct"/>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部门预决算差异率高于市级平均差异率（28.3%）的，每高出10%（含），扣0.4分，扣完为止。</w:t>
            </w:r>
          </w:p>
        </w:tc>
      </w:tr>
      <w:tr>
        <w:tblPrEx>
          <w:tblCellMar>
            <w:top w:w="0" w:type="dxa"/>
            <w:left w:w="108" w:type="dxa"/>
            <w:bottom w:w="0" w:type="dxa"/>
            <w:right w:w="108" w:type="dxa"/>
          </w:tblCellMar>
        </w:tblPrEx>
        <w:trPr>
          <w:trHeight w:val="404" w:hRule="atLeast"/>
        </w:trPr>
        <w:tc>
          <w:tcPr>
            <w:tcW w:w="1740" w:type="pct"/>
            <w:gridSpan w:val="6"/>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216" w:type="pct"/>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81" w:type="pct"/>
            <w:tcBorders>
              <w:top w:val="nil"/>
              <w:left w:val="nil"/>
              <w:bottom w:val="single" w:color="auto" w:sz="4" w:space="0"/>
              <w:right w:val="nil"/>
            </w:tcBorders>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9</w:t>
            </w:r>
            <w:r>
              <w:rPr>
                <w:rFonts w:hint="eastAsia" w:ascii="宋体" w:hAnsi="宋体" w:cs="宋体"/>
                <w:color w:val="000000"/>
                <w:kern w:val="0"/>
                <w:sz w:val="20"/>
                <w:szCs w:val="20"/>
              </w:rPr>
              <w:t>2.23</w:t>
            </w:r>
          </w:p>
        </w:tc>
        <w:tc>
          <w:tcPr>
            <w:tcW w:w="2761" w:type="pct"/>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bl>
    <w:p/>
    <w:sectPr>
      <w:pgSz w:w="16838" w:h="11906" w:orient="landscape"/>
      <w:pgMar w:top="1797" w:right="1440" w:bottom="1797" w:left="144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9" w:usb3="00000000" w:csb0="200001FF" w:csb1="00000000"/>
  </w:font>
  <w:font w:name="Microsoft YaHei UI">
    <w:altName w:val="Droid Sans Fallback"/>
    <w:panose1 w:val="020B0503020204020204"/>
    <w:charset w:val="86"/>
    <w:family w:val="swiss"/>
    <w:pitch w:val="default"/>
    <w:sig w:usb0="00000000" w:usb1="00000000" w:usb2="00000016" w:usb3="00000000" w:csb0="0004001F" w:csb1="00000000"/>
  </w:font>
  <w:font w:name="Tahoma">
    <w:altName w:val="DejaVu Sans"/>
    <w:panose1 w:val="020B0604030504040204"/>
    <w:charset w:val="00"/>
    <w:family w:val="swiss"/>
    <w:pitch w:val="default"/>
    <w:sig w:usb0="00000000" w:usb1="00000000" w:usb2="00000029" w:usb3="00000000" w:csb0="200101FF" w:csb1="2028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楷体_GB2312">
    <w:altName w:val="方正楷体_GBK"/>
    <w:panose1 w:val="00000000000000000000"/>
    <w:charset w:val="86"/>
    <w:family w:val="modern"/>
    <w:pitch w:val="default"/>
    <w:sig w:usb0="00000000" w:usb1="00000000" w:usb2="00000010" w:usb3="00000000" w:csb0="00040000" w:csb1="00000000"/>
  </w:font>
  <w:font w:name="宋体-简">
    <w:altName w:val="方正书宋_GBK"/>
    <w:panose1 w:val="00000000000000000000"/>
    <w:charset w:val="86"/>
    <w:family w:val="auto"/>
    <w:pitch w:val="default"/>
    <w:sig w:usb0="00000000" w:usb1="00000000" w:usb2="00000010" w:usb3="00000000" w:csb0="0004009F" w:csb1="00000000"/>
  </w:font>
  <w:font w:name="Songti SC">
    <w:altName w:val="方正细黑一_GBK"/>
    <w:panose1 w:val="00000000000000000000"/>
    <w:charset w:val="86"/>
    <w:family w:val="auto"/>
    <w:pitch w:val="default"/>
    <w:sig w:usb0="00000000" w:usb1="00000000" w:usb2="00000010" w:usb3="00000000" w:csb0="00040000" w:csb1="00000000"/>
  </w:font>
  <w:font w:name="Times">
    <w:altName w:val="DejaVu Sans"/>
    <w:panose1 w:val="02020603050405020304"/>
    <w:charset w:val="00"/>
    <w:family w:val="auto"/>
    <w:pitch w:val="default"/>
    <w:sig w:usb0="00000000" w:usb1="00000000" w:usb2="00000000"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Arial">
    <w:altName w:val="DejaVu Sans"/>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roid Sans Fallback">
    <w:panose1 w:val="020B0502000000000001"/>
    <w:charset w:val="86"/>
    <w:family w:val="auto"/>
    <w:pitch w:val="default"/>
    <w:sig w:usb0="910002FF" w:usb1="2BDFFCFB" w:usb2="00000036" w:usb3="00000000" w:csb0="203F01FF"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13 -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F26z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S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gF26zFQIAABkEAAAOAAAAAAAAAAEAIAAAADUBAABkcnMvZTJvRG9jLnhtbFBLBQYAAAAABgAG&#10;AFkBAAC8BQAAAAA=&#10;">
              <v:fill on="f" focussize="0,0"/>
              <v:stroke on="f" weight="0.5pt"/>
              <v:imagedata o:title=""/>
              <o:lock v:ext="edit" aspectratio="f"/>
              <v:textbox inset="0mm,0mm,0mm,0mm" style="mso-fit-shape-to-text:t;">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13 -</w:t>
                    </w:r>
                    <w:r>
                      <w:rPr>
                        <w:rFonts w:ascii="宋体" w:hAnsi="宋体"/>
                        <w:sz w:val="28"/>
                        <w:szCs w:val="28"/>
                      </w:rPr>
                      <w:fldChar w:fldCharType="end"/>
                    </w:r>
                  </w:p>
                </w:txbxContent>
              </v:textbox>
            </v:shape>
          </w:pict>
        </mc:Fallback>
      </mc:AlternateContent>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dkOTQ4Mzk3MTUxZGYxOTgzN2M1NGY2NjNkMDExMGMifQ=="/>
  </w:docVars>
  <w:rsids>
    <w:rsidRoot w:val="50B81F77"/>
    <w:rsid w:val="00030ED6"/>
    <w:rsid w:val="000343D5"/>
    <w:rsid w:val="00044A91"/>
    <w:rsid w:val="0004743B"/>
    <w:rsid w:val="00061132"/>
    <w:rsid w:val="00077C5F"/>
    <w:rsid w:val="00080E50"/>
    <w:rsid w:val="000A05CA"/>
    <w:rsid w:val="000C13B2"/>
    <w:rsid w:val="000E4497"/>
    <w:rsid w:val="0010059C"/>
    <w:rsid w:val="00111710"/>
    <w:rsid w:val="0012400B"/>
    <w:rsid w:val="001345FE"/>
    <w:rsid w:val="00143F5C"/>
    <w:rsid w:val="00154105"/>
    <w:rsid w:val="00160DDD"/>
    <w:rsid w:val="00186BD4"/>
    <w:rsid w:val="001A465F"/>
    <w:rsid w:val="001A62D1"/>
    <w:rsid w:val="001C5ADC"/>
    <w:rsid w:val="001E640D"/>
    <w:rsid w:val="00212B44"/>
    <w:rsid w:val="00223E70"/>
    <w:rsid w:val="0023203C"/>
    <w:rsid w:val="00235A38"/>
    <w:rsid w:val="00240CEB"/>
    <w:rsid w:val="00246DE0"/>
    <w:rsid w:val="00250534"/>
    <w:rsid w:val="002551EF"/>
    <w:rsid w:val="00265291"/>
    <w:rsid w:val="00276E7E"/>
    <w:rsid w:val="00277C61"/>
    <w:rsid w:val="002857DF"/>
    <w:rsid w:val="0029611F"/>
    <w:rsid w:val="00296865"/>
    <w:rsid w:val="002B0E76"/>
    <w:rsid w:val="002B30C1"/>
    <w:rsid w:val="002B6C59"/>
    <w:rsid w:val="002C47FD"/>
    <w:rsid w:val="002D211B"/>
    <w:rsid w:val="002F5126"/>
    <w:rsid w:val="002F56EF"/>
    <w:rsid w:val="003017E1"/>
    <w:rsid w:val="00301AB4"/>
    <w:rsid w:val="00310E73"/>
    <w:rsid w:val="003300EC"/>
    <w:rsid w:val="00335D08"/>
    <w:rsid w:val="00336085"/>
    <w:rsid w:val="003402C1"/>
    <w:rsid w:val="00347A0C"/>
    <w:rsid w:val="00355D6F"/>
    <w:rsid w:val="00381B55"/>
    <w:rsid w:val="00383BF6"/>
    <w:rsid w:val="0039116C"/>
    <w:rsid w:val="00397C2B"/>
    <w:rsid w:val="003B0647"/>
    <w:rsid w:val="003B36B0"/>
    <w:rsid w:val="003C105A"/>
    <w:rsid w:val="003C6B7D"/>
    <w:rsid w:val="003D7E32"/>
    <w:rsid w:val="00447205"/>
    <w:rsid w:val="00470191"/>
    <w:rsid w:val="00492CF4"/>
    <w:rsid w:val="00497A23"/>
    <w:rsid w:val="004A28B4"/>
    <w:rsid w:val="004B0BD6"/>
    <w:rsid w:val="004E1638"/>
    <w:rsid w:val="004F1DBD"/>
    <w:rsid w:val="00501B68"/>
    <w:rsid w:val="00541766"/>
    <w:rsid w:val="00542CA9"/>
    <w:rsid w:val="005474A1"/>
    <w:rsid w:val="00551F06"/>
    <w:rsid w:val="005632CB"/>
    <w:rsid w:val="00576B23"/>
    <w:rsid w:val="00580298"/>
    <w:rsid w:val="005C5D50"/>
    <w:rsid w:val="005C6962"/>
    <w:rsid w:val="005D12E6"/>
    <w:rsid w:val="005D574C"/>
    <w:rsid w:val="005F06CD"/>
    <w:rsid w:val="0060457D"/>
    <w:rsid w:val="00604A2A"/>
    <w:rsid w:val="00606501"/>
    <w:rsid w:val="006245BC"/>
    <w:rsid w:val="006254F2"/>
    <w:rsid w:val="0063681A"/>
    <w:rsid w:val="00660D62"/>
    <w:rsid w:val="0066139A"/>
    <w:rsid w:val="00662D49"/>
    <w:rsid w:val="00665CAB"/>
    <w:rsid w:val="0068077E"/>
    <w:rsid w:val="00685F43"/>
    <w:rsid w:val="00686FEA"/>
    <w:rsid w:val="006B2E74"/>
    <w:rsid w:val="006B5F42"/>
    <w:rsid w:val="006C4FE3"/>
    <w:rsid w:val="006D711A"/>
    <w:rsid w:val="006F246B"/>
    <w:rsid w:val="00706E0A"/>
    <w:rsid w:val="00707B7F"/>
    <w:rsid w:val="00725B50"/>
    <w:rsid w:val="00725CD3"/>
    <w:rsid w:val="00766626"/>
    <w:rsid w:val="0077196A"/>
    <w:rsid w:val="00773110"/>
    <w:rsid w:val="00780826"/>
    <w:rsid w:val="007B6D31"/>
    <w:rsid w:val="007C0D44"/>
    <w:rsid w:val="007D0DC9"/>
    <w:rsid w:val="00806527"/>
    <w:rsid w:val="008320C3"/>
    <w:rsid w:val="00852FF7"/>
    <w:rsid w:val="00854D8F"/>
    <w:rsid w:val="008667E2"/>
    <w:rsid w:val="00873AD1"/>
    <w:rsid w:val="00880226"/>
    <w:rsid w:val="008818C8"/>
    <w:rsid w:val="00886274"/>
    <w:rsid w:val="00891324"/>
    <w:rsid w:val="008914FB"/>
    <w:rsid w:val="008E5090"/>
    <w:rsid w:val="008F4322"/>
    <w:rsid w:val="00912584"/>
    <w:rsid w:val="0093165B"/>
    <w:rsid w:val="009508BF"/>
    <w:rsid w:val="009540AC"/>
    <w:rsid w:val="00963297"/>
    <w:rsid w:val="00965706"/>
    <w:rsid w:val="00965889"/>
    <w:rsid w:val="009677AC"/>
    <w:rsid w:val="009722DD"/>
    <w:rsid w:val="00990030"/>
    <w:rsid w:val="009A0B43"/>
    <w:rsid w:val="009A59E8"/>
    <w:rsid w:val="009D1989"/>
    <w:rsid w:val="00A11687"/>
    <w:rsid w:val="00A24423"/>
    <w:rsid w:val="00A276E1"/>
    <w:rsid w:val="00A3204B"/>
    <w:rsid w:val="00A37561"/>
    <w:rsid w:val="00A5786B"/>
    <w:rsid w:val="00A7016B"/>
    <w:rsid w:val="00A96017"/>
    <w:rsid w:val="00AA18CE"/>
    <w:rsid w:val="00AB4557"/>
    <w:rsid w:val="00AB59E0"/>
    <w:rsid w:val="00AC4B34"/>
    <w:rsid w:val="00B0531A"/>
    <w:rsid w:val="00B05BF4"/>
    <w:rsid w:val="00B22E82"/>
    <w:rsid w:val="00B36E25"/>
    <w:rsid w:val="00BA03AB"/>
    <w:rsid w:val="00BA3AED"/>
    <w:rsid w:val="00BA5ADD"/>
    <w:rsid w:val="00BC3850"/>
    <w:rsid w:val="00BD02BB"/>
    <w:rsid w:val="00BD08B4"/>
    <w:rsid w:val="00BD288D"/>
    <w:rsid w:val="00BD28AD"/>
    <w:rsid w:val="00BD3100"/>
    <w:rsid w:val="00BD679B"/>
    <w:rsid w:val="00BD77CD"/>
    <w:rsid w:val="00BE1357"/>
    <w:rsid w:val="00BE176D"/>
    <w:rsid w:val="00BE2F97"/>
    <w:rsid w:val="00C21492"/>
    <w:rsid w:val="00C264B0"/>
    <w:rsid w:val="00C357F4"/>
    <w:rsid w:val="00C42FBC"/>
    <w:rsid w:val="00C4744F"/>
    <w:rsid w:val="00C50E07"/>
    <w:rsid w:val="00C530A4"/>
    <w:rsid w:val="00CA5FFD"/>
    <w:rsid w:val="00CB1CC6"/>
    <w:rsid w:val="00CD4643"/>
    <w:rsid w:val="00CF522A"/>
    <w:rsid w:val="00CF7CCE"/>
    <w:rsid w:val="00D056B5"/>
    <w:rsid w:val="00D05BB1"/>
    <w:rsid w:val="00D207A2"/>
    <w:rsid w:val="00D3579B"/>
    <w:rsid w:val="00D43603"/>
    <w:rsid w:val="00D71563"/>
    <w:rsid w:val="00D71955"/>
    <w:rsid w:val="00DD7A91"/>
    <w:rsid w:val="00E22C82"/>
    <w:rsid w:val="00E4223E"/>
    <w:rsid w:val="00E43A75"/>
    <w:rsid w:val="00E46E12"/>
    <w:rsid w:val="00E472E8"/>
    <w:rsid w:val="00E63AE8"/>
    <w:rsid w:val="00E64FC2"/>
    <w:rsid w:val="00E7367E"/>
    <w:rsid w:val="00E8478F"/>
    <w:rsid w:val="00EB715A"/>
    <w:rsid w:val="00EB742C"/>
    <w:rsid w:val="00EC4ACD"/>
    <w:rsid w:val="00EF1558"/>
    <w:rsid w:val="00F159AB"/>
    <w:rsid w:val="00F16FE5"/>
    <w:rsid w:val="00F201C2"/>
    <w:rsid w:val="00F22548"/>
    <w:rsid w:val="00F23CDC"/>
    <w:rsid w:val="00F34246"/>
    <w:rsid w:val="00F51FA0"/>
    <w:rsid w:val="00F615FB"/>
    <w:rsid w:val="00F75FE5"/>
    <w:rsid w:val="00FB55E9"/>
    <w:rsid w:val="00FB5CF8"/>
    <w:rsid w:val="00FE4AA5"/>
    <w:rsid w:val="00FE4D16"/>
    <w:rsid w:val="00FF124B"/>
    <w:rsid w:val="05EC7475"/>
    <w:rsid w:val="060B7F37"/>
    <w:rsid w:val="0A5A2327"/>
    <w:rsid w:val="0D984ECC"/>
    <w:rsid w:val="0E664144"/>
    <w:rsid w:val="0F625791"/>
    <w:rsid w:val="10AF2C82"/>
    <w:rsid w:val="124F1731"/>
    <w:rsid w:val="154664F3"/>
    <w:rsid w:val="1A80726F"/>
    <w:rsid w:val="1AF556BF"/>
    <w:rsid w:val="1CBA0FA6"/>
    <w:rsid w:val="1E2F3A12"/>
    <w:rsid w:val="1E8B615F"/>
    <w:rsid w:val="1F926C26"/>
    <w:rsid w:val="217575A6"/>
    <w:rsid w:val="21C3177B"/>
    <w:rsid w:val="238E08FB"/>
    <w:rsid w:val="27F61BDD"/>
    <w:rsid w:val="2831762D"/>
    <w:rsid w:val="28453634"/>
    <w:rsid w:val="2AC209B3"/>
    <w:rsid w:val="2D113431"/>
    <w:rsid w:val="31834526"/>
    <w:rsid w:val="31963EAA"/>
    <w:rsid w:val="31CF41A3"/>
    <w:rsid w:val="35901861"/>
    <w:rsid w:val="36F54FB9"/>
    <w:rsid w:val="36FD1717"/>
    <w:rsid w:val="39783C80"/>
    <w:rsid w:val="3C0276E9"/>
    <w:rsid w:val="3D260FCF"/>
    <w:rsid w:val="3DD671C7"/>
    <w:rsid w:val="3E033D2A"/>
    <w:rsid w:val="42A35D7B"/>
    <w:rsid w:val="44AB315B"/>
    <w:rsid w:val="46D2B6CD"/>
    <w:rsid w:val="471D19C3"/>
    <w:rsid w:val="482164EA"/>
    <w:rsid w:val="4BCE0684"/>
    <w:rsid w:val="4C7B3413"/>
    <w:rsid w:val="4C96280B"/>
    <w:rsid w:val="4F275BC9"/>
    <w:rsid w:val="4F646CD3"/>
    <w:rsid w:val="507C59AC"/>
    <w:rsid w:val="50B81F77"/>
    <w:rsid w:val="51764AF1"/>
    <w:rsid w:val="55BF2F37"/>
    <w:rsid w:val="56104CB4"/>
    <w:rsid w:val="56ED5DEA"/>
    <w:rsid w:val="57172DEE"/>
    <w:rsid w:val="57EE37CB"/>
    <w:rsid w:val="585A08DF"/>
    <w:rsid w:val="58C01A84"/>
    <w:rsid w:val="5BF368EE"/>
    <w:rsid w:val="5D0E787F"/>
    <w:rsid w:val="5EFB5D72"/>
    <w:rsid w:val="606F72DB"/>
    <w:rsid w:val="60A307F7"/>
    <w:rsid w:val="6200468F"/>
    <w:rsid w:val="67AD6173"/>
    <w:rsid w:val="683D7436"/>
    <w:rsid w:val="6AA5221E"/>
    <w:rsid w:val="723F7B27"/>
    <w:rsid w:val="730A75B3"/>
    <w:rsid w:val="755157DC"/>
    <w:rsid w:val="7A115F63"/>
    <w:rsid w:val="7A7A3098"/>
    <w:rsid w:val="7CC77E2B"/>
    <w:rsid w:val="7F890545"/>
    <w:rsid w:val="7FDFA447"/>
    <w:rsid w:val="EFBF27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12"/>
    <w:qFormat/>
    <w:uiPriority w:val="0"/>
    <w:rPr>
      <w:rFonts w:ascii="Microsoft YaHei UI" w:eastAsia="Microsoft YaHei UI"/>
      <w:sz w:val="18"/>
      <w:szCs w:val="18"/>
    </w:r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spacing w:beforeAutospacing="1" w:afterAutospacing="1"/>
      <w:jc w:val="left"/>
    </w:pPr>
    <w:rPr>
      <w:kern w:val="0"/>
      <w:sz w:val="24"/>
    </w:rPr>
  </w:style>
  <w:style w:type="character" w:styleId="9">
    <w:name w:val="Emphasis"/>
    <w:basedOn w:val="8"/>
    <w:qFormat/>
    <w:uiPriority w:val="20"/>
    <w:rPr>
      <w:i/>
      <w:iCs/>
    </w:rPr>
  </w:style>
  <w:style w:type="character" w:customStyle="1" w:styleId="10">
    <w:name w:val="页眉 字符"/>
    <w:basedOn w:val="8"/>
    <w:link w:val="5"/>
    <w:qFormat/>
    <w:uiPriority w:val="0"/>
    <w:rPr>
      <w:rFonts w:ascii="Times New Roman" w:hAnsi="Times New Roman" w:eastAsia="宋体" w:cs="Times New Roman"/>
      <w:kern w:val="2"/>
      <w:sz w:val="18"/>
      <w:szCs w:val="18"/>
    </w:rPr>
  </w:style>
  <w:style w:type="paragraph" w:customStyle="1" w:styleId="11">
    <w:name w:val="Char1 Char Char Char Char Char Char Char Char Char"/>
    <w:basedOn w:val="3"/>
    <w:qFormat/>
    <w:uiPriority w:val="0"/>
    <w:pPr>
      <w:shd w:val="clear" w:color="auto" w:fill="000080"/>
      <w:adjustRightInd w:val="0"/>
      <w:spacing w:line="436" w:lineRule="exact"/>
      <w:ind w:left="357"/>
      <w:jc w:val="left"/>
      <w:outlineLvl w:val="3"/>
    </w:pPr>
    <w:rPr>
      <w:rFonts w:ascii="Tahoma" w:hAnsi="Tahoma" w:eastAsia="宋体"/>
      <w:b/>
      <w:sz w:val="24"/>
      <w:szCs w:val="24"/>
    </w:rPr>
  </w:style>
  <w:style w:type="character" w:customStyle="1" w:styleId="12">
    <w:name w:val="文档结构图 字符"/>
    <w:basedOn w:val="8"/>
    <w:link w:val="3"/>
    <w:qFormat/>
    <w:uiPriority w:val="0"/>
    <w:rPr>
      <w:rFonts w:ascii="Microsoft YaHei UI" w:eastAsia="Microsoft YaHei UI"/>
      <w:kern w:val="2"/>
      <w:sz w:val="18"/>
      <w:szCs w:val="18"/>
    </w:rPr>
  </w:style>
  <w:style w:type="paragraph" w:styleId="13">
    <w:name w:val="List Paragraph"/>
    <w:basedOn w:val="1"/>
    <w:qFormat/>
    <w:uiPriority w:val="34"/>
    <w:pPr>
      <w:ind w:firstLine="420" w:firstLineChars="200"/>
    </w:pPr>
  </w:style>
  <w:style w:type="paragraph" w:customStyle="1" w:styleId="14">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15">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1289</Words>
  <Characters>7348</Characters>
  <Lines>61</Lines>
  <Paragraphs>17</Paragraphs>
  <TotalTime>225</TotalTime>
  <ScaleCrop>false</ScaleCrop>
  <LinksUpToDate>false</LinksUpToDate>
  <CharactersWithSpaces>8620</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2022-04-02T11:56:00Z</dcterms:created>
  <dc:creator>肆月</dc:creator>
  <cp:lastModifiedBy>user</cp:lastModifiedBy>
  <dcterms:modified xsi:type="dcterms:W3CDTF">2022-08-25T14:32:08Z</dcterms:modified>
  <cp:revision>167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76955FD688AA4401921FC542A1EDB820</vt:lpwstr>
  </property>
</Properties>
</file>