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66" w:rsidRDefault="001B4A66" w:rsidP="001B4A66">
      <w:pPr>
        <w:spacing w:line="480" w:lineRule="exact"/>
        <w:rPr>
          <w:rFonts w:ascii="黑体" w:eastAsia="黑体" w:hAnsi="黑体"/>
          <w:sz w:val="32"/>
          <w:szCs w:val="32"/>
        </w:rPr>
      </w:pPr>
      <w:r>
        <w:rPr>
          <w:rFonts w:ascii="黑体" w:eastAsia="黑体" w:hAnsi="黑体" w:hint="eastAsia"/>
          <w:sz w:val="32"/>
          <w:szCs w:val="32"/>
        </w:rPr>
        <w:t>附件1-1</w:t>
      </w:r>
    </w:p>
    <w:p w:rsidR="001B4A66" w:rsidRDefault="001B4A66" w:rsidP="001B4A66">
      <w:pPr>
        <w:spacing w:line="480" w:lineRule="exact"/>
        <w:jc w:val="center"/>
        <w:rPr>
          <w:rFonts w:ascii="方正小标宋简体" w:eastAsia="方正小标宋简体" w:hAnsi="黑体"/>
          <w:sz w:val="36"/>
          <w:szCs w:val="36"/>
        </w:rPr>
      </w:pPr>
      <w:r>
        <w:rPr>
          <w:rFonts w:ascii="方正小标宋简体" w:eastAsia="方正小标宋简体" w:hAnsi="方正小标宋简体" w:hint="eastAsia"/>
          <w:sz w:val="36"/>
          <w:szCs w:val="36"/>
        </w:rPr>
        <w:t>项目支出绩效自评表</w:t>
      </w:r>
    </w:p>
    <w:p w:rsidR="001B4A66" w:rsidRDefault="001B4A66" w:rsidP="00D853D3">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sidR="0076114A">
        <w:rPr>
          <w:rFonts w:ascii="仿宋_GB2312" w:eastAsia="仿宋_GB2312" w:hAnsi="宋体" w:hint="eastAsia"/>
          <w:sz w:val="28"/>
          <w:szCs w:val="28"/>
        </w:rPr>
        <w:t>2021</w:t>
      </w:r>
      <w:r>
        <w:rPr>
          <w:rFonts w:ascii="仿宋_GB2312" w:eastAsia="仿宋_GB2312" w:hAnsi="宋体" w:hint="eastAsia"/>
          <w:sz w:val="28"/>
          <w:szCs w:val="28"/>
        </w:rPr>
        <w:t>年度）</w:t>
      </w:r>
    </w:p>
    <w:p w:rsidR="001B4A66" w:rsidRDefault="001B4A66" w:rsidP="001B4A66">
      <w:pPr>
        <w:spacing w:line="240" w:lineRule="exact"/>
        <w:rPr>
          <w:rFonts w:ascii="仿宋_GB2312" w:eastAsia="仿宋_GB2312" w:hAnsi="宋体"/>
          <w:sz w:val="30"/>
          <w:szCs w:val="30"/>
        </w:rPr>
      </w:pPr>
      <w:r>
        <w:rPr>
          <w:rFonts w:ascii="仿宋_GB2312" w:eastAsia="仿宋_GB2312" w:hAnsi="宋体" w:hint="eastAsia"/>
          <w:sz w:val="30"/>
          <w:szCs w:val="30"/>
        </w:rPr>
        <w:t xml:space="preserve"> </w:t>
      </w:r>
    </w:p>
    <w:tbl>
      <w:tblPr>
        <w:tblW w:w="11837" w:type="dxa"/>
        <w:jc w:val="center"/>
        <w:tblLayout w:type="fixed"/>
        <w:tblLook w:val="04A0"/>
      </w:tblPr>
      <w:tblGrid>
        <w:gridCol w:w="585"/>
        <w:gridCol w:w="975"/>
        <w:gridCol w:w="1105"/>
        <w:gridCol w:w="727"/>
        <w:gridCol w:w="1127"/>
        <w:gridCol w:w="283"/>
        <w:gridCol w:w="1300"/>
        <w:gridCol w:w="1275"/>
        <w:gridCol w:w="491"/>
        <w:gridCol w:w="218"/>
        <w:gridCol w:w="709"/>
        <w:gridCol w:w="142"/>
        <w:gridCol w:w="2900"/>
      </w:tblGrid>
      <w:tr w:rsidR="001B4A66" w:rsidTr="00032079">
        <w:trPr>
          <w:trHeigh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项目名称</w:t>
            </w:r>
          </w:p>
        </w:tc>
        <w:tc>
          <w:tcPr>
            <w:tcW w:w="10277" w:type="dxa"/>
            <w:gridSpan w:val="11"/>
            <w:tcBorders>
              <w:top w:val="single" w:sz="4" w:space="0" w:color="auto"/>
              <w:left w:val="nil"/>
              <w:bottom w:val="single" w:sz="4" w:space="0" w:color="auto"/>
              <w:right w:val="single" w:sz="4" w:space="0" w:color="auto"/>
            </w:tcBorders>
            <w:vAlign w:val="center"/>
          </w:tcPr>
          <w:p w:rsidR="001B4A66" w:rsidRDefault="00427DE8">
            <w:pPr>
              <w:widowControl/>
              <w:spacing w:line="240" w:lineRule="exact"/>
              <w:jc w:val="center"/>
              <w:rPr>
                <w:rFonts w:ascii="仿宋_GB2312" w:eastAsia="仿宋_GB2312" w:hAnsi="宋体" w:cs="宋体"/>
                <w:kern w:val="0"/>
              </w:rPr>
            </w:pPr>
            <w:r w:rsidRPr="004400AD">
              <w:rPr>
                <w:rFonts w:ascii="仿宋_GB2312" w:eastAsia="仿宋_GB2312" w:hAnsi="宋体" w:cs="宋体" w:hint="eastAsia"/>
                <w:kern w:val="0"/>
              </w:rPr>
              <w:t>法院办案业务费</w:t>
            </w:r>
          </w:p>
        </w:tc>
      </w:tr>
      <w:tr w:rsidR="001B4A66" w:rsidTr="00A76626">
        <w:trPr>
          <w:trHeigh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主管部门</w:t>
            </w:r>
          </w:p>
        </w:tc>
        <w:tc>
          <w:tcPr>
            <w:tcW w:w="4542" w:type="dxa"/>
            <w:gridSpan w:val="5"/>
            <w:tcBorders>
              <w:top w:val="single" w:sz="4" w:space="0" w:color="auto"/>
              <w:left w:val="nil"/>
              <w:bottom w:val="single" w:sz="4" w:space="0" w:color="auto"/>
              <w:right w:val="single" w:sz="4" w:space="0" w:color="auto"/>
            </w:tcBorders>
            <w:vAlign w:val="center"/>
          </w:tcPr>
          <w:p w:rsidR="001B4A66" w:rsidRDefault="0076114A">
            <w:pPr>
              <w:widowControl/>
              <w:spacing w:line="240" w:lineRule="exact"/>
              <w:jc w:val="center"/>
              <w:rPr>
                <w:rFonts w:ascii="仿宋_GB2312" w:eastAsia="仿宋_GB2312" w:hAnsi="宋体" w:cs="宋体"/>
                <w:kern w:val="0"/>
              </w:rPr>
            </w:pPr>
            <w:r w:rsidRPr="0076114A">
              <w:rPr>
                <w:rFonts w:ascii="仿宋_GB2312" w:eastAsia="仿宋_GB2312" w:hAnsi="宋体" w:cs="宋体" w:hint="eastAsia"/>
                <w:kern w:val="0"/>
              </w:rPr>
              <w:t>北京市海淀区人民法院</w:t>
            </w:r>
          </w:p>
        </w:tc>
        <w:tc>
          <w:tcPr>
            <w:tcW w:w="1275"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实施单位</w:t>
            </w:r>
          </w:p>
        </w:tc>
        <w:tc>
          <w:tcPr>
            <w:tcW w:w="4460" w:type="dxa"/>
            <w:gridSpan w:val="5"/>
            <w:tcBorders>
              <w:top w:val="single" w:sz="4" w:space="0" w:color="auto"/>
              <w:left w:val="nil"/>
              <w:bottom w:val="single" w:sz="4" w:space="0" w:color="auto"/>
              <w:right w:val="single" w:sz="4" w:space="0" w:color="auto"/>
            </w:tcBorders>
            <w:vAlign w:val="center"/>
          </w:tcPr>
          <w:p w:rsidR="001B4A66" w:rsidRDefault="0076114A">
            <w:pPr>
              <w:widowControl/>
              <w:spacing w:line="240" w:lineRule="exact"/>
              <w:jc w:val="center"/>
              <w:rPr>
                <w:rFonts w:ascii="仿宋_GB2312" w:eastAsia="仿宋_GB2312" w:hAnsi="宋体" w:cs="宋体"/>
                <w:kern w:val="0"/>
              </w:rPr>
            </w:pPr>
            <w:r w:rsidRPr="0076114A">
              <w:rPr>
                <w:rFonts w:ascii="仿宋_GB2312" w:eastAsia="仿宋_GB2312" w:hAnsi="宋体" w:cs="宋体" w:hint="eastAsia"/>
                <w:kern w:val="0"/>
              </w:rPr>
              <w:t>北京市海淀区人民法院（本级）</w:t>
            </w:r>
          </w:p>
        </w:tc>
      </w:tr>
      <w:tr w:rsidR="001B4A66" w:rsidTr="00A76626">
        <w:trPr>
          <w:trHeigh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项目负责人</w:t>
            </w:r>
          </w:p>
        </w:tc>
        <w:tc>
          <w:tcPr>
            <w:tcW w:w="4542" w:type="dxa"/>
            <w:gridSpan w:val="5"/>
            <w:tcBorders>
              <w:top w:val="single" w:sz="4" w:space="0" w:color="auto"/>
              <w:left w:val="nil"/>
              <w:bottom w:val="single" w:sz="4" w:space="0" w:color="auto"/>
              <w:right w:val="single" w:sz="4" w:space="0" w:color="auto"/>
            </w:tcBorders>
            <w:vAlign w:val="center"/>
          </w:tcPr>
          <w:p w:rsidR="001B4A66" w:rsidRDefault="00427DE8">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李正</w:t>
            </w:r>
          </w:p>
        </w:tc>
        <w:tc>
          <w:tcPr>
            <w:tcW w:w="1275"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联系电话</w:t>
            </w:r>
          </w:p>
        </w:tc>
        <w:tc>
          <w:tcPr>
            <w:tcW w:w="4460" w:type="dxa"/>
            <w:gridSpan w:val="5"/>
            <w:tcBorders>
              <w:top w:val="single" w:sz="4" w:space="0" w:color="auto"/>
              <w:left w:val="nil"/>
              <w:bottom w:val="single" w:sz="4" w:space="0" w:color="auto"/>
              <w:right w:val="single" w:sz="4" w:space="0" w:color="auto"/>
            </w:tcBorders>
            <w:vAlign w:val="center"/>
          </w:tcPr>
          <w:p w:rsidR="001B4A66" w:rsidRDefault="0094519C" w:rsidP="00D01A9B">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r>
      <w:tr w:rsidR="001B4A66" w:rsidTr="00A76626">
        <w:trPr>
          <w:trHeight w:val="567"/>
          <w:jc w:val="center"/>
        </w:trPr>
        <w:tc>
          <w:tcPr>
            <w:tcW w:w="1560" w:type="dxa"/>
            <w:gridSpan w:val="2"/>
            <w:vMerge w:val="restart"/>
            <w:tcBorders>
              <w:top w:val="nil"/>
              <w:left w:val="single" w:sz="4" w:space="0" w:color="auto"/>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项目资金</w:t>
            </w:r>
            <w:r>
              <w:rPr>
                <w:rFonts w:ascii="仿宋_GB2312" w:eastAsia="仿宋_GB2312" w:hAnsi="宋体" w:cs="宋体" w:hint="eastAsia"/>
                <w:kern w:val="0"/>
              </w:rPr>
              <w:br/>
              <w:t>（万元）</w:t>
            </w:r>
          </w:p>
        </w:tc>
        <w:tc>
          <w:tcPr>
            <w:tcW w:w="1832" w:type="dxa"/>
            <w:gridSpan w:val="2"/>
            <w:tcBorders>
              <w:top w:val="single" w:sz="4" w:space="0" w:color="auto"/>
              <w:left w:val="nil"/>
              <w:bottom w:val="single" w:sz="4" w:space="0" w:color="auto"/>
              <w:right w:val="single" w:sz="4" w:space="0" w:color="auto"/>
            </w:tcBorders>
            <w:vAlign w:val="center"/>
          </w:tcPr>
          <w:p w:rsidR="001B4A66" w:rsidRDefault="001B4A66">
            <w:pPr>
              <w:widowControl/>
              <w:spacing w:line="240" w:lineRule="exact"/>
              <w:jc w:val="center"/>
              <w:rPr>
                <w:rFonts w:ascii="仿宋_GB2312" w:eastAsia="仿宋_GB2312" w:hAnsi="宋体" w:cs="宋体"/>
                <w:kern w:val="0"/>
              </w:rPr>
            </w:pPr>
          </w:p>
        </w:tc>
        <w:tc>
          <w:tcPr>
            <w:tcW w:w="1127"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年初预</w:t>
            </w:r>
          </w:p>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算数</w:t>
            </w:r>
          </w:p>
        </w:tc>
        <w:tc>
          <w:tcPr>
            <w:tcW w:w="1583" w:type="dxa"/>
            <w:gridSpan w:val="2"/>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全年预</w:t>
            </w:r>
          </w:p>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算数</w:t>
            </w:r>
          </w:p>
        </w:tc>
        <w:tc>
          <w:tcPr>
            <w:tcW w:w="1275"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全年</w:t>
            </w:r>
          </w:p>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执行数</w:t>
            </w:r>
          </w:p>
        </w:tc>
        <w:tc>
          <w:tcPr>
            <w:tcW w:w="491"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分值</w:t>
            </w:r>
          </w:p>
        </w:tc>
        <w:tc>
          <w:tcPr>
            <w:tcW w:w="1069" w:type="dxa"/>
            <w:gridSpan w:val="3"/>
            <w:tcBorders>
              <w:top w:val="single" w:sz="4" w:space="0" w:color="auto"/>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执行率</w:t>
            </w:r>
          </w:p>
        </w:tc>
        <w:tc>
          <w:tcPr>
            <w:tcW w:w="2900"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得分</w:t>
            </w:r>
          </w:p>
        </w:tc>
      </w:tr>
      <w:tr w:rsidR="00A76626" w:rsidTr="00A76626">
        <w:trPr>
          <w:trHeight w:val="306"/>
          <w:jc w:val="center"/>
        </w:trPr>
        <w:tc>
          <w:tcPr>
            <w:tcW w:w="1560" w:type="dxa"/>
            <w:gridSpan w:val="2"/>
            <w:vMerge/>
            <w:tcBorders>
              <w:top w:val="nil"/>
              <w:left w:val="single" w:sz="4" w:space="0" w:color="auto"/>
              <w:bottom w:val="single" w:sz="4" w:space="0" w:color="auto"/>
              <w:right w:val="single" w:sz="4" w:space="0" w:color="auto"/>
            </w:tcBorders>
            <w:vAlign w:val="center"/>
            <w:hideMark/>
          </w:tcPr>
          <w:p w:rsidR="00A76626" w:rsidRDefault="00A76626">
            <w:pPr>
              <w:widowControl/>
              <w:jc w:val="left"/>
              <w:rPr>
                <w:rFonts w:ascii="仿宋_GB2312" w:eastAsia="仿宋_GB2312" w:hAnsi="宋体" w:cs="宋体"/>
                <w:kern w:val="0"/>
              </w:rPr>
            </w:pPr>
          </w:p>
        </w:tc>
        <w:tc>
          <w:tcPr>
            <w:tcW w:w="1832" w:type="dxa"/>
            <w:gridSpan w:val="2"/>
            <w:tcBorders>
              <w:top w:val="single" w:sz="4" w:space="0" w:color="auto"/>
              <w:left w:val="nil"/>
              <w:bottom w:val="single" w:sz="4" w:space="0" w:color="auto"/>
              <w:right w:val="single" w:sz="4" w:space="0" w:color="auto"/>
            </w:tcBorders>
            <w:vAlign w:val="center"/>
            <w:hideMark/>
          </w:tcPr>
          <w:p w:rsidR="00A76626" w:rsidRDefault="00A76626">
            <w:pPr>
              <w:widowControl/>
              <w:spacing w:line="240" w:lineRule="exact"/>
              <w:rPr>
                <w:rFonts w:ascii="仿宋_GB2312" w:eastAsia="仿宋_GB2312" w:hAnsi="宋体" w:cs="宋体"/>
                <w:kern w:val="0"/>
              </w:rPr>
            </w:pPr>
            <w:r>
              <w:rPr>
                <w:rFonts w:ascii="仿宋_GB2312" w:eastAsia="仿宋_GB2312" w:hAnsi="宋体" w:cs="宋体" w:hint="eastAsia"/>
                <w:kern w:val="0"/>
              </w:rPr>
              <w:t>年度资金总额</w:t>
            </w:r>
          </w:p>
        </w:tc>
        <w:tc>
          <w:tcPr>
            <w:tcW w:w="1127" w:type="dxa"/>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3128.00</w:t>
            </w:r>
          </w:p>
        </w:tc>
        <w:tc>
          <w:tcPr>
            <w:tcW w:w="1583" w:type="dxa"/>
            <w:gridSpan w:val="2"/>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4530.802</w:t>
            </w:r>
          </w:p>
        </w:tc>
        <w:tc>
          <w:tcPr>
            <w:tcW w:w="1275" w:type="dxa"/>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3827.6576</w:t>
            </w:r>
          </w:p>
        </w:tc>
        <w:tc>
          <w:tcPr>
            <w:tcW w:w="491" w:type="dxa"/>
            <w:tcBorders>
              <w:top w:val="nil"/>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10</w:t>
            </w:r>
          </w:p>
        </w:tc>
        <w:tc>
          <w:tcPr>
            <w:tcW w:w="1069" w:type="dxa"/>
            <w:gridSpan w:val="3"/>
            <w:tcBorders>
              <w:top w:val="single" w:sz="4" w:space="0" w:color="auto"/>
              <w:left w:val="nil"/>
              <w:bottom w:val="single" w:sz="4" w:space="0" w:color="auto"/>
              <w:right w:val="single" w:sz="4" w:space="0" w:color="auto"/>
            </w:tcBorders>
            <w:vAlign w:val="center"/>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84.48%</w:t>
            </w:r>
          </w:p>
        </w:tc>
        <w:tc>
          <w:tcPr>
            <w:tcW w:w="2900" w:type="dxa"/>
            <w:tcBorders>
              <w:top w:val="nil"/>
              <w:left w:val="nil"/>
              <w:bottom w:val="single" w:sz="4" w:space="0" w:color="auto"/>
              <w:right w:val="single" w:sz="4" w:space="0" w:color="auto"/>
            </w:tcBorders>
            <w:vAlign w:val="center"/>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8.4</w:t>
            </w:r>
          </w:p>
        </w:tc>
      </w:tr>
      <w:tr w:rsidR="00A76626" w:rsidTr="00A76626">
        <w:trPr>
          <w:trHeight w:val="601"/>
          <w:jc w:val="center"/>
        </w:trPr>
        <w:tc>
          <w:tcPr>
            <w:tcW w:w="1560" w:type="dxa"/>
            <w:gridSpan w:val="2"/>
            <w:vMerge/>
            <w:tcBorders>
              <w:top w:val="nil"/>
              <w:left w:val="single" w:sz="4" w:space="0" w:color="auto"/>
              <w:bottom w:val="single" w:sz="4" w:space="0" w:color="auto"/>
              <w:right w:val="single" w:sz="4" w:space="0" w:color="auto"/>
            </w:tcBorders>
            <w:vAlign w:val="center"/>
            <w:hideMark/>
          </w:tcPr>
          <w:p w:rsidR="00A76626" w:rsidRDefault="00A76626">
            <w:pPr>
              <w:widowControl/>
              <w:jc w:val="left"/>
              <w:rPr>
                <w:rFonts w:ascii="仿宋_GB2312" w:eastAsia="仿宋_GB2312" w:hAnsi="宋体" w:cs="宋体"/>
                <w:kern w:val="0"/>
              </w:rPr>
            </w:pPr>
          </w:p>
        </w:tc>
        <w:tc>
          <w:tcPr>
            <w:tcW w:w="1832" w:type="dxa"/>
            <w:gridSpan w:val="2"/>
            <w:tcBorders>
              <w:top w:val="single" w:sz="4" w:space="0" w:color="auto"/>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其中：当年财政</w:t>
            </w:r>
          </w:p>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拨款</w:t>
            </w:r>
          </w:p>
        </w:tc>
        <w:tc>
          <w:tcPr>
            <w:tcW w:w="1127" w:type="dxa"/>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1850.00</w:t>
            </w:r>
          </w:p>
        </w:tc>
        <w:tc>
          <w:tcPr>
            <w:tcW w:w="1583" w:type="dxa"/>
            <w:gridSpan w:val="2"/>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2863.75</w:t>
            </w:r>
          </w:p>
        </w:tc>
        <w:tc>
          <w:tcPr>
            <w:tcW w:w="1275" w:type="dxa"/>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2160.6056</w:t>
            </w:r>
          </w:p>
        </w:tc>
        <w:tc>
          <w:tcPr>
            <w:tcW w:w="491" w:type="dxa"/>
            <w:tcBorders>
              <w:top w:val="nil"/>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c>
          <w:tcPr>
            <w:tcW w:w="1069" w:type="dxa"/>
            <w:gridSpan w:val="3"/>
            <w:tcBorders>
              <w:top w:val="single" w:sz="4" w:space="0" w:color="auto"/>
              <w:left w:val="nil"/>
              <w:bottom w:val="single" w:sz="4" w:space="0" w:color="auto"/>
              <w:right w:val="single" w:sz="4" w:space="0" w:color="auto"/>
            </w:tcBorders>
            <w:vAlign w:val="center"/>
          </w:tcPr>
          <w:p w:rsidR="00A76626" w:rsidRDefault="00A76626">
            <w:pPr>
              <w:widowControl/>
              <w:spacing w:line="240" w:lineRule="exact"/>
              <w:jc w:val="center"/>
              <w:rPr>
                <w:rFonts w:ascii="仿宋_GB2312" w:eastAsia="仿宋_GB2312" w:hAnsi="宋体" w:cs="宋体"/>
                <w:kern w:val="0"/>
              </w:rPr>
            </w:pPr>
          </w:p>
        </w:tc>
        <w:tc>
          <w:tcPr>
            <w:tcW w:w="2900" w:type="dxa"/>
            <w:tcBorders>
              <w:top w:val="nil"/>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r>
      <w:tr w:rsidR="00A76626" w:rsidTr="00A76626">
        <w:trPr>
          <w:trHeight w:val="567"/>
          <w:jc w:val="center"/>
        </w:trPr>
        <w:tc>
          <w:tcPr>
            <w:tcW w:w="1560" w:type="dxa"/>
            <w:gridSpan w:val="2"/>
            <w:vMerge/>
            <w:tcBorders>
              <w:top w:val="nil"/>
              <w:left w:val="single" w:sz="4" w:space="0" w:color="auto"/>
              <w:bottom w:val="single" w:sz="4" w:space="0" w:color="auto"/>
              <w:right w:val="single" w:sz="4" w:space="0" w:color="auto"/>
            </w:tcBorders>
            <w:vAlign w:val="center"/>
            <w:hideMark/>
          </w:tcPr>
          <w:p w:rsidR="00A76626" w:rsidRDefault="00A76626">
            <w:pPr>
              <w:widowControl/>
              <w:jc w:val="left"/>
              <w:rPr>
                <w:rFonts w:ascii="仿宋_GB2312" w:eastAsia="仿宋_GB2312" w:hAnsi="宋体" w:cs="宋体"/>
                <w:kern w:val="0"/>
              </w:rPr>
            </w:pPr>
          </w:p>
        </w:tc>
        <w:tc>
          <w:tcPr>
            <w:tcW w:w="1832" w:type="dxa"/>
            <w:gridSpan w:val="2"/>
            <w:tcBorders>
              <w:top w:val="single" w:sz="4" w:space="0" w:color="auto"/>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 xml:space="preserve">      上年结转资金</w:t>
            </w:r>
          </w:p>
        </w:tc>
        <w:tc>
          <w:tcPr>
            <w:tcW w:w="1127" w:type="dxa"/>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1583" w:type="dxa"/>
            <w:gridSpan w:val="2"/>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1275" w:type="dxa"/>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491" w:type="dxa"/>
            <w:tcBorders>
              <w:top w:val="nil"/>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c>
          <w:tcPr>
            <w:tcW w:w="1069" w:type="dxa"/>
            <w:gridSpan w:val="3"/>
            <w:tcBorders>
              <w:top w:val="single" w:sz="4" w:space="0" w:color="auto"/>
              <w:left w:val="nil"/>
              <w:bottom w:val="single" w:sz="4" w:space="0" w:color="auto"/>
              <w:right w:val="single" w:sz="4" w:space="0" w:color="auto"/>
            </w:tcBorders>
            <w:vAlign w:val="center"/>
          </w:tcPr>
          <w:p w:rsidR="00A76626" w:rsidRDefault="00A76626">
            <w:pPr>
              <w:widowControl/>
              <w:spacing w:line="240" w:lineRule="exact"/>
              <w:jc w:val="center"/>
              <w:rPr>
                <w:rFonts w:ascii="仿宋_GB2312" w:eastAsia="仿宋_GB2312" w:hAnsi="宋体" w:cs="宋体"/>
                <w:kern w:val="0"/>
              </w:rPr>
            </w:pPr>
          </w:p>
        </w:tc>
        <w:tc>
          <w:tcPr>
            <w:tcW w:w="2900" w:type="dxa"/>
            <w:tcBorders>
              <w:top w:val="nil"/>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r>
      <w:tr w:rsidR="00A76626" w:rsidTr="00A76626">
        <w:trPr>
          <w:trHeight w:val="306"/>
          <w:jc w:val="center"/>
        </w:trPr>
        <w:tc>
          <w:tcPr>
            <w:tcW w:w="1560" w:type="dxa"/>
            <w:gridSpan w:val="2"/>
            <w:vMerge/>
            <w:tcBorders>
              <w:top w:val="nil"/>
              <w:left w:val="single" w:sz="4" w:space="0" w:color="auto"/>
              <w:bottom w:val="single" w:sz="4" w:space="0" w:color="auto"/>
              <w:right w:val="single" w:sz="4" w:space="0" w:color="auto"/>
            </w:tcBorders>
            <w:vAlign w:val="center"/>
            <w:hideMark/>
          </w:tcPr>
          <w:p w:rsidR="00A76626" w:rsidRDefault="00A76626">
            <w:pPr>
              <w:widowControl/>
              <w:jc w:val="left"/>
              <w:rPr>
                <w:rFonts w:ascii="仿宋_GB2312" w:eastAsia="仿宋_GB2312" w:hAnsi="宋体" w:cs="宋体"/>
                <w:kern w:val="0"/>
              </w:rPr>
            </w:pPr>
          </w:p>
        </w:tc>
        <w:tc>
          <w:tcPr>
            <w:tcW w:w="1832" w:type="dxa"/>
            <w:gridSpan w:val="2"/>
            <w:tcBorders>
              <w:top w:val="single" w:sz="4" w:space="0" w:color="auto"/>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 xml:space="preserve">  其他资金</w:t>
            </w:r>
          </w:p>
        </w:tc>
        <w:tc>
          <w:tcPr>
            <w:tcW w:w="1127" w:type="dxa"/>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1278.00</w:t>
            </w:r>
          </w:p>
        </w:tc>
        <w:tc>
          <w:tcPr>
            <w:tcW w:w="1583" w:type="dxa"/>
            <w:gridSpan w:val="2"/>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1667.052</w:t>
            </w:r>
          </w:p>
        </w:tc>
        <w:tc>
          <w:tcPr>
            <w:tcW w:w="1275" w:type="dxa"/>
            <w:tcBorders>
              <w:top w:val="nil"/>
              <w:left w:val="nil"/>
              <w:bottom w:val="single" w:sz="4" w:space="0" w:color="auto"/>
              <w:right w:val="single" w:sz="4" w:space="0" w:color="auto"/>
            </w:tcBorders>
            <w:vAlign w:val="center"/>
          </w:tcPr>
          <w:p w:rsidR="00A76626" w:rsidRDefault="00A76626" w:rsidP="003B0B45">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1667.052</w:t>
            </w:r>
          </w:p>
        </w:tc>
        <w:tc>
          <w:tcPr>
            <w:tcW w:w="491" w:type="dxa"/>
            <w:tcBorders>
              <w:top w:val="nil"/>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c>
          <w:tcPr>
            <w:tcW w:w="1069" w:type="dxa"/>
            <w:gridSpan w:val="3"/>
            <w:tcBorders>
              <w:top w:val="single" w:sz="4" w:space="0" w:color="auto"/>
              <w:left w:val="nil"/>
              <w:bottom w:val="single" w:sz="4" w:space="0" w:color="auto"/>
              <w:right w:val="single" w:sz="4" w:space="0" w:color="auto"/>
            </w:tcBorders>
            <w:vAlign w:val="center"/>
          </w:tcPr>
          <w:p w:rsidR="00A76626" w:rsidRDefault="00A76626">
            <w:pPr>
              <w:widowControl/>
              <w:spacing w:line="240" w:lineRule="exact"/>
              <w:jc w:val="center"/>
              <w:rPr>
                <w:rFonts w:ascii="仿宋_GB2312" w:eastAsia="仿宋_GB2312" w:hAnsi="宋体" w:cs="宋体"/>
                <w:kern w:val="0"/>
              </w:rPr>
            </w:pPr>
          </w:p>
        </w:tc>
        <w:tc>
          <w:tcPr>
            <w:tcW w:w="2900" w:type="dxa"/>
            <w:tcBorders>
              <w:top w:val="nil"/>
              <w:left w:val="nil"/>
              <w:bottom w:val="single" w:sz="4" w:space="0" w:color="auto"/>
              <w:right w:val="single" w:sz="4" w:space="0" w:color="auto"/>
            </w:tcBorders>
            <w:vAlign w:val="center"/>
            <w:hideMark/>
          </w:tcPr>
          <w:p w:rsidR="00A76626" w:rsidRDefault="00A7662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r>
      <w:tr w:rsidR="002A11C9" w:rsidTr="00F403FE">
        <w:trPr>
          <w:trHeight w:val="548"/>
          <w:jc w:val="center"/>
        </w:trPr>
        <w:tc>
          <w:tcPr>
            <w:tcW w:w="585" w:type="dxa"/>
            <w:vMerge w:val="restart"/>
            <w:tcBorders>
              <w:top w:val="nil"/>
              <w:left w:val="single" w:sz="4" w:space="0" w:color="auto"/>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年度总体目标</w:t>
            </w:r>
          </w:p>
        </w:tc>
        <w:tc>
          <w:tcPr>
            <w:tcW w:w="5517" w:type="dxa"/>
            <w:gridSpan w:val="6"/>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预期目标</w:t>
            </w:r>
          </w:p>
        </w:tc>
        <w:tc>
          <w:tcPr>
            <w:tcW w:w="5735" w:type="dxa"/>
            <w:gridSpan w:val="6"/>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实际完成情况</w:t>
            </w:r>
          </w:p>
        </w:tc>
      </w:tr>
      <w:tr w:rsidR="002A11C9" w:rsidTr="00F403FE">
        <w:trPr>
          <w:trHeight w:val="1597"/>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5517" w:type="dxa"/>
            <w:gridSpan w:val="6"/>
            <w:tcBorders>
              <w:top w:val="single" w:sz="4" w:space="0" w:color="auto"/>
              <w:left w:val="nil"/>
              <w:bottom w:val="single" w:sz="4" w:space="0" w:color="auto"/>
              <w:right w:val="single" w:sz="4" w:space="0" w:color="auto"/>
            </w:tcBorders>
            <w:vAlign w:val="center"/>
          </w:tcPr>
          <w:p w:rsidR="002A11C9" w:rsidRDefault="007D7CB0">
            <w:pPr>
              <w:widowControl/>
              <w:spacing w:line="240" w:lineRule="exact"/>
              <w:jc w:val="center"/>
              <w:rPr>
                <w:rFonts w:ascii="仿宋_GB2312" w:eastAsia="仿宋_GB2312" w:hAnsi="宋体" w:cs="宋体"/>
                <w:kern w:val="0"/>
              </w:rPr>
            </w:pPr>
            <w:r w:rsidRPr="007D7CB0">
              <w:rPr>
                <w:rFonts w:ascii="仿宋_GB2312" w:eastAsia="仿宋_GB2312" w:hAnsi="宋体" w:cs="宋体" w:hint="eastAsia"/>
                <w:kern w:val="0"/>
              </w:rPr>
              <w:t>深入贯彻落实党的指示精神和习近平总书记重要讲话，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努力发挥人民法院在践行社会主义核心价值观和全面深化改革中的职能作用，为首都经济社会发展提供坚强司法保障。</w:t>
            </w:r>
          </w:p>
        </w:tc>
        <w:tc>
          <w:tcPr>
            <w:tcW w:w="5735" w:type="dxa"/>
            <w:gridSpan w:val="6"/>
            <w:tcBorders>
              <w:top w:val="single" w:sz="4" w:space="0" w:color="auto"/>
              <w:left w:val="nil"/>
              <w:bottom w:val="single" w:sz="4" w:space="0" w:color="auto"/>
              <w:right w:val="single" w:sz="4" w:space="0" w:color="auto"/>
            </w:tcBorders>
            <w:vAlign w:val="center"/>
          </w:tcPr>
          <w:p w:rsidR="002A11C9" w:rsidRDefault="00820E22">
            <w:pPr>
              <w:widowControl/>
              <w:spacing w:line="240" w:lineRule="exact"/>
              <w:jc w:val="center"/>
              <w:rPr>
                <w:rFonts w:ascii="仿宋_GB2312" w:eastAsia="仿宋_GB2312" w:hAnsi="宋体" w:cs="宋体"/>
                <w:kern w:val="0"/>
              </w:rPr>
            </w:pPr>
            <w:r w:rsidRPr="00820E22">
              <w:rPr>
                <w:rFonts w:ascii="仿宋_GB2312" w:eastAsia="仿宋_GB2312" w:hAnsi="宋体" w:cs="宋体" w:hint="eastAsia"/>
                <w:kern w:val="0"/>
              </w:rPr>
              <w:t xml:space="preserve">    保障办案所发生的差旅费、诉讼文书印刷费用、司法鉴定勘验费用、司法专邮费用、法官业务培训、业务设施管理等办案必须经费以及办案所需装备，保障审判、执行工作的顺利开展。以习近平新时代中国特色社会主义思想为指导，深入贯彻习近平法治思想、习近平总书记系列重要讲话精神，以党的政治建设为统领，加强队伍建设，进一步提高“政治三力”，提升司法能力和司法公信力，为贯彻区委“两新两高”战略、推进“两区”建设、加快建设北京国际科技创新中心核心区提供有力司法保障。</w:t>
            </w:r>
          </w:p>
        </w:tc>
      </w:tr>
      <w:tr w:rsidR="002A11C9" w:rsidTr="004F2078">
        <w:trPr>
          <w:trHeight w:val="830"/>
          <w:jc w:val="center"/>
        </w:trPr>
        <w:tc>
          <w:tcPr>
            <w:tcW w:w="585" w:type="dxa"/>
            <w:vMerge w:val="restart"/>
            <w:tcBorders>
              <w:top w:val="nil"/>
              <w:left w:val="single" w:sz="4" w:space="0" w:color="auto"/>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绩</w:t>
            </w:r>
            <w:r>
              <w:rPr>
                <w:rFonts w:ascii="仿宋_GB2312" w:eastAsia="仿宋_GB2312" w:hAnsi="宋体" w:cs="宋体" w:hint="eastAsia"/>
                <w:kern w:val="0"/>
              </w:rPr>
              <w:br/>
              <w:t>效</w:t>
            </w:r>
            <w:r>
              <w:rPr>
                <w:rFonts w:ascii="仿宋_GB2312" w:eastAsia="仿宋_GB2312" w:hAnsi="宋体" w:cs="宋体" w:hint="eastAsia"/>
                <w:kern w:val="0"/>
              </w:rPr>
              <w:br/>
              <w:t>指</w:t>
            </w:r>
            <w:r>
              <w:rPr>
                <w:rFonts w:ascii="仿宋_GB2312" w:eastAsia="仿宋_GB2312" w:hAnsi="宋体" w:cs="宋体" w:hint="eastAsia"/>
                <w:kern w:val="0"/>
              </w:rPr>
              <w:br/>
            </w:r>
            <w:r>
              <w:rPr>
                <w:rFonts w:ascii="仿宋_GB2312" w:eastAsia="仿宋_GB2312" w:hAnsi="宋体" w:cs="宋体" w:hint="eastAsia"/>
                <w:kern w:val="0"/>
              </w:rPr>
              <w:lastRenderedPageBreak/>
              <w:t>标</w:t>
            </w:r>
          </w:p>
        </w:tc>
        <w:tc>
          <w:tcPr>
            <w:tcW w:w="975"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lastRenderedPageBreak/>
              <w:t>一级指标</w:t>
            </w:r>
          </w:p>
        </w:tc>
        <w:tc>
          <w:tcPr>
            <w:tcW w:w="1105"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三级指标</w:t>
            </w:r>
          </w:p>
        </w:tc>
        <w:tc>
          <w:tcPr>
            <w:tcW w:w="1300"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年度</w:t>
            </w: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指标值</w:t>
            </w:r>
          </w:p>
        </w:tc>
        <w:tc>
          <w:tcPr>
            <w:tcW w:w="1275"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实际</w:t>
            </w: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完成值</w:t>
            </w:r>
          </w:p>
        </w:tc>
        <w:tc>
          <w:tcPr>
            <w:tcW w:w="709" w:type="dxa"/>
            <w:gridSpan w:val="2"/>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分值</w:t>
            </w:r>
          </w:p>
        </w:tc>
        <w:tc>
          <w:tcPr>
            <w:tcW w:w="709"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得分</w:t>
            </w:r>
          </w:p>
        </w:tc>
        <w:tc>
          <w:tcPr>
            <w:tcW w:w="3042" w:type="dxa"/>
            <w:gridSpan w:val="2"/>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偏差原因分析及改进</w:t>
            </w: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措施</w:t>
            </w: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val="restart"/>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产出指标</w:t>
            </w:r>
          </w:p>
        </w:tc>
        <w:tc>
          <w:tcPr>
            <w:tcW w:w="1105" w:type="dxa"/>
            <w:vMerge w:val="restart"/>
            <w:tcBorders>
              <w:top w:val="single" w:sz="4" w:space="0" w:color="auto"/>
              <w:left w:val="nil"/>
              <w:right w:val="single" w:sz="4" w:space="0" w:color="auto"/>
            </w:tcBorders>
            <w:vAlign w:val="bottom"/>
            <w:hideMark/>
          </w:tcPr>
          <w:p w:rsidR="00D853D3" w:rsidRDefault="002A11C9" w:rsidP="00E0092C">
            <w:pPr>
              <w:widowControl/>
              <w:jc w:val="center"/>
              <w:rPr>
                <w:rFonts w:ascii="仿宋_GB2312" w:eastAsia="仿宋_GB2312" w:hAnsi="宋体" w:cs="宋体"/>
                <w:kern w:val="0"/>
              </w:rPr>
            </w:pPr>
            <w:r>
              <w:rPr>
                <w:rFonts w:ascii="仿宋_GB2312" w:eastAsia="仿宋_GB2312" w:hAnsi="宋体" w:cs="宋体"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3A6C07">
            <w:pPr>
              <w:widowControl/>
              <w:spacing w:line="240" w:lineRule="exact"/>
              <w:jc w:val="left"/>
              <w:rPr>
                <w:rFonts w:ascii="仿宋_GB2312" w:eastAsia="仿宋_GB2312" w:hAnsi="宋体" w:cs="宋体"/>
                <w:color w:val="000000"/>
                <w:kern w:val="0"/>
              </w:rPr>
            </w:pPr>
            <w:r w:rsidRPr="003A6C07">
              <w:rPr>
                <w:rFonts w:ascii="仿宋_GB2312" w:eastAsia="仿宋_GB2312" w:hAnsi="宋体" w:cs="宋体" w:hint="eastAsia"/>
                <w:color w:val="000000"/>
                <w:kern w:val="0"/>
              </w:rPr>
              <w:t>年初预计收结案量</w:t>
            </w:r>
          </w:p>
        </w:tc>
        <w:tc>
          <w:tcPr>
            <w:tcW w:w="1300" w:type="dxa"/>
            <w:tcBorders>
              <w:top w:val="single" w:sz="4" w:space="0" w:color="auto"/>
              <w:left w:val="nil"/>
              <w:bottom w:val="single" w:sz="4" w:space="0" w:color="auto"/>
              <w:right w:val="single" w:sz="4" w:space="0" w:color="auto"/>
            </w:tcBorders>
            <w:vAlign w:val="center"/>
          </w:tcPr>
          <w:p w:rsidR="00032079" w:rsidRPr="00032079" w:rsidRDefault="00032079" w:rsidP="00032079">
            <w:pPr>
              <w:widowControl/>
              <w:spacing w:line="240" w:lineRule="exact"/>
              <w:jc w:val="center"/>
              <w:rPr>
                <w:rFonts w:ascii="仿宋_GB2312" w:eastAsia="仿宋_GB2312" w:hAnsi="宋体" w:cs="宋体"/>
                <w:kern w:val="0"/>
              </w:rPr>
            </w:pPr>
            <w:r w:rsidRPr="00032079">
              <w:rPr>
                <w:rFonts w:ascii="仿宋_GB2312" w:eastAsia="仿宋_GB2312" w:hAnsi="宋体" w:cs="宋体" w:hint="eastAsia"/>
                <w:kern w:val="0"/>
              </w:rPr>
              <w:t>收案：112570</w:t>
            </w:r>
          </w:p>
          <w:p w:rsidR="002A11C9" w:rsidRDefault="00032079" w:rsidP="00032079">
            <w:pPr>
              <w:widowControl/>
              <w:spacing w:line="240" w:lineRule="exact"/>
              <w:jc w:val="center"/>
              <w:rPr>
                <w:rFonts w:ascii="仿宋_GB2312" w:eastAsia="仿宋_GB2312" w:hAnsi="宋体" w:cs="宋体"/>
                <w:kern w:val="0"/>
              </w:rPr>
            </w:pPr>
            <w:r w:rsidRPr="00032079">
              <w:rPr>
                <w:rFonts w:ascii="仿宋_GB2312" w:eastAsia="仿宋_GB2312" w:hAnsi="宋体" w:cs="宋体" w:hint="eastAsia"/>
                <w:kern w:val="0"/>
              </w:rPr>
              <w:t>结案：102178</w:t>
            </w:r>
          </w:p>
        </w:tc>
        <w:tc>
          <w:tcPr>
            <w:tcW w:w="1275" w:type="dxa"/>
            <w:tcBorders>
              <w:top w:val="single" w:sz="4" w:space="0" w:color="auto"/>
              <w:left w:val="nil"/>
              <w:bottom w:val="single" w:sz="4" w:space="0" w:color="auto"/>
              <w:right w:val="single" w:sz="4" w:space="0" w:color="auto"/>
            </w:tcBorders>
            <w:vAlign w:val="center"/>
          </w:tcPr>
          <w:p w:rsidR="003F065B" w:rsidRPr="003F065B" w:rsidRDefault="003F065B" w:rsidP="003F065B">
            <w:pPr>
              <w:widowControl/>
              <w:spacing w:line="240" w:lineRule="exact"/>
              <w:jc w:val="center"/>
              <w:rPr>
                <w:rFonts w:ascii="仿宋_GB2312" w:eastAsia="仿宋_GB2312" w:hAnsi="宋体" w:cs="宋体"/>
                <w:kern w:val="0"/>
              </w:rPr>
            </w:pPr>
            <w:r w:rsidRPr="003F065B">
              <w:rPr>
                <w:rFonts w:ascii="仿宋_GB2312" w:eastAsia="仿宋_GB2312" w:hAnsi="宋体" w:cs="宋体" w:hint="eastAsia"/>
                <w:kern w:val="0"/>
              </w:rPr>
              <w:t>收案：122003</w:t>
            </w:r>
          </w:p>
          <w:p w:rsidR="002A11C9" w:rsidRDefault="003F065B" w:rsidP="003F065B">
            <w:pPr>
              <w:widowControl/>
              <w:spacing w:line="240" w:lineRule="exact"/>
              <w:jc w:val="center"/>
              <w:rPr>
                <w:rFonts w:ascii="仿宋_GB2312" w:eastAsia="仿宋_GB2312" w:hAnsi="宋体" w:cs="宋体"/>
                <w:kern w:val="0"/>
              </w:rPr>
            </w:pPr>
            <w:r w:rsidRPr="003F065B">
              <w:rPr>
                <w:rFonts w:ascii="仿宋_GB2312" w:eastAsia="仿宋_GB2312" w:hAnsi="宋体" w:cs="宋体" w:hint="eastAsia"/>
                <w:kern w:val="0"/>
              </w:rPr>
              <w:t>结案：109924</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right w:val="single" w:sz="4" w:space="0" w:color="auto"/>
            </w:tcBorders>
            <w:vAlign w:val="bottom"/>
            <w:hideMark/>
          </w:tcPr>
          <w:p w:rsidR="002A11C9" w:rsidRDefault="002A11C9" w:rsidP="00E0092C">
            <w:pPr>
              <w:widowControl/>
              <w:jc w:val="center"/>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3A6C07" w:rsidP="003A6C07">
            <w:pPr>
              <w:widowControl/>
              <w:spacing w:line="240" w:lineRule="exact"/>
              <w:jc w:val="left"/>
              <w:rPr>
                <w:rFonts w:ascii="仿宋_GB2312" w:eastAsia="仿宋_GB2312" w:hAnsi="宋体" w:cs="宋体"/>
                <w:color w:val="000000"/>
                <w:kern w:val="0"/>
              </w:rPr>
            </w:pPr>
            <w:r w:rsidRPr="003A6C07">
              <w:rPr>
                <w:rFonts w:ascii="仿宋_GB2312" w:eastAsia="仿宋_GB2312" w:hAnsi="宋体" w:cs="宋体" w:hint="eastAsia"/>
                <w:color w:val="000000"/>
                <w:kern w:val="0"/>
              </w:rPr>
              <w:t>员额法官人均办案工作量</w:t>
            </w:r>
          </w:p>
        </w:tc>
        <w:tc>
          <w:tcPr>
            <w:tcW w:w="1300" w:type="dxa"/>
            <w:tcBorders>
              <w:top w:val="single" w:sz="4" w:space="0" w:color="auto"/>
              <w:left w:val="nil"/>
              <w:bottom w:val="single" w:sz="4" w:space="0" w:color="auto"/>
              <w:right w:val="single" w:sz="4" w:space="0" w:color="auto"/>
            </w:tcBorders>
            <w:vAlign w:val="center"/>
          </w:tcPr>
          <w:p w:rsidR="002A11C9" w:rsidRDefault="00F403FE">
            <w:pPr>
              <w:widowControl/>
              <w:spacing w:line="240" w:lineRule="exact"/>
              <w:jc w:val="center"/>
              <w:rPr>
                <w:rFonts w:ascii="仿宋_GB2312" w:eastAsia="仿宋_GB2312" w:hAnsi="宋体" w:cs="宋体"/>
                <w:kern w:val="0"/>
              </w:rPr>
            </w:pPr>
            <w:r w:rsidRPr="00F403FE">
              <w:rPr>
                <w:rFonts w:ascii="仿宋_GB2312" w:eastAsia="仿宋_GB2312" w:hAnsi="宋体" w:cs="宋体"/>
                <w:kern w:val="0"/>
              </w:rPr>
              <w:t>516.05</w:t>
            </w:r>
          </w:p>
        </w:tc>
        <w:tc>
          <w:tcPr>
            <w:tcW w:w="1275" w:type="dxa"/>
            <w:tcBorders>
              <w:top w:val="single" w:sz="4" w:space="0" w:color="auto"/>
              <w:left w:val="nil"/>
              <w:bottom w:val="single" w:sz="4" w:space="0" w:color="auto"/>
              <w:right w:val="single" w:sz="4" w:space="0" w:color="auto"/>
            </w:tcBorders>
            <w:vAlign w:val="center"/>
          </w:tcPr>
          <w:p w:rsidR="002A11C9" w:rsidRDefault="004F2078">
            <w:pPr>
              <w:widowControl/>
              <w:spacing w:line="240" w:lineRule="exact"/>
              <w:jc w:val="center"/>
              <w:rPr>
                <w:rFonts w:ascii="仿宋_GB2312" w:eastAsia="仿宋_GB2312" w:hAnsi="宋体" w:cs="宋体"/>
                <w:kern w:val="0"/>
              </w:rPr>
            </w:pPr>
            <w:r w:rsidRPr="004F2078">
              <w:rPr>
                <w:rFonts w:ascii="仿宋_GB2312" w:eastAsia="仿宋_GB2312" w:hAnsi="宋体" w:cs="宋体"/>
                <w:kern w:val="0"/>
              </w:rPr>
              <w:t>555.17</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right w:val="single" w:sz="4" w:space="0" w:color="auto"/>
            </w:tcBorders>
            <w:vAlign w:val="bottom"/>
            <w:hideMark/>
          </w:tcPr>
          <w:p w:rsidR="002A11C9" w:rsidRDefault="002A11C9" w:rsidP="00E0092C">
            <w:pPr>
              <w:widowControl/>
              <w:jc w:val="center"/>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714166">
            <w:pPr>
              <w:widowControl/>
              <w:spacing w:line="240" w:lineRule="exact"/>
              <w:jc w:val="left"/>
              <w:rPr>
                <w:rFonts w:ascii="仿宋_GB2312" w:eastAsia="仿宋_GB2312" w:hAnsi="宋体" w:cs="宋体"/>
                <w:color w:val="000000"/>
                <w:kern w:val="0"/>
              </w:rPr>
            </w:pPr>
            <w:r w:rsidRPr="00714166">
              <w:rPr>
                <w:rFonts w:ascii="仿宋_GB2312" w:eastAsia="仿宋_GB2312" w:hAnsi="宋体" w:cs="宋体" w:hint="eastAsia"/>
                <w:color w:val="000000"/>
                <w:kern w:val="0"/>
              </w:rPr>
              <w:t>全年审判执行文书数量（份）</w:t>
            </w:r>
          </w:p>
        </w:tc>
        <w:tc>
          <w:tcPr>
            <w:tcW w:w="1300" w:type="dxa"/>
            <w:tcBorders>
              <w:top w:val="single" w:sz="4" w:space="0" w:color="auto"/>
              <w:left w:val="nil"/>
              <w:bottom w:val="single" w:sz="4" w:space="0" w:color="auto"/>
              <w:right w:val="single" w:sz="4" w:space="0" w:color="auto"/>
            </w:tcBorders>
            <w:vAlign w:val="center"/>
          </w:tcPr>
          <w:p w:rsidR="002A11C9" w:rsidRDefault="00F403FE">
            <w:pPr>
              <w:widowControl/>
              <w:spacing w:line="240" w:lineRule="exact"/>
              <w:jc w:val="center"/>
              <w:rPr>
                <w:rFonts w:ascii="仿宋_GB2312" w:eastAsia="仿宋_GB2312" w:hAnsi="宋体" w:cs="宋体"/>
                <w:kern w:val="0"/>
              </w:rPr>
            </w:pPr>
            <w:r w:rsidRPr="00F403FE">
              <w:rPr>
                <w:rFonts w:ascii="仿宋_GB2312" w:eastAsia="仿宋_GB2312" w:hAnsi="宋体" w:cs="宋体"/>
                <w:kern w:val="0"/>
              </w:rPr>
              <w:t>77412</w:t>
            </w:r>
          </w:p>
        </w:tc>
        <w:tc>
          <w:tcPr>
            <w:tcW w:w="1275" w:type="dxa"/>
            <w:tcBorders>
              <w:top w:val="single" w:sz="4" w:space="0" w:color="auto"/>
              <w:left w:val="nil"/>
              <w:bottom w:val="single" w:sz="4" w:space="0" w:color="auto"/>
              <w:right w:val="single" w:sz="4" w:space="0" w:color="auto"/>
            </w:tcBorders>
            <w:vAlign w:val="center"/>
          </w:tcPr>
          <w:p w:rsidR="002A11C9" w:rsidRDefault="004F2078">
            <w:pPr>
              <w:widowControl/>
              <w:spacing w:line="240" w:lineRule="exact"/>
              <w:jc w:val="center"/>
              <w:rPr>
                <w:rFonts w:ascii="仿宋_GB2312" w:eastAsia="仿宋_GB2312" w:hAnsi="宋体" w:cs="宋体"/>
                <w:kern w:val="0"/>
              </w:rPr>
            </w:pPr>
            <w:r w:rsidRPr="004F2078">
              <w:rPr>
                <w:rFonts w:ascii="仿宋_GB2312" w:eastAsia="仿宋_GB2312" w:hAnsi="宋体" w:cs="宋体"/>
                <w:kern w:val="0"/>
              </w:rPr>
              <w:t>78615</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03207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032079" w:rsidRDefault="0003207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032079" w:rsidRDefault="00032079">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bottom"/>
            <w:hideMark/>
          </w:tcPr>
          <w:p w:rsidR="00032079" w:rsidRDefault="00032079" w:rsidP="00E0092C">
            <w:pPr>
              <w:widowControl/>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032079" w:rsidRPr="00032079" w:rsidRDefault="00032079">
            <w:pPr>
              <w:widowControl/>
              <w:spacing w:line="240" w:lineRule="exact"/>
              <w:jc w:val="left"/>
              <w:rPr>
                <w:rFonts w:ascii="仿宋_GB2312" w:eastAsia="仿宋_GB2312" w:hAnsi="宋体" w:cs="宋体"/>
                <w:color w:val="000000"/>
                <w:kern w:val="0"/>
              </w:rPr>
            </w:pPr>
            <w:r w:rsidRPr="00032079">
              <w:rPr>
                <w:rFonts w:ascii="仿宋_GB2312" w:eastAsia="仿宋_GB2312" w:hAnsi="宋体" w:cs="宋体" w:hint="eastAsia"/>
                <w:color w:val="000000"/>
                <w:kern w:val="0"/>
              </w:rPr>
              <w:t>数字化档案数量（卷）</w:t>
            </w:r>
          </w:p>
        </w:tc>
        <w:tc>
          <w:tcPr>
            <w:tcW w:w="1300" w:type="dxa"/>
            <w:tcBorders>
              <w:top w:val="single" w:sz="4" w:space="0" w:color="auto"/>
              <w:left w:val="nil"/>
              <w:bottom w:val="single" w:sz="4" w:space="0" w:color="auto"/>
              <w:right w:val="single" w:sz="4" w:space="0" w:color="auto"/>
            </w:tcBorders>
            <w:vAlign w:val="center"/>
          </w:tcPr>
          <w:p w:rsidR="00032079" w:rsidRDefault="004B2802">
            <w:pPr>
              <w:widowControl/>
              <w:spacing w:line="240" w:lineRule="exact"/>
              <w:jc w:val="center"/>
              <w:rPr>
                <w:rFonts w:ascii="仿宋_GB2312" w:eastAsia="仿宋_GB2312" w:hAnsi="宋体" w:cs="宋体"/>
                <w:kern w:val="0"/>
              </w:rPr>
            </w:pPr>
            <w:r w:rsidRPr="004B2802">
              <w:rPr>
                <w:rFonts w:ascii="仿宋_GB2312" w:eastAsia="仿宋_GB2312" w:hAnsi="宋体" w:cs="宋体"/>
                <w:kern w:val="0"/>
              </w:rPr>
              <w:t>60000</w:t>
            </w:r>
          </w:p>
        </w:tc>
        <w:tc>
          <w:tcPr>
            <w:tcW w:w="1275" w:type="dxa"/>
            <w:tcBorders>
              <w:top w:val="single" w:sz="4" w:space="0" w:color="auto"/>
              <w:left w:val="nil"/>
              <w:bottom w:val="single" w:sz="4" w:space="0" w:color="auto"/>
              <w:right w:val="single" w:sz="4" w:space="0" w:color="auto"/>
            </w:tcBorders>
            <w:vAlign w:val="center"/>
          </w:tcPr>
          <w:p w:rsidR="0003207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61315</w:t>
            </w:r>
          </w:p>
        </w:tc>
        <w:tc>
          <w:tcPr>
            <w:tcW w:w="709" w:type="dxa"/>
            <w:gridSpan w:val="2"/>
            <w:tcBorders>
              <w:top w:val="single" w:sz="4" w:space="0" w:color="auto"/>
              <w:left w:val="nil"/>
              <w:bottom w:val="single" w:sz="4" w:space="0" w:color="auto"/>
              <w:right w:val="single" w:sz="4" w:space="0" w:color="auto"/>
            </w:tcBorders>
            <w:vAlign w:val="center"/>
          </w:tcPr>
          <w:p w:rsidR="0003207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03207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032079" w:rsidRDefault="0003207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val="restart"/>
            <w:tcBorders>
              <w:top w:val="single" w:sz="4" w:space="0" w:color="auto"/>
              <w:left w:val="nil"/>
              <w:right w:val="single" w:sz="4" w:space="0" w:color="auto"/>
            </w:tcBorders>
            <w:vAlign w:val="center"/>
            <w:hideMark/>
          </w:tcPr>
          <w:p w:rsidR="00916B36" w:rsidRDefault="00916B36">
            <w:pPr>
              <w:widowControl/>
              <w:spacing w:line="240" w:lineRule="exact"/>
              <w:jc w:val="center"/>
              <w:rPr>
                <w:rFonts w:ascii="仿宋_GB2312" w:eastAsia="仿宋_GB2312" w:hAnsi="宋体" w:cs="宋体"/>
                <w:kern w:val="0"/>
              </w:rPr>
            </w:pP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D853D3">
            <w:pPr>
              <w:widowControl/>
              <w:spacing w:line="240" w:lineRule="exact"/>
              <w:jc w:val="left"/>
              <w:rPr>
                <w:rFonts w:ascii="仿宋_GB2312" w:eastAsia="仿宋_GB2312" w:hAnsi="宋体" w:cs="宋体"/>
                <w:color w:val="000000"/>
                <w:kern w:val="0"/>
              </w:rPr>
            </w:pPr>
            <w:r w:rsidRPr="00D853D3">
              <w:rPr>
                <w:rFonts w:ascii="仿宋_GB2312" w:eastAsia="仿宋_GB2312" w:hAnsi="宋体" w:cs="宋体" w:hint="eastAsia"/>
                <w:color w:val="000000"/>
                <w:kern w:val="0"/>
              </w:rPr>
              <w:t>一审判决案件改判发回重审率（瑕疵）</w:t>
            </w:r>
          </w:p>
        </w:tc>
        <w:tc>
          <w:tcPr>
            <w:tcW w:w="1300" w:type="dxa"/>
            <w:tcBorders>
              <w:top w:val="single" w:sz="4" w:space="0" w:color="auto"/>
              <w:left w:val="nil"/>
              <w:bottom w:val="single" w:sz="4" w:space="0" w:color="auto"/>
              <w:right w:val="single" w:sz="4" w:space="0" w:color="auto"/>
            </w:tcBorders>
            <w:vAlign w:val="center"/>
          </w:tcPr>
          <w:p w:rsidR="002A11C9" w:rsidRDefault="004B2802">
            <w:pPr>
              <w:widowControl/>
              <w:spacing w:line="240" w:lineRule="exact"/>
              <w:jc w:val="center"/>
              <w:rPr>
                <w:rFonts w:ascii="仿宋_GB2312" w:eastAsia="仿宋_GB2312" w:hAnsi="宋体" w:cs="宋体"/>
                <w:kern w:val="0"/>
              </w:rPr>
            </w:pPr>
            <w:r w:rsidRPr="004B2802">
              <w:rPr>
                <w:rFonts w:ascii="仿宋_GB2312" w:eastAsia="仿宋_GB2312" w:hAnsi="宋体" w:cs="宋体"/>
                <w:kern w:val="0"/>
              </w:rPr>
              <w:t>0.02%</w:t>
            </w:r>
          </w:p>
        </w:tc>
        <w:tc>
          <w:tcPr>
            <w:tcW w:w="1275" w:type="dxa"/>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0.51%</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3</w:t>
            </w:r>
          </w:p>
        </w:tc>
        <w:tc>
          <w:tcPr>
            <w:tcW w:w="3042" w:type="dxa"/>
            <w:gridSpan w:val="2"/>
            <w:tcBorders>
              <w:top w:val="single" w:sz="4" w:space="0" w:color="auto"/>
              <w:left w:val="nil"/>
              <w:bottom w:val="single" w:sz="4" w:space="0" w:color="auto"/>
              <w:right w:val="single" w:sz="4" w:space="0" w:color="auto"/>
            </w:tcBorders>
            <w:vAlign w:val="center"/>
          </w:tcPr>
          <w:p w:rsidR="002A11C9" w:rsidRDefault="004D7743">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我院去年改判发回率为0.73%，今年为0.51%，超过基础指标0.02%，但与去年数值相比下降，达到良好。我院今后各庭室应坚持开展发改案件讲评，加强与上级法院的沟通，统一裁判尺度；提高案件审理质量，避免速裁案件的串案发改；将各庭室每季度发改案件讲评工作开展情况纳入本院目标责任制考核工作中并坚持考核；探索开展双向评查工作，推动案件质量持续提高。</w:t>
            </w: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471C89">
            <w:pPr>
              <w:widowControl/>
              <w:spacing w:line="240" w:lineRule="exact"/>
              <w:jc w:val="left"/>
              <w:rPr>
                <w:rFonts w:ascii="仿宋_GB2312" w:eastAsia="仿宋_GB2312" w:hAnsi="宋体" w:cs="宋体"/>
                <w:color w:val="000000"/>
                <w:kern w:val="0"/>
              </w:rPr>
            </w:pPr>
            <w:r w:rsidRPr="00471C89">
              <w:rPr>
                <w:rFonts w:ascii="仿宋_GB2312" w:eastAsia="仿宋_GB2312" w:hAnsi="宋体" w:cs="宋体" w:hint="eastAsia"/>
                <w:color w:val="000000"/>
                <w:kern w:val="0"/>
              </w:rPr>
              <w:t>裁判文书上网率</w:t>
            </w:r>
          </w:p>
        </w:tc>
        <w:tc>
          <w:tcPr>
            <w:tcW w:w="1300" w:type="dxa"/>
            <w:tcBorders>
              <w:top w:val="single" w:sz="4" w:space="0" w:color="auto"/>
              <w:left w:val="nil"/>
              <w:bottom w:val="single" w:sz="4" w:space="0" w:color="auto"/>
              <w:right w:val="single" w:sz="4" w:space="0" w:color="auto"/>
            </w:tcBorders>
            <w:vAlign w:val="center"/>
          </w:tcPr>
          <w:p w:rsidR="002A11C9" w:rsidRDefault="004B2802">
            <w:pPr>
              <w:widowControl/>
              <w:spacing w:line="240" w:lineRule="exact"/>
              <w:jc w:val="center"/>
              <w:rPr>
                <w:rFonts w:ascii="仿宋_GB2312" w:eastAsia="仿宋_GB2312" w:hAnsi="宋体" w:cs="宋体"/>
                <w:kern w:val="0"/>
              </w:rPr>
            </w:pPr>
            <w:r w:rsidRPr="004B2802">
              <w:rPr>
                <w:rFonts w:ascii="仿宋_GB2312" w:eastAsia="仿宋_GB2312" w:hAnsi="宋体" w:cs="宋体"/>
                <w:kern w:val="0"/>
              </w:rPr>
              <w:t>100%</w:t>
            </w:r>
          </w:p>
        </w:tc>
        <w:tc>
          <w:tcPr>
            <w:tcW w:w="1275" w:type="dxa"/>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100%</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投诉信访率</w:t>
            </w:r>
          </w:p>
        </w:tc>
        <w:tc>
          <w:tcPr>
            <w:tcW w:w="1300" w:type="dxa"/>
            <w:tcBorders>
              <w:top w:val="single" w:sz="4" w:space="0" w:color="auto"/>
              <w:left w:val="nil"/>
              <w:bottom w:val="single" w:sz="4" w:space="0" w:color="auto"/>
              <w:right w:val="single" w:sz="4" w:space="0" w:color="auto"/>
            </w:tcBorders>
            <w:vAlign w:val="center"/>
          </w:tcPr>
          <w:p w:rsidR="002A11C9" w:rsidRDefault="004B2802">
            <w:pPr>
              <w:widowControl/>
              <w:spacing w:line="240" w:lineRule="exact"/>
              <w:jc w:val="center"/>
              <w:rPr>
                <w:rFonts w:ascii="仿宋_GB2312" w:eastAsia="仿宋_GB2312" w:hAnsi="宋体" w:cs="宋体"/>
                <w:kern w:val="0"/>
              </w:rPr>
            </w:pPr>
            <w:r w:rsidRPr="004B2802">
              <w:rPr>
                <w:rFonts w:ascii="仿宋_GB2312" w:eastAsia="仿宋_GB2312" w:hAnsi="宋体" w:cs="宋体"/>
                <w:kern w:val="0"/>
              </w:rPr>
              <w:t>0.1%</w:t>
            </w:r>
          </w:p>
        </w:tc>
        <w:tc>
          <w:tcPr>
            <w:tcW w:w="1275" w:type="dxa"/>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0.11%</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4.5</w:t>
            </w:r>
          </w:p>
        </w:tc>
        <w:tc>
          <w:tcPr>
            <w:tcW w:w="3042" w:type="dxa"/>
            <w:gridSpan w:val="2"/>
            <w:tcBorders>
              <w:top w:val="single" w:sz="4" w:space="0" w:color="auto"/>
              <w:left w:val="nil"/>
              <w:bottom w:val="single" w:sz="4" w:space="0" w:color="auto"/>
              <w:right w:val="single" w:sz="4" w:space="0" w:color="auto"/>
            </w:tcBorders>
            <w:vAlign w:val="center"/>
          </w:tcPr>
          <w:p w:rsidR="002A11C9" w:rsidRDefault="004D7743">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在2021年度目标责任制考核中，我院投诉信访率得分为0.6分，全市排名第8。我院要积极将信访工作从被动变为主动，工作中做好超前防控、措施到位，充分发挥司法调解的整体优势。认真热情的做好信访工作，充分发挥信访工作职能，及时妥善的化解各类矛盾纠纷，理顺群众情绪，引导群众理性表达信访诉求，促进社会稳定。</w:t>
            </w:r>
          </w:p>
        </w:tc>
      </w:tr>
      <w:tr w:rsidR="00916B36"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916B36" w:rsidRDefault="00916B36">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916B36" w:rsidRDefault="00916B36">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center"/>
            <w:hideMark/>
          </w:tcPr>
          <w:p w:rsidR="00916B36" w:rsidRDefault="00916B36">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916B36" w:rsidRPr="00916B36"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执行质效</w:t>
            </w:r>
          </w:p>
        </w:tc>
        <w:tc>
          <w:tcPr>
            <w:tcW w:w="1300" w:type="dxa"/>
            <w:tcBorders>
              <w:top w:val="single" w:sz="4" w:space="0" w:color="auto"/>
              <w:left w:val="nil"/>
              <w:bottom w:val="single" w:sz="4" w:space="0" w:color="auto"/>
              <w:right w:val="single" w:sz="4" w:space="0" w:color="auto"/>
            </w:tcBorders>
            <w:vAlign w:val="center"/>
          </w:tcPr>
          <w:p w:rsidR="00916B36" w:rsidRDefault="0065254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97.5%</w:t>
            </w:r>
          </w:p>
        </w:tc>
        <w:tc>
          <w:tcPr>
            <w:tcW w:w="1275" w:type="dxa"/>
            <w:tcBorders>
              <w:top w:val="single" w:sz="4" w:space="0" w:color="auto"/>
              <w:left w:val="nil"/>
              <w:bottom w:val="single" w:sz="4" w:space="0" w:color="auto"/>
              <w:right w:val="single" w:sz="4" w:space="0" w:color="auto"/>
            </w:tcBorders>
            <w:vAlign w:val="center"/>
          </w:tcPr>
          <w:p w:rsidR="00916B36"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99.75%</w:t>
            </w:r>
          </w:p>
        </w:tc>
        <w:tc>
          <w:tcPr>
            <w:tcW w:w="709" w:type="dxa"/>
            <w:gridSpan w:val="2"/>
            <w:tcBorders>
              <w:top w:val="single" w:sz="4" w:space="0" w:color="auto"/>
              <w:left w:val="nil"/>
              <w:bottom w:val="single" w:sz="4" w:space="0" w:color="auto"/>
              <w:right w:val="single" w:sz="4" w:space="0" w:color="auto"/>
            </w:tcBorders>
            <w:vAlign w:val="center"/>
          </w:tcPr>
          <w:p w:rsidR="00916B36"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916B36"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916B36" w:rsidRDefault="00916B36">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val="restart"/>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结收比</w:t>
            </w:r>
          </w:p>
        </w:tc>
        <w:tc>
          <w:tcPr>
            <w:tcW w:w="1300" w:type="dxa"/>
            <w:tcBorders>
              <w:top w:val="single" w:sz="4" w:space="0" w:color="auto"/>
              <w:left w:val="nil"/>
              <w:bottom w:val="single" w:sz="4" w:space="0" w:color="auto"/>
              <w:right w:val="single" w:sz="4" w:space="0" w:color="auto"/>
            </w:tcBorders>
            <w:vAlign w:val="center"/>
          </w:tcPr>
          <w:p w:rsidR="002A11C9" w:rsidRDefault="0065254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100.2%</w:t>
            </w:r>
          </w:p>
        </w:tc>
        <w:tc>
          <w:tcPr>
            <w:tcW w:w="1275" w:type="dxa"/>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90.1%</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4.5</w:t>
            </w:r>
          </w:p>
        </w:tc>
        <w:tc>
          <w:tcPr>
            <w:tcW w:w="3042" w:type="dxa"/>
            <w:gridSpan w:val="2"/>
            <w:tcBorders>
              <w:top w:val="single" w:sz="4" w:space="0" w:color="auto"/>
              <w:left w:val="nil"/>
              <w:bottom w:val="single" w:sz="4" w:space="0" w:color="auto"/>
              <w:right w:val="single" w:sz="4" w:space="0" w:color="auto"/>
            </w:tcBorders>
            <w:vAlign w:val="center"/>
          </w:tcPr>
          <w:p w:rsidR="002A11C9" w:rsidRDefault="004D7743">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因市高院考核办在12月临时调整考核标准，不再考核结收比，并且对立案偏度和年底立案数据进行严格要求，因此结收比较原定目标有下降。</w:t>
            </w: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电子送达覆盖率</w:t>
            </w:r>
          </w:p>
        </w:tc>
        <w:tc>
          <w:tcPr>
            <w:tcW w:w="1300" w:type="dxa"/>
            <w:tcBorders>
              <w:top w:val="single" w:sz="4" w:space="0" w:color="auto"/>
              <w:left w:val="nil"/>
              <w:bottom w:val="single" w:sz="4" w:space="0" w:color="auto"/>
              <w:right w:val="single" w:sz="4" w:space="0" w:color="auto"/>
            </w:tcBorders>
            <w:vAlign w:val="center"/>
          </w:tcPr>
          <w:p w:rsidR="002A11C9" w:rsidRDefault="0065254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51.73%</w:t>
            </w:r>
          </w:p>
        </w:tc>
        <w:tc>
          <w:tcPr>
            <w:tcW w:w="1275" w:type="dxa"/>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56.44%</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全口径案件成本（万元）</w:t>
            </w:r>
          </w:p>
        </w:tc>
        <w:tc>
          <w:tcPr>
            <w:tcW w:w="1300" w:type="dxa"/>
            <w:tcBorders>
              <w:top w:val="single" w:sz="4" w:space="0" w:color="auto"/>
              <w:left w:val="nil"/>
              <w:bottom w:val="single" w:sz="4" w:space="0" w:color="auto"/>
              <w:right w:val="single" w:sz="4" w:space="0" w:color="auto"/>
            </w:tcBorders>
            <w:vAlign w:val="center"/>
          </w:tcPr>
          <w:p w:rsidR="002A11C9" w:rsidRDefault="0065254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0.116821</w:t>
            </w:r>
          </w:p>
        </w:tc>
        <w:tc>
          <w:tcPr>
            <w:tcW w:w="1275" w:type="dxa"/>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0.108589</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2A11C9"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效益指标</w:t>
            </w:r>
          </w:p>
        </w:tc>
        <w:tc>
          <w:tcPr>
            <w:tcW w:w="110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经济效益</w:t>
            </w:r>
          </w:p>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网上预约立案数量（占全部收案数量的比重）</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40%</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43.55%</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709" w:type="dxa"/>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保证首都经济运转和维护营商环境情况（文字描述）</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hint="eastAsia"/>
                <w:kern w:val="0"/>
              </w:rPr>
              <w:t>有效保障</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hint="eastAsia"/>
                <w:kern w:val="0"/>
              </w:rPr>
              <w:t>充分有效保障</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709" w:type="dxa"/>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社会效益</w:t>
            </w:r>
          </w:p>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脱贫攻坚及营商环境（结案情况）</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28817</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29714</w:t>
            </w:r>
          </w:p>
        </w:tc>
        <w:tc>
          <w:tcPr>
            <w:tcW w:w="709" w:type="dxa"/>
            <w:gridSpan w:val="2"/>
            <w:tcBorders>
              <w:top w:val="single" w:sz="4" w:space="0" w:color="auto"/>
              <w:left w:val="nil"/>
              <w:bottom w:val="single" w:sz="4" w:space="0" w:color="auto"/>
              <w:right w:val="single" w:sz="4" w:space="0" w:color="auto"/>
            </w:tcBorders>
            <w:vAlign w:val="center"/>
          </w:tcPr>
          <w:p w:rsidR="001F0221"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首都治安（结案情况）</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3358</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3203</w:t>
            </w:r>
          </w:p>
        </w:tc>
        <w:tc>
          <w:tcPr>
            <w:tcW w:w="709" w:type="dxa"/>
            <w:gridSpan w:val="2"/>
            <w:tcBorders>
              <w:top w:val="single" w:sz="4" w:space="0" w:color="auto"/>
              <w:left w:val="nil"/>
              <w:bottom w:val="single" w:sz="4" w:space="0" w:color="auto"/>
              <w:right w:val="single" w:sz="4" w:space="0" w:color="auto"/>
            </w:tcBorders>
            <w:vAlign w:val="center"/>
          </w:tcPr>
          <w:p w:rsidR="001F0221"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4.5</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12月受疫情影响，无法提押，无法开庭，因此结案数下降</w:t>
            </w: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解决执行难（执结案件数）</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32353</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31728</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709" w:type="dxa"/>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3.6</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因市高院调整司法统计案件范畴，执行恢复、执行保全案件未未计入全年结案数</w:t>
            </w: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生态效益</w:t>
            </w:r>
          </w:p>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环境保护（结案情况）</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709"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c>
          <w:tcPr>
            <w:tcW w:w="709"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可持续影响指标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司法为民、公正司法情况（文字）</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hint="eastAsia"/>
                <w:kern w:val="0"/>
              </w:rPr>
              <w:t>发挥保障和改善民生职能作用，提升司法服务质效，大力推进解决执行难，加大普法力度</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hint="eastAsia"/>
                <w:kern w:val="0"/>
              </w:rPr>
              <w:t>大力发挥保障和改善民生职能作用，大力提升司法服务质效，大力推进切实解决执行难，大力推动普法常态化建</w:t>
            </w:r>
            <w:r w:rsidRPr="00937017">
              <w:rPr>
                <w:rFonts w:ascii="仿宋_GB2312" w:eastAsia="仿宋_GB2312" w:hAnsi="宋体" w:cs="宋体" w:hint="eastAsia"/>
                <w:kern w:val="0"/>
              </w:rPr>
              <w:lastRenderedPageBreak/>
              <w:t>设。</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lastRenderedPageBreak/>
              <w:t>4</w:t>
            </w:r>
          </w:p>
        </w:tc>
        <w:tc>
          <w:tcPr>
            <w:tcW w:w="709" w:type="dxa"/>
            <w:tcBorders>
              <w:top w:val="single" w:sz="4" w:space="0" w:color="auto"/>
              <w:left w:val="nil"/>
              <w:bottom w:val="single" w:sz="4" w:space="0" w:color="auto"/>
              <w:right w:val="single" w:sz="4" w:space="0" w:color="auto"/>
            </w:tcBorders>
            <w:vAlign w:val="center"/>
          </w:tcPr>
          <w:p w:rsidR="001F0221" w:rsidRDefault="00ED2BD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满意度</w:t>
            </w:r>
          </w:p>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w:t>
            </w:r>
          </w:p>
        </w:tc>
        <w:tc>
          <w:tcPr>
            <w:tcW w:w="110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服务对象满意度标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同级人民代表大会通过、赞成率</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E6919">
              <w:rPr>
                <w:rFonts w:ascii="仿宋_GB2312" w:eastAsia="仿宋_GB2312" w:hAnsi="宋体" w:cs="宋体"/>
                <w:kern w:val="0"/>
              </w:rPr>
              <w:t>97.04%</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99.07%</w:t>
            </w:r>
          </w:p>
        </w:tc>
        <w:tc>
          <w:tcPr>
            <w:tcW w:w="709" w:type="dxa"/>
            <w:gridSpan w:val="2"/>
            <w:tcBorders>
              <w:top w:val="single" w:sz="4" w:space="0" w:color="auto"/>
              <w:left w:val="nil"/>
              <w:bottom w:val="single" w:sz="4" w:space="0" w:color="auto"/>
              <w:right w:val="single" w:sz="4" w:space="0" w:color="auto"/>
            </w:tcBorders>
            <w:vAlign w:val="center"/>
          </w:tcPr>
          <w:p w:rsidR="001F0221"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tcBorders>
              <w:top w:val="single" w:sz="4" w:space="0" w:color="auto"/>
              <w:left w:val="nil"/>
              <w:bottom w:val="single" w:sz="4" w:space="0" w:color="auto"/>
              <w:right w:val="single" w:sz="4" w:space="0" w:color="auto"/>
            </w:tcBorders>
            <w:vAlign w:val="center"/>
          </w:tcPr>
          <w:p w:rsidR="001F0221" w:rsidRDefault="00ED2BD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群众满意度（文字）</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E6919">
              <w:rPr>
                <w:rFonts w:ascii="仿宋_GB2312" w:eastAsia="仿宋_GB2312" w:hAnsi="宋体" w:cs="宋体" w:hint="eastAsia"/>
                <w:kern w:val="0"/>
              </w:rPr>
              <w:t>基本满意</w:t>
            </w:r>
          </w:p>
        </w:tc>
        <w:tc>
          <w:tcPr>
            <w:tcW w:w="1275"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hint="eastAsia"/>
                <w:kern w:val="0"/>
              </w:rPr>
              <w:t>基本满意</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709" w:type="dxa"/>
            <w:tcBorders>
              <w:top w:val="single" w:sz="4" w:space="0" w:color="auto"/>
              <w:left w:val="nil"/>
              <w:bottom w:val="single" w:sz="4" w:space="0" w:color="auto"/>
              <w:right w:val="single" w:sz="4" w:space="0" w:color="auto"/>
            </w:tcBorders>
            <w:vAlign w:val="center"/>
          </w:tcPr>
          <w:p w:rsidR="001F0221" w:rsidRDefault="00ED2BD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477"/>
          <w:jc w:val="center"/>
        </w:trPr>
        <w:tc>
          <w:tcPr>
            <w:tcW w:w="7377" w:type="dxa"/>
            <w:gridSpan w:val="8"/>
            <w:tcBorders>
              <w:top w:val="single" w:sz="4" w:space="0" w:color="auto"/>
              <w:left w:val="single" w:sz="4" w:space="0" w:color="auto"/>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color w:val="000000"/>
                <w:kern w:val="0"/>
              </w:rPr>
            </w:pPr>
            <w:r>
              <w:rPr>
                <w:rFonts w:ascii="仿宋_GB2312" w:eastAsia="仿宋_GB2312" w:hAnsi="宋体" w:cs="宋体" w:hint="eastAsia"/>
                <w:color w:val="000000"/>
                <w:kern w:val="0"/>
              </w:rPr>
              <w:t>总分</w:t>
            </w:r>
          </w:p>
        </w:tc>
        <w:tc>
          <w:tcPr>
            <w:tcW w:w="709" w:type="dxa"/>
            <w:gridSpan w:val="2"/>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color w:val="000000"/>
                <w:kern w:val="0"/>
              </w:rPr>
            </w:pPr>
            <w:r>
              <w:rPr>
                <w:rFonts w:ascii="仿宋_GB2312" w:eastAsia="仿宋_GB2312" w:hAnsi="宋体" w:cs="宋体" w:hint="eastAsia"/>
                <w:color w:val="000000"/>
                <w:kern w:val="0"/>
              </w:rPr>
              <w:t>100</w:t>
            </w:r>
          </w:p>
        </w:tc>
        <w:tc>
          <w:tcPr>
            <w:tcW w:w="709" w:type="dxa"/>
            <w:tcBorders>
              <w:top w:val="single" w:sz="4" w:space="0" w:color="auto"/>
              <w:left w:val="nil"/>
              <w:bottom w:val="single" w:sz="4" w:space="0" w:color="auto"/>
              <w:right w:val="single" w:sz="4" w:space="0" w:color="auto"/>
            </w:tcBorders>
            <w:vAlign w:val="center"/>
          </w:tcPr>
          <w:p w:rsidR="001F0221" w:rsidRDefault="00BF42FF">
            <w:pPr>
              <w:widowControl/>
              <w:spacing w:line="240" w:lineRule="exact"/>
              <w:jc w:val="center"/>
              <w:rPr>
                <w:rFonts w:ascii="仿宋_GB2312" w:eastAsia="仿宋_GB2312" w:hAnsi="宋体" w:cs="宋体"/>
                <w:color w:val="000000"/>
                <w:kern w:val="0"/>
              </w:rPr>
            </w:pPr>
            <w:r>
              <w:rPr>
                <w:rFonts w:ascii="仿宋_GB2312" w:eastAsia="仿宋_GB2312" w:hAnsi="宋体" w:cs="宋体" w:hint="eastAsia"/>
                <w:color w:val="000000"/>
                <w:kern w:val="0"/>
              </w:rPr>
              <w:t>94.5</w:t>
            </w:r>
          </w:p>
        </w:tc>
        <w:tc>
          <w:tcPr>
            <w:tcW w:w="3042"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bl>
    <w:p w:rsidR="001B4A66" w:rsidRDefault="001B4A66" w:rsidP="001B4A66">
      <w:pPr>
        <w:rPr>
          <w:rFonts w:ascii="仿宋_GB2312" w:eastAsia="仿宋_GB2312"/>
          <w:vanish/>
          <w:sz w:val="32"/>
          <w:szCs w:val="32"/>
        </w:rPr>
      </w:pPr>
      <w:r>
        <w:rPr>
          <w:rFonts w:ascii="仿宋_GB2312" w:eastAsia="仿宋_GB2312" w:hint="eastAsia"/>
          <w:vanish/>
          <w:sz w:val="32"/>
          <w:szCs w:val="32"/>
        </w:rPr>
        <w:t xml:space="preserve"> </w:t>
      </w:r>
    </w:p>
    <w:p w:rsidR="001B4A66" w:rsidRDefault="001B4A66" w:rsidP="001B4A66">
      <w:pPr>
        <w:widowControl/>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p>
    <w:sectPr w:rsidR="001B4A66" w:rsidSect="00D01A9B">
      <w:pgSz w:w="15840" w:h="12240" w:orient="landscape"/>
      <w:pgMar w:top="1800" w:right="1440" w:bottom="1800" w:left="1440" w:header="720" w:footer="720"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21D" w:rsidRDefault="0018421D" w:rsidP="0094519C">
      <w:r>
        <w:separator/>
      </w:r>
    </w:p>
  </w:endnote>
  <w:endnote w:type="continuationSeparator" w:id="1">
    <w:p w:rsidR="0018421D" w:rsidRDefault="0018421D" w:rsidP="009451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00000000000000000"/>
    <w:charset w:val="86"/>
    <w:family w:val="auto"/>
    <w:pitch w:val="variable"/>
    <w:sig w:usb0="A00002BF" w:usb1="184F6CFA" w:usb2="00000012"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21D" w:rsidRDefault="0018421D" w:rsidP="0094519C">
      <w:r>
        <w:separator/>
      </w:r>
    </w:p>
  </w:footnote>
  <w:footnote w:type="continuationSeparator" w:id="1">
    <w:p w:rsidR="0018421D" w:rsidRDefault="0018421D" w:rsidP="009451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4A66"/>
    <w:rsid w:val="00032079"/>
    <w:rsid w:val="001618B0"/>
    <w:rsid w:val="0018421D"/>
    <w:rsid w:val="00191374"/>
    <w:rsid w:val="001B4A66"/>
    <w:rsid w:val="001F0221"/>
    <w:rsid w:val="002A11C9"/>
    <w:rsid w:val="002F1E01"/>
    <w:rsid w:val="00383DB5"/>
    <w:rsid w:val="003A6C07"/>
    <w:rsid w:val="003F065B"/>
    <w:rsid w:val="00422B46"/>
    <w:rsid w:val="00427DE8"/>
    <w:rsid w:val="0043408E"/>
    <w:rsid w:val="00471C89"/>
    <w:rsid w:val="004B2802"/>
    <w:rsid w:val="004D7743"/>
    <w:rsid w:val="004F2078"/>
    <w:rsid w:val="00534E96"/>
    <w:rsid w:val="00652541"/>
    <w:rsid w:val="00673834"/>
    <w:rsid w:val="006E6919"/>
    <w:rsid w:val="00714166"/>
    <w:rsid w:val="0076114A"/>
    <w:rsid w:val="00777134"/>
    <w:rsid w:val="007D7CB0"/>
    <w:rsid w:val="00820E22"/>
    <w:rsid w:val="0082148B"/>
    <w:rsid w:val="008358BE"/>
    <w:rsid w:val="00883F8E"/>
    <w:rsid w:val="008D4893"/>
    <w:rsid w:val="00916B36"/>
    <w:rsid w:val="00937017"/>
    <w:rsid w:val="0094519C"/>
    <w:rsid w:val="00A76626"/>
    <w:rsid w:val="00AC7D0F"/>
    <w:rsid w:val="00B82291"/>
    <w:rsid w:val="00BF42FF"/>
    <w:rsid w:val="00C3068E"/>
    <w:rsid w:val="00C36367"/>
    <w:rsid w:val="00C879A4"/>
    <w:rsid w:val="00CD0F91"/>
    <w:rsid w:val="00CE3CED"/>
    <w:rsid w:val="00D01A9B"/>
    <w:rsid w:val="00D853D3"/>
    <w:rsid w:val="00D979D0"/>
    <w:rsid w:val="00E0092C"/>
    <w:rsid w:val="00E728F1"/>
    <w:rsid w:val="00ED2BD6"/>
    <w:rsid w:val="00F403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A66"/>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51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4519C"/>
    <w:rPr>
      <w:rFonts w:ascii="Times New Roman" w:eastAsia="宋体" w:hAnsi="Times New Roman" w:cs="Times New Roman"/>
      <w:sz w:val="18"/>
      <w:szCs w:val="18"/>
    </w:rPr>
  </w:style>
  <w:style w:type="paragraph" w:styleId="a4">
    <w:name w:val="footer"/>
    <w:basedOn w:val="a"/>
    <w:link w:val="Char0"/>
    <w:uiPriority w:val="99"/>
    <w:semiHidden/>
    <w:unhideWhenUsed/>
    <w:rsid w:val="009451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4519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00898507">
      <w:bodyDiv w:val="1"/>
      <w:marLeft w:val="0"/>
      <w:marRight w:val="0"/>
      <w:marTop w:val="0"/>
      <w:marBottom w:val="0"/>
      <w:divBdr>
        <w:top w:val="none" w:sz="0" w:space="0" w:color="auto"/>
        <w:left w:val="none" w:sz="0" w:space="0" w:color="auto"/>
        <w:bottom w:val="none" w:sz="0" w:space="0" w:color="auto"/>
        <w:right w:val="none" w:sz="0" w:space="0" w:color="auto"/>
      </w:divBdr>
    </w:div>
    <w:div w:id="88147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78213FF-0468-4A42-BC27-98E7C055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311</Words>
  <Characters>1778</Characters>
  <Application>Microsoft Office Word</Application>
  <DocSecurity>0</DocSecurity>
  <Lines>14</Lines>
  <Paragraphs>4</Paragraphs>
  <ScaleCrop>false</ScaleCrop>
  <Company>Lenovo</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10</cp:revision>
  <dcterms:created xsi:type="dcterms:W3CDTF">2022-05-14T09:03:00Z</dcterms:created>
  <dcterms:modified xsi:type="dcterms:W3CDTF">2022-08-26T08:36:00Z</dcterms:modified>
</cp:coreProperties>
</file>