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532" w:rsidRDefault="00C66CED">
      <w:pPr>
        <w:spacing w:line="580" w:lineRule="exact"/>
        <w:jc w:val="center"/>
        <w:rPr>
          <w:rFonts w:ascii="方正小标宋简体" w:eastAsia="方正小标宋简体"/>
          <w:sz w:val="36"/>
          <w:szCs w:val="36"/>
        </w:rPr>
      </w:pPr>
      <w:r>
        <w:rPr>
          <w:rFonts w:ascii="方正小标宋简体" w:eastAsia="方正小标宋简体" w:hint="eastAsia"/>
          <w:sz w:val="36"/>
          <w:szCs w:val="36"/>
        </w:rPr>
        <w:t>部门整体绩效评价报告</w:t>
      </w:r>
    </w:p>
    <w:p w:rsidR="002E4532" w:rsidRDefault="002E4532" w:rsidP="00501084">
      <w:pPr>
        <w:spacing w:line="580" w:lineRule="exact"/>
        <w:jc w:val="center"/>
      </w:pPr>
    </w:p>
    <w:p w:rsidR="002E4532" w:rsidRDefault="00C66CED">
      <w:pPr>
        <w:spacing w:line="56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2E4532" w:rsidRDefault="00C66CED">
      <w:pPr>
        <w:spacing w:line="560" w:lineRule="exact"/>
        <w:ind w:firstLineChars="200" w:firstLine="640"/>
        <w:rPr>
          <w:rFonts w:ascii="仿宋_GB2312" w:eastAsia="仿宋_GB2312" w:hAnsi="仿宋_GB2312" w:cs="仿宋_GB2312"/>
          <w:sz w:val="28"/>
          <w:szCs w:val="28"/>
        </w:rPr>
      </w:pPr>
      <w:r>
        <w:rPr>
          <w:rFonts w:ascii="楷体_GB2312" w:eastAsia="楷体_GB2312" w:hint="eastAsia"/>
          <w:sz w:val="32"/>
          <w:szCs w:val="32"/>
        </w:rPr>
        <w:t>（一）机构设置及职责工作任务情况</w:t>
      </w:r>
    </w:p>
    <w:p w:rsidR="002E4532" w:rsidRDefault="00C66CED">
      <w:pPr>
        <w:pStyle w:val="a0"/>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北京市海淀区人民法院内设14个部门及7个派出法庭，分别为立案庭（诉讼服务中心）、刑事审判庭（未成年人案件审判庭）、民事审判一庭、民事审判二庭（劳动争议审判庭）、民事审判三庭（破产审判庭）、民事审判四庭、民事审判五庭（知识产权审判庭）、行政审判庭、综合审判庭、执行局、审判管理办公室（研究室）、政治部（机关党委、机关纪委）、综合办公室、司法警察大队，东升人民法庭、复兴路人民法庭、山后人民法庭、四季青人民法庭、上地人民法庭、温泉人民法庭、中关村人民法庭。</w:t>
      </w:r>
    </w:p>
    <w:p w:rsidR="002E4532" w:rsidRDefault="00C66CED">
      <w:pPr>
        <w:pStyle w:val="a0"/>
        <w:spacing w:line="560" w:lineRule="exact"/>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北京市海淀区人民法院的职责是审理辖区内刑事、民商事和行政等案件，依法执行已发生法律效力的判决、裁定以及国家行政机关依法申请执行的案件。</w:t>
      </w:r>
    </w:p>
    <w:p w:rsidR="002E4532" w:rsidRDefault="00C66CE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2021年，我院总体工作目标是：坚持以习近平新时代中国特色社会主义思想为指导，深入贯彻落实党的十九大和十九届二中、三中、四中、五中全会精神，以及习近平总书记关于疫情防控重要指示精神、对政法工作重要指示和对北京重要讲话精神，紧扣高质量发展主题，坚持服务大局、司法为民、公正司法，优化审判质效和审判规范化水平，深化司法体制综合配套改革，强化过硬队伍建设，为落实区委“两新两高”战略、实现我区“十四五”规划实施开好局、起好步提供有力司法服务和保障。</w:t>
      </w:r>
    </w:p>
    <w:p w:rsidR="002E4532" w:rsidRDefault="00C66CED">
      <w:pPr>
        <w:spacing w:line="560" w:lineRule="exact"/>
        <w:ind w:firstLineChars="200" w:firstLine="640"/>
        <w:rPr>
          <w:rFonts w:ascii="楷体_GB2312" w:eastAsia="楷体_GB2312"/>
          <w:sz w:val="32"/>
          <w:szCs w:val="32"/>
        </w:rPr>
      </w:pPr>
      <w:r>
        <w:rPr>
          <w:rFonts w:ascii="楷体_GB2312" w:eastAsia="楷体_GB2312" w:hint="eastAsia"/>
          <w:sz w:val="32"/>
          <w:szCs w:val="32"/>
        </w:rPr>
        <w:t>（二）部门整体绩效目标设立情况</w:t>
      </w:r>
    </w:p>
    <w:p w:rsidR="002E4532" w:rsidRDefault="00C66CE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1.满意度指标-服务对象满意度指标</w:t>
      </w:r>
    </w:p>
    <w:p w:rsidR="002E4532" w:rsidRDefault="00C66CE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依法接受人大监督，主动向区人大常委会报告重要工作、重大改革。畅通代表委员、社会各界监督渠道，健全接受检察机关法律监督工作机制，提高司法公开的质量和实效。努力让人民群众在每一个司法案件中感受到公平正义</w:t>
      </w:r>
    </w:p>
    <w:p w:rsidR="002E4532" w:rsidRDefault="00C66CE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2.效益指标-社会效益指标</w:t>
      </w:r>
    </w:p>
    <w:p w:rsidR="002E4532" w:rsidRDefault="00C66CE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贯彻中央、市委关于疫情防控的重要指示，做好机关防疫工作。坚决打击涉疫暴力伤医、伤警的刑事犯罪案件；妥处疫情引发的民商事案件，助力复工复产、达产达效。加强对疫情影响的研判反馈，与区委区政府建立涉疫情等重大问题双向互动研判机制、疫情防控等重要工作信息专报机制。</w:t>
      </w:r>
    </w:p>
    <w:p w:rsidR="002E4532" w:rsidRDefault="00C66CE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围绕做好“六稳”工作、落实“六保”任务提供精准司法服务。主动应对区域发展新形势，紧扣“疏整促”等重点工作，深化“府院联动”，丰富双主动、多联动“2+N”联动联治诉源治理机制。保障扫黑除恶“长效常治”开局行稳致远，依法严惩各类刑事犯罪。强化知识产权、金融审判，打造匹配科技创新中心核心区、北京自贸试验区科技创新片区的专业化审判高地。</w:t>
      </w:r>
    </w:p>
    <w:p w:rsidR="002E4532" w:rsidRDefault="00C66CE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推进“执源治理”，坚持善意文明执行，保障企业正常生产经营。大力缩短诉讼用时，充分运用民事诉讼繁简分流改革措施，落实商事案件全流程管理，营造更加稳定、公平透明、可预期的营商环境。做好民法典的实施宣讲，加强民生权利全面保护。</w:t>
      </w:r>
    </w:p>
    <w:p w:rsidR="002E4532" w:rsidRDefault="00C66CE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持续推进民事诉讼繁简分流改革试点工作，在简易程序适用、完善司法确认方面有更大提升。持续完善“三纵一体”“1+7”“多元调解+速裁”审判格局，确保案件有序高效流转。深入推动“电子卷宗</w:t>
      </w:r>
      <w:r>
        <w:rPr>
          <w:rFonts w:ascii="仿宋_GB2312" w:eastAsia="仿宋_GB2312" w:hAnsi="仿宋_GB2312" w:cs="仿宋_GB2312" w:hint="eastAsia"/>
          <w:sz w:val="28"/>
          <w:szCs w:val="28"/>
        </w:rPr>
        <w:lastRenderedPageBreak/>
        <w:t>随案生成电子档案”工作，在推进在线监督管理、无纸化办公、无接触诉讼服务方面有更实举措。</w:t>
      </w:r>
    </w:p>
    <w:p w:rsidR="002E4532" w:rsidRDefault="00C66CE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坚持以习近平新时代中国特色社会主义思想为指导，始终将党的政治建设摆在首位，牢牢坚持党对司法工作的绝对领导，广泛开展向胡国运同志学习活动。继续坚持从严治党、从严治院、从严管理，继续完善“四管五控”审判管理机制，落实院庭长监管责任清单，加大中层履职档案结果运用。</w:t>
      </w:r>
    </w:p>
    <w:p w:rsidR="002E4532" w:rsidRDefault="00C66CED">
      <w:pPr>
        <w:pStyle w:val="a0"/>
        <w:spacing w:line="560" w:lineRule="exact"/>
        <w:ind w:firstLine="560"/>
      </w:pPr>
      <w:r>
        <w:rPr>
          <w:rFonts w:ascii="仿宋_GB2312" w:eastAsia="仿宋_GB2312" w:hAnsi="仿宋_GB2312" w:cs="仿宋_GB2312" w:hint="eastAsia"/>
          <w:sz w:val="28"/>
          <w:szCs w:val="28"/>
        </w:rPr>
        <w:t>以目标责任制为导向，不断提升审判质效和规范化水平。严格落实防止干预司法“三个规定”、任职回避等铁规禁令，发挥“5+3”廉政风险防控体系作用，完善纪律瑕疵档案应用，确保司法廉洁公正。着力打造知识产权审判高地、审判研究高地，发挥审判研究工作委员会、专家咨询委员会作用。</w:t>
      </w:r>
    </w:p>
    <w:p w:rsidR="002E4532" w:rsidRDefault="00C66CED">
      <w:pPr>
        <w:spacing w:line="56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二、当年预算执行情况</w:t>
      </w:r>
    </w:p>
    <w:p w:rsidR="002E4532" w:rsidRDefault="00C66CED">
      <w:pPr>
        <w:spacing w:line="560" w:lineRule="exact"/>
        <w:ind w:firstLineChars="200" w:firstLine="560"/>
        <w:rPr>
          <w:rFonts w:ascii="仿宋_GB2312" w:eastAsia="仿宋_GB2312" w:hAnsi="宋体"/>
          <w:color w:val="000000"/>
          <w:kern w:val="0"/>
          <w:sz w:val="32"/>
          <w:szCs w:val="32"/>
        </w:rPr>
      </w:pPr>
      <w:r>
        <w:rPr>
          <w:rFonts w:ascii="仿宋_GB2312" w:eastAsia="仿宋_GB2312" w:hAnsi="仿宋_GB2312" w:cs="仿宋_GB2312" w:hint="eastAsia"/>
          <w:color w:val="000000"/>
          <w:kern w:val="0"/>
          <w:sz w:val="28"/>
          <w:szCs w:val="28"/>
        </w:rPr>
        <w:t>2021年全年预算数</w:t>
      </w:r>
      <w:r>
        <w:rPr>
          <w:rFonts w:ascii="仿宋_GB2312" w:eastAsia="仿宋_GB2312" w:hAnsi="仿宋_GB2312" w:cs="仿宋_GB2312"/>
          <w:color w:val="000000"/>
          <w:kern w:val="0"/>
          <w:sz w:val="28"/>
          <w:szCs w:val="28"/>
        </w:rPr>
        <w:t>43,594.35</w:t>
      </w:r>
      <w:r>
        <w:rPr>
          <w:rFonts w:ascii="仿宋_GB2312" w:eastAsia="仿宋_GB2312" w:hAnsi="仿宋_GB2312" w:cs="仿宋_GB2312" w:hint="eastAsia"/>
          <w:color w:val="000000"/>
          <w:kern w:val="0"/>
          <w:sz w:val="28"/>
          <w:szCs w:val="28"/>
        </w:rPr>
        <w:t>万元，其中，基本支出预算数</w:t>
      </w:r>
      <w:r>
        <w:rPr>
          <w:rFonts w:ascii="仿宋_GB2312" w:eastAsia="仿宋_GB2312" w:hAnsi="仿宋_GB2312" w:cs="仿宋_GB2312"/>
          <w:color w:val="000000"/>
          <w:kern w:val="0"/>
          <w:sz w:val="28"/>
          <w:szCs w:val="28"/>
        </w:rPr>
        <w:t>29,756.78</w:t>
      </w:r>
      <w:r>
        <w:rPr>
          <w:rFonts w:ascii="仿宋_GB2312" w:eastAsia="仿宋_GB2312" w:hAnsi="仿宋_GB2312" w:cs="仿宋_GB2312" w:hint="eastAsia"/>
          <w:color w:val="000000"/>
          <w:kern w:val="0"/>
          <w:sz w:val="28"/>
          <w:szCs w:val="28"/>
        </w:rPr>
        <w:t>万元，项目支出预算数12</w:t>
      </w:r>
      <w:r>
        <w:rPr>
          <w:rFonts w:ascii="仿宋_GB2312" w:eastAsia="仿宋_GB2312" w:hAnsi="仿宋_GB2312" w:cs="仿宋_GB2312"/>
          <w:color w:val="000000"/>
          <w:kern w:val="0"/>
          <w:sz w:val="28"/>
          <w:szCs w:val="28"/>
        </w:rPr>
        <w:t>,</w:t>
      </w:r>
      <w:r>
        <w:rPr>
          <w:rFonts w:ascii="仿宋_GB2312" w:eastAsia="仿宋_GB2312" w:hAnsi="仿宋_GB2312" w:cs="仿宋_GB2312" w:hint="eastAsia"/>
          <w:color w:val="000000"/>
          <w:kern w:val="0"/>
          <w:sz w:val="28"/>
          <w:szCs w:val="28"/>
        </w:rPr>
        <w:t>130.15万元，其他支出预算数1707.42万元。资金总体支出</w:t>
      </w:r>
      <w:r>
        <w:rPr>
          <w:rFonts w:ascii="仿宋_GB2312" w:eastAsia="仿宋_GB2312" w:hAnsi="仿宋_GB2312" w:cs="仿宋_GB2312"/>
          <w:color w:val="000000"/>
          <w:kern w:val="0"/>
          <w:sz w:val="28"/>
          <w:szCs w:val="28"/>
        </w:rPr>
        <w:t>42,204.80</w:t>
      </w:r>
      <w:r>
        <w:rPr>
          <w:rFonts w:ascii="仿宋_GB2312" w:eastAsia="仿宋_GB2312" w:hAnsi="仿宋_GB2312" w:cs="仿宋_GB2312" w:hint="eastAsia"/>
          <w:color w:val="000000"/>
          <w:kern w:val="0"/>
          <w:sz w:val="28"/>
          <w:szCs w:val="28"/>
        </w:rPr>
        <w:t>万元，其中，基本支出</w:t>
      </w:r>
      <w:r>
        <w:rPr>
          <w:rFonts w:ascii="仿宋_GB2312" w:eastAsia="仿宋_GB2312" w:hAnsi="仿宋_GB2312" w:cs="仿宋_GB2312"/>
          <w:color w:val="000000"/>
          <w:kern w:val="0"/>
          <w:sz w:val="28"/>
          <w:szCs w:val="28"/>
        </w:rPr>
        <w:t>29,580.62</w:t>
      </w:r>
      <w:r>
        <w:rPr>
          <w:rFonts w:ascii="仿宋_GB2312" w:eastAsia="仿宋_GB2312" w:hAnsi="仿宋_GB2312" w:cs="仿宋_GB2312" w:hint="eastAsia"/>
          <w:color w:val="000000"/>
          <w:kern w:val="0"/>
          <w:sz w:val="28"/>
          <w:szCs w:val="28"/>
        </w:rPr>
        <w:t>万元，项目支出10955.70万元，其他支出1668.48万元。预算执行率为96.81%。</w:t>
      </w:r>
    </w:p>
    <w:p w:rsidR="002E4532" w:rsidRDefault="00C66CED">
      <w:pPr>
        <w:spacing w:line="560" w:lineRule="exact"/>
        <w:ind w:leftChars="50" w:left="105" w:firstLineChars="200" w:firstLine="640"/>
        <w:rPr>
          <w:rFonts w:ascii="仿宋_GB2312" w:eastAsia="仿宋_GB2312" w:hAnsi="仿宋_GB2312" w:cs="仿宋_GB2312"/>
          <w:color w:val="000000"/>
          <w:kern w:val="0"/>
          <w:sz w:val="28"/>
          <w:szCs w:val="28"/>
        </w:rPr>
      </w:pPr>
      <w:r>
        <w:rPr>
          <w:rFonts w:ascii="黑体" w:eastAsia="黑体" w:hAnsi="黑体" w:cs="宋体" w:hint="eastAsia"/>
          <w:color w:val="000000"/>
          <w:kern w:val="0"/>
          <w:sz w:val="32"/>
          <w:szCs w:val="32"/>
        </w:rPr>
        <w:t>三、整体绩效目标实现情况</w:t>
      </w:r>
    </w:p>
    <w:p w:rsidR="002E4532" w:rsidRDefault="00C66CED">
      <w:pPr>
        <w:spacing w:line="560" w:lineRule="exact"/>
        <w:ind w:firstLineChars="200" w:firstLine="640"/>
        <w:rPr>
          <w:rFonts w:ascii="楷体_GB2312" w:eastAsia="楷体_GB2312"/>
          <w:sz w:val="32"/>
          <w:szCs w:val="32"/>
        </w:rPr>
      </w:pPr>
      <w:r>
        <w:rPr>
          <w:rFonts w:ascii="楷体_GB2312" w:eastAsia="楷体_GB2312" w:hint="eastAsia"/>
          <w:sz w:val="32"/>
          <w:szCs w:val="32"/>
        </w:rPr>
        <w:t>（一）产出完成情况分析</w:t>
      </w:r>
    </w:p>
    <w:p w:rsidR="002E4532" w:rsidRDefault="00C66CED">
      <w:pPr>
        <w:spacing w:line="560" w:lineRule="exact"/>
        <w:ind w:leftChars="50" w:left="105"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color w:val="000000"/>
          <w:kern w:val="0"/>
          <w:sz w:val="28"/>
          <w:szCs w:val="28"/>
        </w:rPr>
        <w:t>产出数量</w:t>
      </w:r>
    </w:p>
    <w:p w:rsidR="002E4532" w:rsidRDefault="00C66CED">
      <w:pPr>
        <w:pStyle w:val="a0"/>
        <w:spacing w:line="560" w:lineRule="exact"/>
        <w:ind w:firstLine="560"/>
      </w:pPr>
      <w:r>
        <w:rPr>
          <w:rFonts w:ascii="仿宋_GB2312" w:eastAsia="仿宋_GB2312" w:hAnsi="仿宋_GB2312" w:cs="仿宋_GB2312" w:hint="eastAsia"/>
          <w:color w:val="000000"/>
          <w:kern w:val="0"/>
          <w:sz w:val="28"/>
          <w:szCs w:val="28"/>
        </w:rPr>
        <w:t>数量指标共六项，全部完成，其中：收案情况年度指标值112570件，实际完成值122003件；结案情况年度指标值102178件，实际完成值109924件；员额法官人均办案工作量年度指标值516.05件，实</w:t>
      </w:r>
      <w:r>
        <w:rPr>
          <w:rFonts w:ascii="仿宋_GB2312" w:eastAsia="仿宋_GB2312" w:hAnsi="仿宋_GB2312" w:cs="仿宋_GB2312" w:hint="eastAsia"/>
          <w:color w:val="000000"/>
          <w:kern w:val="0"/>
          <w:sz w:val="28"/>
          <w:szCs w:val="28"/>
        </w:rPr>
        <w:lastRenderedPageBreak/>
        <w:t>际完成值555.17件；全年审判执行文书数量年度指标值77412份，实际完成值78615份；全年业务租赁情况年度指标值30783.88平方米，年度完成值30783.88平方米；全年维（修）护场地数量年度指标值7处，年度完成值7处；数字化档案数量年度指标值60000卷，年度完成值61315卷（95585册）。</w:t>
      </w:r>
    </w:p>
    <w:p w:rsidR="002E4532" w:rsidRDefault="00C66CED">
      <w:pPr>
        <w:spacing w:line="560" w:lineRule="exact"/>
        <w:ind w:leftChars="50" w:left="105"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2.产出质量</w:t>
      </w:r>
    </w:p>
    <w:p w:rsidR="002E4532" w:rsidRDefault="00C66CED">
      <w:pPr>
        <w:pStyle w:val="a4"/>
        <w:tabs>
          <w:tab w:val="left" w:pos="1442"/>
        </w:tabs>
        <w:spacing w:line="560" w:lineRule="exact"/>
        <w:ind w:firstLineChars="200" w:firstLine="560"/>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质量指标共四项完成二项，其中裁判文书上网率年度指标值100%，年度完成值100%；执行质效年度指标值97.50%,年度完成值99.75%。</w:t>
      </w:r>
    </w:p>
    <w:p w:rsidR="002E4532" w:rsidRDefault="00C66CED">
      <w:pPr>
        <w:pStyle w:val="a4"/>
        <w:tabs>
          <w:tab w:val="left" w:pos="1442"/>
        </w:tabs>
        <w:spacing w:line="560" w:lineRule="exact"/>
        <w:ind w:firstLineChars="200" w:firstLine="560"/>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质量指标未完成二项，其中一审判决案件改判发回重审率（瑕疵）年度指标值0.02%，年度完成值0.51%，我院去年改判发回率为0.73%，今年为0.51%，超过基础指标0.02%，但与去年数值相比下降，达到良好。我院今后各庭室应坚持开展发改案件讲评，加强与上级法院的沟通，统一裁判尺度；提高案件审理质量，避免速裁案件的串案发改；将各庭室每季度发改案件讲评工作开展情况纳入本院目标责任制考核工作中并坚持考核；探索开展双向评查工作，推动案件质量持续提高。</w:t>
      </w:r>
    </w:p>
    <w:p w:rsidR="002E4532" w:rsidRDefault="00C66CED">
      <w:pPr>
        <w:pStyle w:val="a0"/>
        <w:spacing w:line="560" w:lineRule="exact"/>
        <w:ind w:firstLine="560"/>
      </w:pPr>
      <w:r>
        <w:rPr>
          <w:rFonts w:ascii="仿宋_GB2312" w:eastAsia="仿宋_GB2312" w:hAnsi="仿宋_GB2312" w:cs="仿宋_GB2312" w:hint="eastAsia"/>
          <w:color w:val="000000"/>
          <w:kern w:val="0"/>
          <w:sz w:val="28"/>
          <w:szCs w:val="28"/>
        </w:rPr>
        <w:t>投诉信访率年度指标值0.1%，年度完成值0.11%，在2021年度目标责任制考核中，我院投诉信访率得分为0.6分，全市排名第8。我院要积极将信访工作从被动变为主动，工作中做好超前防控、措施到位，充分发挥司法调解的整体优势。认真热情的做好信访工作，充分发挥信访工作职能，及时妥善的化解各类矛盾纠纷，理顺群众情绪，引导群众理性表达信访诉求，促进社会稳定。</w:t>
      </w:r>
    </w:p>
    <w:p w:rsidR="002E4532" w:rsidRDefault="00C66CED">
      <w:pPr>
        <w:spacing w:line="560" w:lineRule="exact"/>
        <w:ind w:leftChars="50" w:left="105"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3.产出进度</w:t>
      </w:r>
    </w:p>
    <w:p w:rsidR="002E4532" w:rsidRDefault="00C66CED">
      <w:pPr>
        <w:pStyle w:val="a4"/>
        <w:tabs>
          <w:tab w:val="left" w:pos="1442"/>
        </w:tabs>
        <w:spacing w:line="560" w:lineRule="exact"/>
        <w:ind w:firstLineChars="200" w:firstLine="560"/>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时效指标完成一项，电子送达覆盖率年度指标值51.73%，年度完</w:t>
      </w:r>
      <w:r>
        <w:rPr>
          <w:rFonts w:ascii="仿宋_GB2312" w:eastAsia="仿宋_GB2312" w:hAnsi="仿宋_GB2312" w:cs="仿宋_GB2312" w:hint="eastAsia"/>
          <w:color w:val="000000"/>
          <w:sz w:val="28"/>
          <w:szCs w:val="28"/>
        </w:rPr>
        <w:lastRenderedPageBreak/>
        <w:t>成值56.44%，完成情况良好。</w:t>
      </w:r>
    </w:p>
    <w:p w:rsidR="002E4532" w:rsidRDefault="00C66CED">
      <w:pPr>
        <w:pStyle w:val="a0"/>
        <w:spacing w:line="560" w:lineRule="exact"/>
        <w:ind w:firstLine="560"/>
      </w:pPr>
      <w:r>
        <w:rPr>
          <w:rFonts w:ascii="仿宋_GB2312" w:eastAsia="仿宋_GB2312" w:hAnsi="仿宋_GB2312" w:cs="仿宋_GB2312" w:hint="eastAsia"/>
          <w:color w:val="000000"/>
          <w:kern w:val="0"/>
          <w:sz w:val="28"/>
          <w:szCs w:val="28"/>
        </w:rPr>
        <w:t>时效指标未完成一项，结收比年度指标值100.20%，年度完成值90.10%，主要原因为市高院考核办在12月临时调整考核标准，不再考核结收比，并且对立案偏度和年底立案数据进行严格要求，因此结收比较原定目标有所下降。</w:t>
      </w:r>
    </w:p>
    <w:p w:rsidR="002E4532" w:rsidRDefault="00C66CED">
      <w:pPr>
        <w:spacing w:line="560" w:lineRule="exact"/>
        <w:ind w:leftChars="50" w:left="105"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4.产出成本</w:t>
      </w:r>
    </w:p>
    <w:p w:rsidR="002E4532" w:rsidRDefault="00C66CED">
      <w:pPr>
        <w:spacing w:line="560" w:lineRule="exact"/>
        <w:ind w:leftChars="50" w:left="105"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 xml:space="preserve">成本指标共二项，全部完成，其中全口径案件成本年度指标值0.116821万元/件，年度完成值0.108589万元/件；转移支付资金案件成本年度指标值0.02万元/件，年度完成值0.014009万元/件。                                     </w:t>
      </w:r>
    </w:p>
    <w:p w:rsidR="002E4532" w:rsidRDefault="00C66CED">
      <w:pPr>
        <w:spacing w:line="560" w:lineRule="exact"/>
        <w:ind w:firstLineChars="200" w:firstLine="640"/>
        <w:rPr>
          <w:rFonts w:ascii="楷体_GB2312" w:eastAsia="楷体_GB2312"/>
          <w:sz w:val="32"/>
          <w:szCs w:val="32"/>
        </w:rPr>
      </w:pPr>
      <w:r>
        <w:rPr>
          <w:rFonts w:ascii="楷体_GB2312" w:eastAsia="楷体_GB2312" w:hint="eastAsia"/>
          <w:sz w:val="32"/>
          <w:szCs w:val="32"/>
        </w:rPr>
        <w:t>（二）效果实现情况分析</w:t>
      </w:r>
    </w:p>
    <w:p w:rsidR="002E4532" w:rsidRDefault="00C66CED">
      <w:pPr>
        <w:spacing w:line="560" w:lineRule="exact"/>
        <w:ind w:leftChars="50" w:left="105"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1.经济效益</w:t>
      </w:r>
    </w:p>
    <w:p w:rsidR="002E4532" w:rsidRDefault="00C66CED">
      <w:pPr>
        <w:pStyle w:val="a0"/>
        <w:spacing w:line="560" w:lineRule="exact"/>
        <w:ind w:firstLine="560"/>
      </w:pPr>
      <w:r>
        <w:rPr>
          <w:rFonts w:ascii="仿宋_GB2312" w:eastAsia="仿宋_GB2312" w:hAnsi="仿宋_GB2312" w:cs="仿宋_GB2312" w:hint="eastAsia"/>
          <w:color w:val="000000"/>
          <w:kern w:val="0"/>
          <w:sz w:val="28"/>
          <w:szCs w:val="28"/>
        </w:rPr>
        <w:t>经济效益指标共两项，全部完成，其中：网上预约立案数量年度指标值40%，实际完成值43.55%，网上预约立案数主要受当事人主观影响较大，我院致力于推广并引导当事人多使用网上立案；本年我院充分有效保障了首都经济运转和维护营商环境。</w:t>
      </w:r>
    </w:p>
    <w:p w:rsidR="002E4532" w:rsidRDefault="00C66CED">
      <w:pPr>
        <w:spacing w:line="560" w:lineRule="exact"/>
        <w:ind w:leftChars="50" w:left="105"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2.社会效益</w:t>
      </w:r>
    </w:p>
    <w:p w:rsidR="002E4532" w:rsidRDefault="00C66CED">
      <w:pPr>
        <w:spacing w:line="560" w:lineRule="exact"/>
        <w:ind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社会效益指标完成一项，脱贫攻坚及营商环境（结案情况）年度指标值28817件，全年完成值29714件。</w:t>
      </w:r>
    </w:p>
    <w:p w:rsidR="002E4532" w:rsidRDefault="00C66CED">
      <w:pPr>
        <w:pStyle w:val="a0"/>
        <w:spacing w:line="560" w:lineRule="exact"/>
        <w:ind w:firstLine="560"/>
      </w:pPr>
      <w:r>
        <w:rPr>
          <w:rFonts w:ascii="仿宋_GB2312" w:eastAsia="仿宋_GB2312" w:hAnsi="仿宋_GB2312" w:cs="仿宋_GB2312" w:hint="eastAsia"/>
          <w:color w:val="000000"/>
          <w:kern w:val="0"/>
          <w:sz w:val="28"/>
          <w:szCs w:val="28"/>
        </w:rPr>
        <w:t>社会效益指标未完成二项，其中首都治安（结案情况）年度指标值3358件，全年完成值3203件，主要原因为受疫情影响，12月份无法提押造成无法开庭，因此结案数下降；解决执行难（执结案件数）年度指标值32353件，全年完成值31728件，主要原因为市高院调整司法统计案件范畴，执行恢复、执行保全案件未计入全年结案数。</w:t>
      </w:r>
    </w:p>
    <w:p w:rsidR="002E4532" w:rsidRDefault="00C66CED">
      <w:pPr>
        <w:spacing w:line="560" w:lineRule="exact"/>
        <w:ind w:leftChars="50" w:left="105"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3.环境效益</w:t>
      </w:r>
    </w:p>
    <w:p w:rsidR="002E4532" w:rsidRDefault="00C66CED">
      <w:pPr>
        <w:pStyle w:val="a0"/>
        <w:spacing w:line="560" w:lineRule="exact"/>
        <w:ind w:firstLine="560"/>
      </w:pPr>
      <w:r>
        <w:rPr>
          <w:rFonts w:ascii="仿宋_GB2312" w:eastAsia="仿宋_GB2312" w:hAnsi="仿宋_GB2312" w:cs="仿宋_GB2312" w:hint="eastAsia"/>
          <w:color w:val="000000"/>
          <w:kern w:val="0"/>
          <w:sz w:val="28"/>
          <w:szCs w:val="28"/>
        </w:rPr>
        <w:lastRenderedPageBreak/>
        <w:t>本年度环境保护（结案情况）年度指标值0件，全年完成值0件。</w:t>
      </w:r>
    </w:p>
    <w:p w:rsidR="002E4532" w:rsidRDefault="00C66CED">
      <w:pPr>
        <w:spacing w:line="560" w:lineRule="exact"/>
        <w:ind w:leftChars="50" w:left="105"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4.可持续性影响</w:t>
      </w:r>
    </w:p>
    <w:p w:rsidR="002E4532" w:rsidRDefault="00C66CED">
      <w:pPr>
        <w:pStyle w:val="a0"/>
        <w:spacing w:line="560" w:lineRule="exact"/>
        <w:ind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司法为民公正司法情况：本年度大力发挥保障和改善民生职能作用，大力提升司法服务质效，大力推进切实解决执行难，大力推动普法常态化建设。</w:t>
      </w:r>
    </w:p>
    <w:p w:rsidR="002E4532" w:rsidRDefault="00C66CED">
      <w:pPr>
        <w:spacing w:line="560" w:lineRule="exact"/>
        <w:ind w:leftChars="50" w:left="105"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5.服务对象满意度</w:t>
      </w:r>
    </w:p>
    <w:p w:rsidR="002E4532" w:rsidRDefault="00C66CED">
      <w:pPr>
        <w:pStyle w:val="a4"/>
        <w:tabs>
          <w:tab w:val="left" w:pos="1442"/>
        </w:tabs>
        <w:spacing w:line="560" w:lineRule="exact"/>
        <w:ind w:firstLineChars="200" w:firstLine="560"/>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同级人民代表大会通过、赞成率年度指标值97.04%，全年完成值99.07%。</w:t>
      </w:r>
    </w:p>
    <w:p w:rsidR="002E4532" w:rsidRDefault="00C66CED">
      <w:pPr>
        <w:pStyle w:val="a0"/>
        <w:spacing w:line="560" w:lineRule="exact"/>
        <w:ind w:firstLine="560"/>
      </w:pPr>
      <w:r>
        <w:rPr>
          <w:rFonts w:ascii="仿宋_GB2312" w:eastAsia="仿宋_GB2312" w:hAnsi="仿宋_GB2312" w:cs="仿宋_GB2312" w:hint="eastAsia"/>
          <w:color w:val="000000"/>
          <w:kern w:val="0"/>
          <w:sz w:val="28"/>
          <w:szCs w:val="28"/>
        </w:rPr>
        <w:t>群众满意度指标完成，达到人民群众基本满意。</w:t>
      </w:r>
    </w:p>
    <w:p w:rsidR="002E4532" w:rsidRDefault="00C66CED">
      <w:pPr>
        <w:spacing w:line="56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四、预算管理情况分析</w:t>
      </w:r>
    </w:p>
    <w:p w:rsidR="002E4532" w:rsidRDefault="00C66CED">
      <w:pPr>
        <w:spacing w:line="560" w:lineRule="exact"/>
        <w:ind w:firstLineChars="200" w:firstLine="640"/>
        <w:rPr>
          <w:rFonts w:ascii="楷体_GB2312" w:eastAsia="楷体_GB2312"/>
          <w:sz w:val="32"/>
          <w:szCs w:val="32"/>
        </w:rPr>
      </w:pPr>
      <w:r>
        <w:rPr>
          <w:rFonts w:ascii="楷体_GB2312" w:eastAsia="楷体_GB2312" w:hint="eastAsia"/>
          <w:sz w:val="32"/>
          <w:szCs w:val="32"/>
        </w:rPr>
        <w:t>（一）财务管理</w:t>
      </w:r>
    </w:p>
    <w:p w:rsidR="002E4532" w:rsidRDefault="00C66CED">
      <w:pPr>
        <w:spacing w:line="560" w:lineRule="exact"/>
        <w:ind w:leftChars="50" w:left="105"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1.财务管理制度健全性</w:t>
      </w:r>
    </w:p>
    <w:p w:rsidR="002E4532" w:rsidRDefault="00C66CED">
      <w:pPr>
        <w:pStyle w:val="a0"/>
        <w:spacing w:line="560" w:lineRule="exact"/>
        <w:ind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本部门为加强财务管理、规范财务行为，提高资金使用效率，规范审批程序，防范财务风险，增加财务支出的民主性、科学性，保障审判、执行工作的顺利开展，2021年重新修订了财务管理办法及大额资</w:t>
      </w:r>
      <w:r w:rsidR="00DE1DDB">
        <w:rPr>
          <w:rFonts w:ascii="仿宋_GB2312" w:eastAsia="仿宋_GB2312" w:hAnsi="仿宋_GB2312" w:cs="仿宋_GB2312" w:hint="eastAsia"/>
          <w:color w:val="000000"/>
          <w:kern w:val="0"/>
          <w:sz w:val="28"/>
          <w:szCs w:val="28"/>
        </w:rPr>
        <w:t>金</w:t>
      </w:r>
      <w:r>
        <w:rPr>
          <w:rFonts w:ascii="仿宋_GB2312" w:eastAsia="仿宋_GB2312" w:hAnsi="仿宋_GB2312" w:cs="仿宋_GB2312" w:hint="eastAsia"/>
          <w:color w:val="000000"/>
          <w:kern w:val="0"/>
          <w:sz w:val="28"/>
          <w:szCs w:val="28"/>
        </w:rPr>
        <w:t>管理规定。</w:t>
      </w:r>
    </w:p>
    <w:p w:rsidR="002E4532" w:rsidRDefault="00C66CED">
      <w:pPr>
        <w:spacing w:line="560" w:lineRule="exact"/>
        <w:ind w:leftChars="50" w:left="105"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2.资金使用合规性和安全性</w:t>
      </w:r>
    </w:p>
    <w:p w:rsidR="002E4532" w:rsidRDefault="00C66CED">
      <w:pPr>
        <w:pStyle w:val="a0"/>
        <w:spacing w:line="560" w:lineRule="exact"/>
        <w:ind w:firstLine="560"/>
      </w:pPr>
      <w:r>
        <w:rPr>
          <w:rFonts w:ascii="仿宋_GB2312" w:eastAsia="仿宋_GB2312" w:hAnsi="仿宋_GB2312" w:cs="仿宋_GB2312" w:hint="eastAsia"/>
          <w:color w:val="000000"/>
          <w:kern w:val="0"/>
          <w:sz w:val="28"/>
          <w:szCs w:val="28"/>
        </w:rPr>
        <w:t>我院在资金的使用上符合国家财经法规和财务管理制度规定以及有关专项资金管理办法的规定；我院财政资金的拨付有完整的审批程序和手续；我院大额资金使用需经党组会审议；我院在资金使用上符合部门预算批复的用途；我院在财政资金的使用上不存在截留、挤占及挪用情况；我院资金使用符合政府采购的程序和流程；我院资金使用符合公务卡结算相关制度和规定。</w:t>
      </w:r>
    </w:p>
    <w:p w:rsidR="002E4532" w:rsidRDefault="00C66CED">
      <w:pPr>
        <w:spacing w:line="560" w:lineRule="exact"/>
        <w:ind w:leftChars="50" w:left="105"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3.会计基础信息完善性</w:t>
      </w:r>
    </w:p>
    <w:p w:rsidR="002E4532" w:rsidRDefault="00C66CED">
      <w:pPr>
        <w:pStyle w:val="a0"/>
        <w:spacing w:line="560" w:lineRule="exact"/>
        <w:ind w:firstLine="560"/>
      </w:pPr>
      <w:r>
        <w:rPr>
          <w:rFonts w:ascii="仿宋_GB2312" w:eastAsia="仿宋_GB2312" w:hAnsi="仿宋_GB2312" w:cs="仿宋_GB2312" w:hint="eastAsia"/>
          <w:color w:val="000000"/>
          <w:kern w:val="0"/>
          <w:sz w:val="28"/>
          <w:szCs w:val="28"/>
        </w:rPr>
        <w:lastRenderedPageBreak/>
        <w:t>我院基础数据信息和会计信息资料真实；基础数据信息和会计信息资料完整；基础数据信息和会计信息资料准确。</w:t>
      </w:r>
    </w:p>
    <w:p w:rsidR="002E4532" w:rsidRDefault="00C66CED">
      <w:pPr>
        <w:spacing w:line="560" w:lineRule="exact"/>
        <w:ind w:firstLineChars="200" w:firstLine="640"/>
        <w:rPr>
          <w:rFonts w:ascii="楷体_GB2312" w:eastAsia="楷体_GB2312"/>
          <w:sz w:val="32"/>
          <w:szCs w:val="32"/>
        </w:rPr>
      </w:pPr>
      <w:r>
        <w:rPr>
          <w:rFonts w:ascii="楷体_GB2312" w:eastAsia="楷体_GB2312" w:hint="eastAsia"/>
          <w:sz w:val="32"/>
          <w:szCs w:val="32"/>
        </w:rPr>
        <w:t>（二）资产管理</w:t>
      </w:r>
    </w:p>
    <w:p w:rsidR="002E4532" w:rsidRDefault="00C66CED">
      <w:pPr>
        <w:pStyle w:val="a0"/>
        <w:spacing w:line="560" w:lineRule="exact"/>
        <w:ind w:firstLine="560"/>
      </w:pPr>
      <w:r>
        <w:rPr>
          <w:rFonts w:ascii="仿宋_GB2312" w:eastAsia="仿宋_GB2312" w:hAnsi="仿宋_GB2312" w:cs="仿宋_GB2312" w:hint="eastAsia"/>
          <w:sz w:val="28"/>
          <w:szCs w:val="28"/>
        </w:rPr>
        <w:t>我院无对外投资项目，不存在对外投资行为未经审批及投资亏损的情况；我院不存在因管理不当发生严重资产损失和丢失情况；我院资产使用符合规范，不存在未经批准擅自出租、出借资产行为；我院资产处置规范，不存在未按要求进行报批或资产不公开处置的行为。</w:t>
      </w:r>
    </w:p>
    <w:p w:rsidR="002E4532" w:rsidRDefault="00C66CED">
      <w:pPr>
        <w:spacing w:line="560" w:lineRule="exact"/>
        <w:ind w:firstLineChars="200" w:firstLine="640"/>
        <w:rPr>
          <w:rFonts w:ascii="楷体_GB2312" w:eastAsia="楷体_GB2312"/>
          <w:sz w:val="32"/>
          <w:szCs w:val="32"/>
        </w:rPr>
      </w:pPr>
      <w:r>
        <w:rPr>
          <w:rFonts w:ascii="楷体_GB2312" w:eastAsia="楷体_GB2312" w:hint="eastAsia"/>
          <w:sz w:val="32"/>
          <w:szCs w:val="32"/>
        </w:rPr>
        <w:t>（三）绩效管理</w:t>
      </w:r>
    </w:p>
    <w:p w:rsidR="002E4532" w:rsidRDefault="00C66CED">
      <w:pPr>
        <w:pStyle w:val="a0"/>
        <w:spacing w:line="560" w:lineRule="exact"/>
        <w:ind w:firstLine="560"/>
      </w:pPr>
      <w:r>
        <w:rPr>
          <w:rFonts w:ascii="仿宋_GB2312" w:eastAsia="仿宋_GB2312" w:hAnsi="仿宋_GB2312" w:cs="仿宋_GB2312" w:hint="eastAsia"/>
          <w:sz w:val="28"/>
          <w:szCs w:val="28"/>
        </w:rPr>
        <w:t>我院及时对绩效信息进行汇总分析整理，并对绩效目标偏离情况及时进行矫正。</w:t>
      </w:r>
    </w:p>
    <w:p w:rsidR="002E4532" w:rsidRDefault="00C66CED">
      <w:pPr>
        <w:spacing w:line="560" w:lineRule="exact"/>
        <w:ind w:firstLineChars="200" w:firstLine="640"/>
        <w:rPr>
          <w:rFonts w:ascii="楷体_GB2312" w:eastAsia="楷体_GB2312"/>
          <w:sz w:val="32"/>
          <w:szCs w:val="32"/>
        </w:rPr>
      </w:pPr>
      <w:r>
        <w:rPr>
          <w:rFonts w:ascii="楷体_GB2312" w:eastAsia="楷体_GB2312" w:hint="eastAsia"/>
          <w:sz w:val="32"/>
          <w:szCs w:val="32"/>
        </w:rPr>
        <w:t>（四）结转结余率</w:t>
      </w:r>
    </w:p>
    <w:p w:rsidR="002E4532" w:rsidRDefault="00C66CED">
      <w:pPr>
        <w:pStyle w:val="a0"/>
        <w:spacing w:line="560" w:lineRule="exact"/>
        <w:ind w:firstLine="560"/>
      </w:pPr>
      <w:r>
        <w:rPr>
          <w:rFonts w:ascii="仿宋_GB2312" w:eastAsia="仿宋_GB2312" w:hAnsi="仿宋_GB2312" w:cs="仿宋_GB2312" w:hint="eastAsia"/>
          <w:sz w:val="28"/>
          <w:szCs w:val="28"/>
        </w:rPr>
        <w:t>我院2020年结转结余率为15.56%，2021年结转结余率为3.31%，部分追加的项目资金需按完工进度进行支付,结转至2022年使用。</w:t>
      </w:r>
    </w:p>
    <w:p w:rsidR="002E4532" w:rsidRDefault="00C66CED">
      <w:pPr>
        <w:spacing w:line="560" w:lineRule="exact"/>
        <w:ind w:firstLineChars="200" w:firstLine="640"/>
        <w:rPr>
          <w:rFonts w:ascii="楷体_GB2312" w:eastAsia="楷体_GB2312"/>
          <w:sz w:val="32"/>
          <w:szCs w:val="32"/>
        </w:rPr>
      </w:pPr>
      <w:r>
        <w:rPr>
          <w:rFonts w:ascii="楷体_GB2312" w:eastAsia="楷体_GB2312" w:hint="eastAsia"/>
          <w:sz w:val="32"/>
          <w:szCs w:val="32"/>
        </w:rPr>
        <w:t>（五）部门预决算差异率</w:t>
      </w:r>
    </w:p>
    <w:p w:rsidR="002E4532" w:rsidRDefault="00C66CED">
      <w:pPr>
        <w:pStyle w:val="a0"/>
        <w:spacing w:line="560" w:lineRule="exact"/>
        <w:ind w:firstLine="560"/>
      </w:pPr>
      <w:r>
        <w:rPr>
          <w:rFonts w:ascii="仿宋_GB2312" w:eastAsia="仿宋_GB2312" w:hAnsi="仿宋_GB2312" w:cs="仿宋_GB2312" w:hint="eastAsia"/>
          <w:sz w:val="28"/>
          <w:szCs w:val="28"/>
        </w:rPr>
        <w:t>我院2021年度部门决算差异率为0.44%。</w:t>
      </w:r>
    </w:p>
    <w:p w:rsidR="002E4532" w:rsidRDefault="00C66CED">
      <w:pPr>
        <w:spacing w:line="56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五、总体评价结论</w:t>
      </w:r>
    </w:p>
    <w:p w:rsidR="002E4532" w:rsidRDefault="00C66CED">
      <w:pPr>
        <w:spacing w:line="560" w:lineRule="exact"/>
        <w:ind w:firstLineChars="200" w:firstLine="640"/>
        <w:rPr>
          <w:rFonts w:ascii="楷体_GB2312" w:eastAsia="楷体_GB2312"/>
          <w:sz w:val="32"/>
          <w:szCs w:val="32"/>
        </w:rPr>
      </w:pPr>
      <w:r>
        <w:rPr>
          <w:rFonts w:ascii="楷体_GB2312" w:eastAsia="楷体_GB2312" w:hint="eastAsia"/>
          <w:sz w:val="32"/>
          <w:szCs w:val="32"/>
        </w:rPr>
        <w:t>（一）评价得分情况</w:t>
      </w:r>
    </w:p>
    <w:p w:rsidR="002E4532" w:rsidRDefault="00C66CED">
      <w:pPr>
        <w:spacing w:line="560" w:lineRule="exact"/>
        <w:ind w:leftChars="50" w:left="105"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我院2021年部门整体绩效评价得分95.91。</w:t>
      </w:r>
    </w:p>
    <w:p w:rsidR="002E4532" w:rsidRDefault="00C66CED">
      <w:pPr>
        <w:spacing w:line="560" w:lineRule="exact"/>
        <w:ind w:firstLineChars="200" w:firstLine="640"/>
        <w:rPr>
          <w:rFonts w:ascii="楷体_GB2312" w:eastAsia="楷体_GB2312"/>
          <w:sz w:val="32"/>
          <w:szCs w:val="32"/>
        </w:rPr>
      </w:pPr>
      <w:r>
        <w:rPr>
          <w:rFonts w:ascii="楷体_GB2312" w:eastAsia="楷体_GB2312" w:hint="eastAsia"/>
          <w:sz w:val="32"/>
          <w:szCs w:val="32"/>
        </w:rPr>
        <w:t>（二）存在的问题及原因分析</w:t>
      </w:r>
    </w:p>
    <w:p w:rsidR="002E4532" w:rsidRDefault="00C66CED">
      <w:pPr>
        <w:pStyle w:val="a4"/>
        <w:tabs>
          <w:tab w:val="left" w:pos="1442"/>
        </w:tabs>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2021年部门整体绩效评价未完成指标共五项，其中：时效指标未完成一项，结收比年度指标值100.20%，年度完成值90.10%，主要原因为市高院考核办在12月临时调整考核标准，不再考核结收比，并且对立案偏度和年底立案数据进行严格要求，因此结收比较原定目标有下降。</w:t>
      </w:r>
    </w:p>
    <w:p w:rsidR="002E4532" w:rsidRDefault="00C66CED">
      <w:pPr>
        <w:pStyle w:val="a4"/>
        <w:tabs>
          <w:tab w:val="left" w:pos="1442"/>
        </w:tabs>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质量指标中未完成二项，其中一审判决案件改判发回重审率（瑕疵）年度指标值0.02%，年度完成值0.51%，我院去年改判发回率为0.73%，今年为0.51%，超过基础指标0.02%，但与去年数值相比下降，达到良好。我院今后各庭室应坚持开展发改案件讲评，加强与上级法院的沟通，统一裁判尺度；提高案件审理质量，避免速裁案件的串案发改；将各庭室每季度发改案件讲评工作开展情况纳入本院目标责任制考核工作中并坚持考核；探索开展双向评查工作，推动案件质量持续提高。</w:t>
      </w:r>
    </w:p>
    <w:p w:rsidR="002E4532" w:rsidRDefault="00C66CED">
      <w:pPr>
        <w:pStyle w:val="a4"/>
        <w:tabs>
          <w:tab w:val="left" w:pos="1442"/>
        </w:tabs>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投诉信访率年度指标值0.1%，年度完成值0.11%，在2021年度目标责任制考核中，我院投诉信访率得分为0.6分，全市排名第8。我院要积极将信访工作从被动变为主动，工作中做好超前防控、措施到位，充分发挥司法调解的整体优势。认真热情的做好信访工作，充分发挥信访工作职能，及时妥善的化解各类矛盾纠纷，理顺群众情绪，引导群众理性表达信访诉求，促进社会稳定。</w:t>
      </w:r>
    </w:p>
    <w:p w:rsidR="002E4532" w:rsidRDefault="00C66CE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社会效益指标未完成二项，其中首都治安（结案情况）年度指标值3358件，全年完成值3203件，主要原因为受疫情影响，12月份无法提押造成无法开庭，因此结案数下降；解决执行难（执结案件数）年度指标值32353件，全年完成值31728件，主要原因为市高院调整司法统计案件范畴，执行恢复、执行保全案件未计入全年结案数。</w:t>
      </w:r>
    </w:p>
    <w:p w:rsidR="002E4532" w:rsidRDefault="00C66CED">
      <w:pPr>
        <w:pStyle w:val="a0"/>
        <w:spacing w:line="560" w:lineRule="exact"/>
        <w:ind w:firstLine="560"/>
      </w:pPr>
      <w:r>
        <w:rPr>
          <w:rFonts w:ascii="仿宋_GB2312" w:eastAsia="仿宋_GB2312" w:hAnsi="仿宋_GB2312" w:cs="仿宋_GB2312" w:hint="eastAsia"/>
          <w:sz w:val="28"/>
          <w:szCs w:val="28"/>
        </w:rPr>
        <w:t>预算管理情况中财务管理制度健全性未完成一项，我院暂未依据我院实际情况制定绩效跟踪管理办法。</w:t>
      </w:r>
    </w:p>
    <w:p w:rsidR="002E4532" w:rsidRDefault="00C66CED">
      <w:pPr>
        <w:spacing w:line="56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六、措施建议</w:t>
      </w:r>
    </w:p>
    <w:p w:rsidR="002E4532" w:rsidRDefault="00C66CED">
      <w:pPr>
        <w:autoSpaceDE w:val="0"/>
        <w:autoSpaceDN w:val="0"/>
        <w:spacing w:line="560" w:lineRule="exact"/>
        <w:ind w:firstLineChars="200" w:firstLine="560"/>
        <w:textAlignment w:val="baseline"/>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我院将继续强化绩效目标管理，严格按照预算管理和绩效目标管理的要求编制绩效目标，确保绩效目标能清晰反映预算资金的预期产</w:t>
      </w:r>
      <w:r>
        <w:rPr>
          <w:rFonts w:ascii="仿宋_GB2312" w:eastAsia="仿宋_GB2312" w:hAnsi="仿宋_GB2312" w:cs="仿宋_GB2312" w:hint="eastAsia"/>
          <w:color w:val="000000"/>
          <w:kern w:val="0"/>
          <w:sz w:val="28"/>
          <w:szCs w:val="28"/>
        </w:rPr>
        <w:lastRenderedPageBreak/>
        <w:t>出和效果，并以相应的绩效指标予以细化、量化描述，未按要求设定绩效目标的项目支出，不得纳入项目</w:t>
      </w:r>
      <w:r w:rsidR="008131F8">
        <w:rPr>
          <w:rFonts w:ascii="仿宋_GB2312" w:eastAsia="仿宋_GB2312" w:hAnsi="仿宋_GB2312" w:cs="仿宋_GB2312" w:hint="eastAsia"/>
          <w:color w:val="000000"/>
          <w:kern w:val="0"/>
          <w:sz w:val="28"/>
          <w:szCs w:val="28"/>
        </w:rPr>
        <w:t>库管理，不得申请预算资金。</w:t>
      </w:r>
    </w:p>
    <w:p w:rsidR="002E4532" w:rsidRDefault="00C66CED">
      <w:pPr>
        <w:autoSpaceDE w:val="0"/>
        <w:autoSpaceDN w:val="0"/>
        <w:spacing w:line="560" w:lineRule="exact"/>
        <w:ind w:firstLineChars="200" w:firstLine="560"/>
        <w:textAlignment w:val="baseline"/>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在预算执行环节加强绩效运行监控，对绩效目标实现程度和预算执行进度实行“双监控”，发现问题要及时分析原因并纠正，应针对我院重大项目、政策建立绩效跟踪机制，按照项目进度和绩效情况拨付款项</w:t>
      </w:r>
      <w:r w:rsidR="008131F8">
        <w:rPr>
          <w:rFonts w:ascii="仿宋_GB2312" w:eastAsia="仿宋_GB2312" w:hAnsi="仿宋_GB2312" w:cs="仿宋_GB2312" w:hint="eastAsia"/>
          <w:color w:val="000000"/>
          <w:kern w:val="0"/>
          <w:sz w:val="28"/>
          <w:szCs w:val="28"/>
        </w:rPr>
        <w:t>，针对存在严重问题的要暂缓或停止支付款项，切实提高资金使用效率。</w:t>
      </w:r>
    </w:p>
    <w:p w:rsidR="002E4532" w:rsidRDefault="00C66CED">
      <w:pPr>
        <w:autoSpaceDE w:val="0"/>
        <w:autoSpaceDN w:val="0"/>
        <w:spacing w:line="560" w:lineRule="exact"/>
        <w:ind w:firstLineChars="200" w:firstLine="560"/>
        <w:textAlignment w:val="baseline"/>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项目完成后，我院应及时开展绩效评价，严格贯彻落实预算绩效管理要求，依据设定的绩效目标，对项目支出的经济性、效率性、效益性和公平性进行客观、公正的测量、分析和评判，出具绩效评价结果，并加强绩效评价结果的运用，提高财政资金使用效率。</w:t>
      </w:r>
    </w:p>
    <w:p w:rsidR="002E4532" w:rsidRDefault="00C66CED">
      <w:pPr>
        <w:pStyle w:val="a0"/>
        <w:spacing w:line="560" w:lineRule="exact"/>
        <w:ind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我院将高度重视绩效评价结果的应用工作，积极探索和建立一套与预算管理相结合、多渠道应用评价结果的有效机制，着力提高绩效意识和财政资金使用效益。</w:t>
      </w:r>
      <w:bookmarkStart w:id="0" w:name="_GoBack"/>
      <w:bookmarkEnd w:id="0"/>
    </w:p>
    <w:p w:rsidR="0088732E" w:rsidRDefault="0088732E">
      <w:pPr>
        <w:widowControl/>
        <w:jc w:val="left"/>
        <w:rPr>
          <w:rFonts w:ascii="仿宋_GB2312" w:eastAsia="仿宋_GB2312" w:hAnsi="仿宋_GB2312" w:cs="仿宋_GB2312"/>
          <w:color w:val="000000"/>
          <w:kern w:val="0"/>
          <w:sz w:val="28"/>
          <w:szCs w:val="28"/>
        </w:rPr>
        <w:sectPr w:rsidR="0088732E" w:rsidSect="002E4532">
          <w:pgSz w:w="11906" w:h="16838"/>
          <w:pgMar w:top="1440" w:right="1800" w:bottom="1440" w:left="1800" w:header="851" w:footer="992" w:gutter="0"/>
          <w:cols w:space="425"/>
          <w:docGrid w:type="lines" w:linePitch="312"/>
        </w:sectPr>
      </w:pPr>
      <w:r>
        <w:rPr>
          <w:rFonts w:ascii="仿宋_GB2312" w:eastAsia="仿宋_GB2312" w:hAnsi="仿宋_GB2312" w:cs="仿宋_GB2312"/>
          <w:color w:val="000000"/>
          <w:kern w:val="0"/>
          <w:sz w:val="28"/>
          <w:szCs w:val="28"/>
        </w:rPr>
        <w:br w:type="page"/>
      </w:r>
    </w:p>
    <w:p w:rsidR="0088732E" w:rsidRDefault="0088732E">
      <w:pPr>
        <w:widowControl/>
        <w:jc w:val="left"/>
        <w:rPr>
          <w:rFonts w:ascii="仿宋_GB2312" w:eastAsia="仿宋_GB2312" w:hAnsi="仿宋_GB2312" w:cs="仿宋_GB2312"/>
          <w:color w:val="000000"/>
          <w:kern w:val="0"/>
          <w:sz w:val="28"/>
          <w:szCs w:val="28"/>
        </w:rPr>
      </w:pPr>
    </w:p>
    <w:tbl>
      <w:tblPr>
        <w:tblW w:w="4800" w:type="pct"/>
        <w:tblLayout w:type="fixed"/>
        <w:tblLook w:val="04A0"/>
      </w:tblPr>
      <w:tblGrid>
        <w:gridCol w:w="639"/>
        <w:gridCol w:w="26"/>
        <w:gridCol w:w="111"/>
        <w:gridCol w:w="522"/>
        <w:gridCol w:w="259"/>
        <w:gridCol w:w="844"/>
        <w:gridCol w:w="1489"/>
        <w:gridCol w:w="373"/>
        <w:gridCol w:w="691"/>
        <w:gridCol w:w="147"/>
        <w:gridCol w:w="278"/>
        <w:gridCol w:w="210"/>
        <w:gridCol w:w="188"/>
        <w:gridCol w:w="144"/>
        <w:gridCol w:w="365"/>
        <w:gridCol w:w="286"/>
        <w:gridCol w:w="3051"/>
        <w:gridCol w:w="114"/>
        <w:gridCol w:w="376"/>
        <w:gridCol w:w="3494"/>
      </w:tblGrid>
      <w:tr w:rsidR="002E4532">
        <w:trPr>
          <w:trHeight w:val="499"/>
        </w:trPr>
        <w:tc>
          <w:tcPr>
            <w:tcW w:w="245" w:type="pct"/>
            <w:gridSpan w:val="2"/>
            <w:tcBorders>
              <w:top w:val="nil"/>
              <w:left w:val="nil"/>
              <w:bottom w:val="single" w:sz="4" w:space="0" w:color="auto"/>
              <w:right w:val="nil"/>
            </w:tcBorders>
            <w:shd w:val="clear" w:color="auto" w:fill="auto"/>
          </w:tcPr>
          <w:p w:rsidR="002E4532" w:rsidRDefault="002E4532" w:rsidP="00D56269">
            <w:pPr>
              <w:pStyle w:val="a0"/>
              <w:ind w:firstLine="420"/>
            </w:pPr>
          </w:p>
        </w:tc>
        <w:tc>
          <w:tcPr>
            <w:tcW w:w="4755" w:type="pct"/>
            <w:gridSpan w:val="18"/>
            <w:tcBorders>
              <w:top w:val="nil"/>
              <w:left w:val="nil"/>
              <w:bottom w:val="single" w:sz="4" w:space="0" w:color="auto"/>
              <w:right w:val="nil"/>
            </w:tcBorders>
            <w:shd w:val="clear" w:color="auto" w:fill="auto"/>
            <w:noWrap/>
            <w:vAlign w:val="bottom"/>
          </w:tcPr>
          <w:p w:rsidR="002E4532" w:rsidRDefault="00C66CED">
            <w:pPr>
              <w:widowControl/>
              <w:jc w:val="center"/>
              <w:rPr>
                <w:rFonts w:ascii="方正小标宋简体" w:eastAsia="方正小标宋简体" w:hAnsi="宋体" w:cs="宋体"/>
                <w:color w:val="000000"/>
                <w:kern w:val="0"/>
                <w:sz w:val="44"/>
                <w:szCs w:val="44"/>
              </w:rPr>
            </w:pPr>
            <w:r>
              <w:rPr>
                <w:rFonts w:ascii="方正小标宋简体" w:eastAsia="方正小标宋简体" w:hAnsi="方正小标宋简体" w:cs="宋体" w:hint="eastAsia"/>
                <w:color w:val="000000"/>
                <w:kern w:val="0"/>
                <w:sz w:val="44"/>
                <w:szCs w:val="44"/>
              </w:rPr>
              <w:t>2021年部门整体绩效评价指标体系评分表</w:t>
            </w:r>
          </w:p>
        </w:tc>
      </w:tr>
      <w:tr w:rsidR="002E4532">
        <w:trPr>
          <w:trHeight w:val="470"/>
        </w:trPr>
        <w:tc>
          <w:tcPr>
            <w:tcW w:w="245" w:type="pct"/>
            <w:gridSpan w:val="2"/>
            <w:tcBorders>
              <w:top w:val="single" w:sz="4" w:space="0" w:color="auto"/>
              <w:left w:val="single" w:sz="4" w:space="0" w:color="auto"/>
              <w:bottom w:val="single" w:sz="4" w:space="0" w:color="000000"/>
              <w:right w:val="single" w:sz="4" w:space="0" w:color="auto"/>
            </w:tcBorders>
            <w:shd w:val="clear" w:color="auto" w:fill="auto"/>
          </w:tcPr>
          <w:p w:rsidR="002E4532" w:rsidRDefault="002E4532">
            <w:pPr>
              <w:widowControl/>
              <w:jc w:val="left"/>
              <w:rPr>
                <w:rFonts w:ascii="宋体" w:hAnsi="宋体" w:cs="宋体"/>
                <w:color w:val="000000"/>
                <w:kern w:val="0"/>
                <w:sz w:val="18"/>
                <w:szCs w:val="18"/>
              </w:rPr>
            </w:pPr>
          </w:p>
        </w:tc>
        <w:tc>
          <w:tcPr>
            <w:tcW w:w="4755" w:type="pct"/>
            <w:gridSpan w:val="18"/>
            <w:tcBorders>
              <w:top w:val="single" w:sz="4" w:space="0" w:color="auto"/>
              <w:left w:val="single" w:sz="4" w:space="0" w:color="auto"/>
              <w:bottom w:val="single" w:sz="4" w:space="0" w:color="000000"/>
              <w:right w:val="single" w:sz="4" w:space="0" w:color="auto"/>
            </w:tcBorders>
            <w:shd w:val="clear" w:color="auto" w:fill="auto"/>
            <w:vAlign w:val="center"/>
          </w:tcPr>
          <w:p w:rsidR="002E4532" w:rsidRDefault="00C66CED">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当年预算执行情况（20分）</w:t>
            </w:r>
          </w:p>
        </w:tc>
      </w:tr>
      <w:tr w:rsidR="002E4532" w:rsidTr="0088732E">
        <w:trPr>
          <w:trHeight w:val="660"/>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一级指标　</w:t>
            </w:r>
          </w:p>
        </w:tc>
        <w:tc>
          <w:tcPr>
            <w:tcW w:w="243" w:type="pct"/>
            <w:gridSpan w:val="3"/>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二级指标　</w:t>
            </w:r>
          </w:p>
        </w:tc>
        <w:tc>
          <w:tcPr>
            <w:tcW w:w="405" w:type="pct"/>
            <w:gridSpan w:val="2"/>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684" w:type="pct"/>
            <w:gridSpan w:val="2"/>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254" w:type="pct"/>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233" w:type="pct"/>
            <w:gridSpan w:val="3"/>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56" w:type="pct"/>
            <w:gridSpan w:val="3"/>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268" w:type="pct"/>
            <w:gridSpan w:val="3"/>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422" w:type="pct"/>
            <w:gridSpan w:val="2"/>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2E4532" w:rsidTr="0088732E">
        <w:trPr>
          <w:trHeight w:val="891"/>
        </w:trPr>
        <w:tc>
          <w:tcPr>
            <w:tcW w:w="235" w:type="pct"/>
            <w:vMerge w:val="restart"/>
            <w:tcBorders>
              <w:top w:val="nil"/>
              <w:left w:val="single" w:sz="4" w:space="0" w:color="auto"/>
              <w:bottom w:val="single" w:sz="4" w:space="0" w:color="000000"/>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当年预算执行情况（20）</w:t>
            </w:r>
          </w:p>
        </w:tc>
        <w:tc>
          <w:tcPr>
            <w:tcW w:w="243" w:type="pct"/>
            <w:gridSpan w:val="3"/>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405" w:type="pct"/>
            <w:gridSpan w:val="2"/>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42020.346619　</w:t>
            </w:r>
          </w:p>
        </w:tc>
        <w:tc>
          <w:tcPr>
            <w:tcW w:w="684" w:type="pct"/>
            <w:gridSpan w:val="2"/>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42204.795539　</w:t>
            </w:r>
          </w:p>
        </w:tc>
        <w:tc>
          <w:tcPr>
            <w:tcW w:w="254" w:type="pct"/>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100%　</w:t>
            </w:r>
          </w:p>
        </w:tc>
        <w:tc>
          <w:tcPr>
            <w:tcW w:w="233" w:type="pct"/>
            <w:gridSpan w:val="3"/>
            <w:vMerge w:val="restart"/>
            <w:tcBorders>
              <w:top w:val="nil"/>
              <w:left w:val="nil"/>
              <w:bottom w:val="single" w:sz="4" w:space="0" w:color="auto"/>
              <w:right w:val="single" w:sz="4" w:space="0" w:color="auto"/>
            </w:tcBorders>
            <w:shd w:val="clear" w:color="auto" w:fill="auto"/>
            <w:noWrap/>
            <w:vAlign w:val="center"/>
          </w:tcPr>
          <w:p w:rsidR="002E4532" w:rsidRDefault="002E4532">
            <w:pPr>
              <w:widowControl/>
              <w:jc w:val="center"/>
              <w:rPr>
                <w:rFonts w:ascii="宋体" w:hAnsi="宋体" w:cs="宋体"/>
                <w:color w:val="000000"/>
                <w:kern w:val="0"/>
                <w:sz w:val="20"/>
                <w:szCs w:val="20"/>
              </w:rPr>
            </w:pPr>
          </w:p>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256" w:type="pct"/>
            <w:gridSpan w:val="3"/>
            <w:vMerge w:val="restart"/>
            <w:tcBorders>
              <w:top w:val="nil"/>
              <w:left w:val="nil"/>
              <w:bottom w:val="single" w:sz="4" w:space="0" w:color="auto"/>
              <w:right w:val="single" w:sz="4" w:space="0" w:color="auto"/>
            </w:tcBorders>
            <w:shd w:val="clear" w:color="auto" w:fill="auto"/>
            <w:noWrap/>
            <w:vAlign w:val="center"/>
          </w:tcPr>
          <w:p w:rsidR="002E4532" w:rsidRDefault="002E4532">
            <w:pPr>
              <w:widowControl/>
              <w:jc w:val="center"/>
              <w:rPr>
                <w:rFonts w:ascii="宋体" w:hAnsi="宋体" w:cs="宋体"/>
                <w:color w:val="000000"/>
                <w:kern w:val="0"/>
                <w:sz w:val="20"/>
                <w:szCs w:val="20"/>
              </w:rPr>
            </w:pPr>
          </w:p>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268" w:type="pct"/>
            <w:gridSpan w:val="3"/>
            <w:vMerge w:val="restart"/>
            <w:tcBorders>
              <w:top w:val="nil"/>
              <w:left w:val="nil"/>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部门全年执行数与全年预算数的比率。资金总体=基本支出+项目支出+其他</w:t>
            </w:r>
          </w:p>
        </w:tc>
        <w:tc>
          <w:tcPr>
            <w:tcW w:w="1422" w:type="pct"/>
            <w:gridSpan w:val="2"/>
            <w:vMerge w:val="restart"/>
            <w:tcBorders>
              <w:top w:val="nil"/>
              <w:left w:val="nil"/>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①得分一档最高不能超过该指标分值上限（20分）。</w:t>
            </w:r>
            <w:r>
              <w:rPr>
                <w:rFonts w:ascii="宋体" w:hAnsi="宋体" w:cs="宋体" w:hint="eastAsia"/>
                <w:color w:val="000000"/>
                <w:kern w:val="0"/>
                <w:sz w:val="18"/>
                <w:szCs w:val="18"/>
              </w:rPr>
              <w:b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2E4532" w:rsidTr="0088732E">
        <w:trPr>
          <w:trHeight w:val="957"/>
        </w:trPr>
        <w:tc>
          <w:tcPr>
            <w:tcW w:w="235" w:type="pct"/>
            <w:vMerge/>
            <w:tcBorders>
              <w:top w:val="nil"/>
              <w:left w:val="single" w:sz="4" w:space="0" w:color="auto"/>
              <w:bottom w:val="single" w:sz="4" w:space="0" w:color="000000"/>
              <w:right w:val="single" w:sz="4" w:space="0" w:color="auto"/>
            </w:tcBorders>
            <w:shd w:val="clear" w:color="auto" w:fill="auto"/>
            <w:vAlign w:val="center"/>
          </w:tcPr>
          <w:p w:rsidR="002E4532" w:rsidRDefault="002E4532">
            <w:pPr>
              <w:rPr>
                <w:rFonts w:ascii="Calibri" w:hAnsi="Calibri"/>
                <w:szCs w:val="22"/>
              </w:rPr>
            </w:pPr>
          </w:p>
        </w:tc>
        <w:tc>
          <w:tcPr>
            <w:tcW w:w="243" w:type="pct"/>
            <w:gridSpan w:val="3"/>
            <w:tcBorders>
              <w:top w:val="single" w:sz="4" w:space="0" w:color="auto"/>
              <w:left w:val="nil"/>
              <w:bottom w:val="single" w:sz="4" w:space="0" w:color="auto"/>
              <w:right w:val="nil"/>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4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E4532" w:rsidRDefault="00C66CED">
            <w:pPr>
              <w:widowControl/>
              <w:rPr>
                <w:rFonts w:ascii="宋体" w:hAnsi="宋体" w:cs="宋体"/>
                <w:color w:val="000000"/>
                <w:kern w:val="0"/>
                <w:sz w:val="20"/>
                <w:szCs w:val="20"/>
              </w:rPr>
            </w:pPr>
            <w:r>
              <w:rPr>
                <w:rFonts w:ascii="宋体" w:hAnsi="宋体" w:cs="宋体" w:hint="eastAsia"/>
                <w:color w:val="000000"/>
                <w:kern w:val="0"/>
                <w:sz w:val="20"/>
                <w:szCs w:val="20"/>
              </w:rPr>
              <w:t>29424.623025</w:t>
            </w:r>
          </w:p>
        </w:tc>
        <w:tc>
          <w:tcPr>
            <w:tcW w:w="684" w:type="pct"/>
            <w:gridSpan w:val="2"/>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29580.620231　</w:t>
            </w:r>
          </w:p>
        </w:tc>
        <w:tc>
          <w:tcPr>
            <w:tcW w:w="254" w:type="pct"/>
            <w:vMerge w:val="restart"/>
            <w:tcBorders>
              <w:top w:val="nil"/>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33" w:type="pct"/>
            <w:gridSpan w:val="3"/>
            <w:vMerge/>
            <w:tcBorders>
              <w:top w:val="nil"/>
              <w:left w:val="nil"/>
              <w:bottom w:val="single" w:sz="4" w:space="0" w:color="auto"/>
              <w:right w:val="single" w:sz="4" w:space="0" w:color="auto"/>
            </w:tcBorders>
            <w:shd w:val="clear" w:color="auto" w:fill="auto"/>
            <w:noWrap/>
            <w:vAlign w:val="center"/>
          </w:tcPr>
          <w:p w:rsidR="002E4532" w:rsidRDefault="002E4532">
            <w:pPr>
              <w:rPr>
                <w:rFonts w:ascii="Calibri" w:hAnsi="Calibri"/>
                <w:szCs w:val="22"/>
              </w:rPr>
            </w:pPr>
          </w:p>
        </w:tc>
        <w:tc>
          <w:tcPr>
            <w:tcW w:w="256" w:type="pct"/>
            <w:gridSpan w:val="3"/>
            <w:vMerge/>
            <w:tcBorders>
              <w:top w:val="nil"/>
              <w:left w:val="nil"/>
              <w:bottom w:val="single" w:sz="4" w:space="0" w:color="auto"/>
              <w:right w:val="single" w:sz="4" w:space="0" w:color="auto"/>
            </w:tcBorders>
            <w:shd w:val="clear" w:color="auto" w:fill="auto"/>
            <w:noWrap/>
            <w:vAlign w:val="center"/>
          </w:tcPr>
          <w:p w:rsidR="002E4532" w:rsidRDefault="002E4532">
            <w:pPr>
              <w:rPr>
                <w:rFonts w:ascii="Calibri" w:hAnsi="Calibri"/>
                <w:szCs w:val="22"/>
              </w:rPr>
            </w:pPr>
          </w:p>
        </w:tc>
        <w:tc>
          <w:tcPr>
            <w:tcW w:w="1268" w:type="pct"/>
            <w:gridSpan w:val="3"/>
            <w:vMerge/>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1422" w:type="pct"/>
            <w:gridSpan w:val="2"/>
            <w:vMerge/>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r>
      <w:tr w:rsidR="002E4532" w:rsidTr="0088732E">
        <w:trPr>
          <w:trHeight w:val="1287"/>
        </w:trPr>
        <w:tc>
          <w:tcPr>
            <w:tcW w:w="235" w:type="pct"/>
            <w:vMerge/>
            <w:tcBorders>
              <w:top w:val="nil"/>
              <w:left w:val="single" w:sz="4" w:space="0" w:color="auto"/>
              <w:bottom w:val="single" w:sz="4" w:space="0" w:color="000000"/>
              <w:right w:val="single" w:sz="4" w:space="0" w:color="auto"/>
            </w:tcBorders>
            <w:shd w:val="clear" w:color="auto" w:fill="auto"/>
            <w:vAlign w:val="center"/>
          </w:tcPr>
          <w:p w:rsidR="002E4532" w:rsidRDefault="002E4532">
            <w:pPr>
              <w:rPr>
                <w:rFonts w:ascii="Calibri" w:hAnsi="Calibri"/>
                <w:szCs w:val="22"/>
              </w:rPr>
            </w:pPr>
          </w:p>
        </w:tc>
        <w:tc>
          <w:tcPr>
            <w:tcW w:w="243" w:type="pct"/>
            <w:gridSpan w:val="3"/>
            <w:tcBorders>
              <w:top w:val="single" w:sz="4" w:space="0" w:color="auto"/>
              <w:left w:val="nil"/>
              <w:bottom w:val="single" w:sz="4" w:space="0" w:color="auto"/>
              <w:right w:val="nil"/>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4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p w:rsidR="002E4532" w:rsidRDefault="00C66CED">
            <w:pPr>
              <w:jc w:val="center"/>
              <w:rPr>
                <w:rFonts w:ascii="宋体" w:hAnsi="宋体" w:cs="宋体"/>
                <w:color w:val="000000"/>
                <w:kern w:val="0"/>
                <w:sz w:val="20"/>
                <w:szCs w:val="20"/>
              </w:rPr>
            </w:pPr>
            <w:r>
              <w:rPr>
                <w:rFonts w:ascii="宋体" w:hAnsi="宋体" w:cs="宋体" w:hint="eastAsia"/>
                <w:color w:val="000000"/>
                <w:kern w:val="0"/>
                <w:sz w:val="20"/>
                <w:szCs w:val="20"/>
              </w:rPr>
              <w:t xml:space="preserve">11317.723594 </w:t>
            </w:r>
          </w:p>
        </w:tc>
        <w:tc>
          <w:tcPr>
            <w:tcW w:w="684" w:type="pct"/>
            <w:gridSpan w:val="2"/>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10955.693308　</w:t>
            </w:r>
          </w:p>
        </w:tc>
        <w:tc>
          <w:tcPr>
            <w:tcW w:w="254" w:type="pct"/>
            <w:vMerge/>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233" w:type="pct"/>
            <w:gridSpan w:val="3"/>
            <w:vMerge/>
            <w:tcBorders>
              <w:top w:val="nil"/>
              <w:left w:val="nil"/>
              <w:bottom w:val="single" w:sz="4" w:space="0" w:color="auto"/>
              <w:right w:val="single" w:sz="4" w:space="0" w:color="auto"/>
            </w:tcBorders>
            <w:shd w:val="clear" w:color="auto" w:fill="auto"/>
            <w:noWrap/>
            <w:vAlign w:val="center"/>
          </w:tcPr>
          <w:p w:rsidR="002E4532" w:rsidRDefault="002E4532">
            <w:pPr>
              <w:rPr>
                <w:rFonts w:ascii="Calibri" w:hAnsi="Calibri"/>
                <w:szCs w:val="22"/>
              </w:rPr>
            </w:pPr>
          </w:p>
        </w:tc>
        <w:tc>
          <w:tcPr>
            <w:tcW w:w="256" w:type="pct"/>
            <w:gridSpan w:val="3"/>
            <w:vMerge/>
            <w:tcBorders>
              <w:top w:val="nil"/>
              <w:left w:val="nil"/>
              <w:bottom w:val="single" w:sz="4" w:space="0" w:color="auto"/>
              <w:right w:val="single" w:sz="4" w:space="0" w:color="auto"/>
            </w:tcBorders>
            <w:shd w:val="clear" w:color="auto" w:fill="auto"/>
            <w:noWrap/>
            <w:vAlign w:val="center"/>
          </w:tcPr>
          <w:p w:rsidR="002E4532" w:rsidRDefault="002E4532">
            <w:pPr>
              <w:rPr>
                <w:rFonts w:ascii="Calibri" w:hAnsi="Calibri"/>
                <w:szCs w:val="22"/>
              </w:rPr>
            </w:pPr>
          </w:p>
        </w:tc>
        <w:tc>
          <w:tcPr>
            <w:tcW w:w="1268" w:type="pct"/>
            <w:gridSpan w:val="3"/>
            <w:vMerge/>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1422" w:type="pct"/>
            <w:gridSpan w:val="2"/>
            <w:vMerge/>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r>
      <w:tr w:rsidR="002E4532" w:rsidTr="0088732E">
        <w:trPr>
          <w:trHeight w:val="1276"/>
        </w:trPr>
        <w:tc>
          <w:tcPr>
            <w:tcW w:w="235" w:type="pct"/>
            <w:vMerge/>
            <w:tcBorders>
              <w:top w:val="nil"/>
              <w:left w:val="single" w:sz="4" w:space="0" w:color="auto"/>
              <w:bottom w:val="single" w:sz="4" w:space="0" w:color="000000"/>
              <w:right w:val="single" w:sz="4" w:space="0" w:color="auto"/>
            </w:tcBorders>
            <w:shd w:val="clear" w:color="auto" w:fill="auto"/>
            <w:vAlign w:val="center"/>
          </w:tcPr>
          <w:p w:rsidR="002E4532" w:rsidRDefault="002E4532">
            <w:pPr>
              <w:rPr>
                <w:rFonts w:ascii="Calibri" w:hAnsi="Calibri"/>
                <w:szCs w:val="22"/>
              </w:rPr>
            </w:pPr>
          </w:p>
        </w:tc>
        <w:tc>
          <w:tcPr>
            <w:tcW w:w="243" w:type="pct"/>
            <w:gridSpan w:val="3"/>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405" w:type="pct"/>
            <w:gridSpan w:val="2"/>
            <w:tcBorders>
              <w:top w:val="single" w:sz="4" w:space="0" w:color="auto"/>
              <w:left w:val="nil"/>
              <w:bottom w:val="single" w:sz="4" w:space="0" w:color="auto"/>
              <w:right w:val="single" w:sz="4" w:space="0" w:color="auto"/>
            </w:tcBorders>
            <w:shd w:val="clear" w:color="auto" w:fill="auto"/>
            <w:vAlign w:val="center"/>
          </w:tcPr>
          <w:p w:rsidR="002E4532" w:rsidRDefault="00C66CED">
            <w:pPr>
              <w:jc w:val="center"/>
              <w:rPr>
                <w:rFonts w:ascii="宋体" w:hAnsi="宋体" w:cs="宋体"/>
                <w:color w:val="000000"/>
                <w:kern w:val="0"/>
                <w:sz w:val="20"/>
                <w:szCs w:val="20"/>
              </w:rPr>
            </w:pPr>
            <w:r>
              <w:rPr>
                <w:rFonts w:ascii="宋体" w:hAnsi="宋体" w:cs="宋体" w:hint="eastAsia"/>
                <w:color w:val="000000"/>
                <w:kern w:val="0"/>
                <w:sz w:val="20"/>
                <w:szCs w:val="20"/>
              </w:rPr>
              <w:t>1278.000000</w:t>
            </w:r>
          </w:p>
        </w:tc>
        <w:tc>
          <w:tcPr>
            <w:tcW w:w="684" w:type="pct"/>
            <w:gridSpan w:val="2"/>
            <w:tcBorders>
              <w:top w:val="single" w:sz="4" w:space="0" w:color="auto"/>
              <w:left w:val="nil"/>
              <w:bottom w:val="single" w:sz="4" w:space="0" w:color="auto"/>
              <w:right w:val="single" w:sz="4" w:space="0" w:color="auto"/>
            </w:tcBorders>
            <w:shd w:val="clear" w:color="auto" w:fill="auto"/>
            <w:vAlign w:val="center"/>
          </w:tcPr>
          <w:p w:rsidR="002E4532" w:rsidRDefault="00C66CED">
            <w:pPr>
              <w:jc w:val="center"/>
              <w:rPr>
                <w:rFonts w:ascii="Arial" w:hAnsi="Arial" w:cs="Arial"/>
                <w:sz w:val="20"/>
                <w:szCs w:val="20"/>
              </w:rPr>
            </w:pPr>
            <w:r>
              <w:rPr>
                <w:rFonts w:ascii="宋体" w:hAnsi="宋体" w:cs="宋体" w:hint="eastAsia"/>
                <w:color w:val="000000"/>
                <w:kern w:val="0"/>
                <w:sz w:val="20"/>
                <w:szCs w:val="20"/>
              </w:rPr>
              <w:t xml:space="preserve">1668.482000　</w:t>
            </w:r>
          </w:p>
        </w:tc>
        <w:tc>
          <w:tcPr>
            <w:tcW w:w="254" w:type="pct"/>
            <w:vMerge/>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233" w:type="pct"/>
            <w:gridSpan w:val="3"/>
            <w:vMerge/>
            <w:tcBorders>
              <w:top w:val="nil"/>
              <w:left w:val="nil"/>
              <w:bottom w:val="single" w:sz="4" w:space="0" w:color="auto"/>
              <w:right w:val="single" w:sz="4" w:space="0" w:color="auto"/>
            </w:tcBorders>
            <w:shd w:val="clear" w:color="auto" w:fill="auto"/>
            <w:noWrap/>
            <w:vAlign w:val="center"/>
          </w:tcPr>
          <w:p w:rsidR="002E4532" w:rsidRDefault="002E4532">
            <w:pPr>
              <w:rPr>
                <w:rFonts w:ascii="Calibri" w:hAnsi="Calibri"/>
                <w:szCs w:val="22"/>
              </w:rPr>
            </w:pPr>
          </w:p>
        </w:tc>
        <w:tc>
          <w:tcPr>
            <w:tcW w:w="256" w:type="pct"/>
            <w:gridSpan w:val="3"/>
            <w:vMerge/>
            <w:tcBorders>
              <w:top w:val="nil"/>
              <w:left w:val="nil"/>
              <w:bottom w:val="single" w:sz="4" w:space="0" w:color="auto"/>
              <w:right w:val="single" w:sz="4" w:space="0" w:color="auto"/>
            </w:tcBorders>
            <w:shd w:val="clear" w:color="auto" w:fill="auto"/>
            <w:noWrap/>
            <w:vAlign w:val="center"/>
          </w:tcPr>
          <w:p w:rsidR="002E4532" w:rsidRDefault="002E4532">
            <w:pPr>
              <w:rPr>
                <w:rFonts w:ascii="Calibri" w:hAnsi="Calibri"/>
                <w:szCs w:val="22"/>
              </w:rPr>
            </w:pPr>
          </w:p>
        </w:tc>
        <w:tc>
          <w:tcPr>
            <w:tcW w:w="1268" w:type="pct"/>
            <w:gridSpan w:val="3"/>
            <w:vMerge/>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1422" w:type="pct"/>
            <w:gridSpan w:val="2"/>
            <w:vMerge/>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r>
      <w:tr w:rsidR="002E4532">
        <w:trPr>
          <w:trHeight w:val="569"/>
        </w:trPr>
        <w:tc>
          <w:tcPr>
            <w:tcW w:w="245" w:type="pct"/>
            <w:gridSpan w:val="2"/>
            <w:tcBorders>
              <w:top w:val="nil"/>
              <w:left w:val="single" w:sz="4" w:space="0" w:color="auto"/>
              <w:bottom w:val="single" w:sz="4" w:space="0" w:color="auto"/>
              <w:right w:val="single" w:sz="4" w:space="0" w:color="auto"/>
            </w:tcBorders>
            <w:shd w:val="clear" w:color="auto" w:fill="auto"/>
          </w:tcPr>
          <w:p w:rsidR="002E4532" w:rsidRDefault="002E4532">
            <w:pPr>
              <w:widowControl/>
              <w:jc w:val="left"/>
              <w:rPr>
                <w:rFonts w:ascii="宋体" w:hAnsi="宋体" w:cs="宋体"/>
                <w:color w:val="000000"/>
                <w:kern w:val="0"/>
                <w:sz w:val="18"/>
                <w:szCs w:val="18"/>
              </w:rPr>
            </w:pPr>
          </w:p>
        </w:tc>
        <w:tc>
          <w:tcPr>
            <w:tcW w:w="4755" w:type="pct"/>
            <w:gridSpan w:val="18"/>
            <w:tcBorders>
              <w:top w:val="nil"/>
              <w:left w:val="single" w:sz="4" w:space="0" w:color="auto"/>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hint="eastAsia"/>
                <w:color w:val="000000"/>
                <w:kern w:val="0"/>
                <w:sz w:val="20"/>
                <w:szCs w:val="20"/>
              </w:rPr>
              <w:t>整体绩效目标实现情况（60分）</w:t>
            </w:r>
          </w:p>
        </w:tc>
      </w:tr>
      <w:tr w:rsidR="002E4532" w:rsidTr="0088732E">
        <w:trPr>
          <w:trHeight w:val="499"/>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一级指标</w:t>
            </w:r>
          </w:p>
        </w:tc>
        <w:tc>
          <w:tcPr>
            <w:tcW w:w="243" w:type="pct"/>
            <w:gridSpan w:val="3"/>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二级指标　</w:t>
            </w:r>
          </w:p>
        </w:tc>
        <w:tc>
          <w:tcPr>
            <w:tcW w:w="405" w:type="pct"/>
            <w:gridSpan w:val="2"/>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三级指标　</w:t>
            </w:r>
          </w:p>
        </w:tc>
        <w:tc>
          <w:tcPr>
            <w:tcW w:w="547" w:type="pct"/>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547" w:type="pct"/>
            <w:gridSpan w:val="4"/>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199" w:type="pct"/>
            <w:gridSpan w:val="3"/>
            <w:tcBorders>
              <w:top w:val="single" w:sz="4" w:space="0" w:color="auto"/>
              <w:left w:val="nil"/>
              <w:bottom w:val="single" w:sz="4" w:space="0" w:color="auto"/>
              <w:right w:val="single" w:sz="4" w:space="0" w:color="auto"/>
            </w:tcBorders>
            <w:shd w:val="clear" w:color="auto" w:fill="auto"/>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9" w:type="pct"/>
            <w:gridSpan w:val="2"/>
            <w:tcBorders>
              <w:top w:val="single" w:sz="4" w:space="0" w:color="auto"/>
              <w:left w:val="single" w:sz="4" w:space="0" w:color="auto"/>
              <w:bottom w:val="single" w:sz="4" w:space="0" w:color="auto"/>
              <w:right w:val="nil"/>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30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指标解释</w:t>
            </w:r>
          </w:p>
        </w:tc>
        <w:tc>
          <w:tcPr>
            <w:tcW w:w="1284" w:type="pct"/>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18"/>
                <w:szCs w:val="18"/>
              </w:rPr>
            </w:pPr>
            <w:r>
              <w:rPr>
                <w:rFonts w:ascii="宋体" w:hAnsi="宋体" w:cs="宋体" w:hint="eastAsia"/>
                <w:color w:val="000000"/>
                <w:kern w:val="0"/>
                <w:sz w:val="18"/>
                <w:szCs w:val="18"/>
              </w:rPr>
              <w:t>评分标准</w:t>
            </w:r>
          </w:p>
        </w:tc>
      </w:tr>
      <w:tr w:rsidR="002E4532" w:rsidTr="0088732E">
        <w:trPr>
          <w:trHeight w:val="1196"/>
        </w:trPr>
        <w:tc>
          <w:tcPr>
            <w:tcW w:w="235" w:type="pct"/>
            <w:vMerge w:val="restart"/>
            <w:tcBorders>
              <w:top w:val="nil"/>
              <w:left w:val="single" w:sz="4" w:space="0" w:color="auto"/>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整体绩效目标实现情况（60）</w:t>
            </w:r>
          </w:p>
        </w:tc>
        <w:tc>
          <w:tcPr>
            <w:tcW w:w="243" w:type="pct"/>
            <w:gridSpan w:val="3"/>
            <w:vMerge w:val="restart"/>
            <w:tcBorders>
              <w:top w:val="nil"/>
              <w:left w:val="nil"/>
              <w:bottom w:val="nil"/>
              <w:right w:val="single" w:sz="4" w:space="0" w:color="auto"/>
            </w:tcBorders>
            <w:shd w:val="clear" w:color="auto" w:fill="auto"/>
            <w:vAlign w:val="center"/>
          </w:tcPr>
          <w:p w:rsidR="002E4532" w:rsidRDefault="002E4532">
            <w:pPr>
              <w:widowControl/>
              <w:jc w:val="center"/>
              <w:rPr>
                <w:rFonts w:ascii="宋体" w:hAnsi="宋体" w:cs="宋体"/>
                <w:color w:val="000000"/>
                <w:kern w:val="0"/>
                <w:sz w:val="20"/>
                <w:szCs w:val="20"/>
              </w:rPr>
            </w:pPr>
          </w:p>
          <w:p w:rsidR="002E4532" w:rsidRDefault="00C66CED">
            <w:pPr>
              <w:jc w:val="center"/>
              <w:rPr>
                <w:rFonts w:ascii="宋体" w:hAnsi="宋体" w:cs="宋体"/>
                <w:color w:val="000000"/>
                <w:kern w:val="0"/>
                <w:sz w:val="20"/>
                <w:szCs w:val="20"/>
              </w:rPr>
            </w:pPr>
            <w:r>
              <w:rPr>
                <w:rFonts w:ascii="宋体" w:hAnsi="宋体" w:cs="宋体" w:hint="eastAsia"/>
                <w:color w:val="000000"/>
                <w:kern w:val="0"/>
                <w:sz w:val="20"/>
                <w:szCs w:val="20"/>
              </w:rPr>
              <w:t>产出（30）</w:t>
            </w:r>
          </w:p>
        </w:tc>
        <w:tc>
          <w:tcPr>
            <w:tcW w:w="405" w:type="pct"/>
            <w:gridSpan w:val="2"/>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rPr>
                <w:rFonts w:ascii="宋体" w:hAnsi="宋体" w:cs="宋体"/>
                <w:color w:val="000000"/>
                <w:kern w:val="0"/>
                <w:sz w:val="20"/>
                <w:szCs w:val="20"/>
              </w:rPr>
            </w:pPr>
            <w:r>
              <w:rPr>
                <w:rFonts w:ascii="宋体" w:hAnsi="宋体" w:cs="宋体" w:hint="eastAsia"/>
                <w:color w:val="000000"/>
                <w:kern w:val="0"/>
                <w:sz w:val="20"/>
                <w:szCs w:val="20"/>
              </w:rPr>
              <w:t>年初预计收结案量</w:t>
            </w:r>
          </w:p>
        </w:tc>
        <w:tc>
          <w:tcPr>
            <w:tcW w:w="547" w:type="pct"/>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收案：112570</w:t>
            </w:r>
          </w:p>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结案：102178</w:t>
            </w:r>
          </w:p>
        </w:tc>
        <w:tc>
          <w:tcPr>
            <w:tcW w:w="547" w:type="pct"/>
            <w:gridSpan w:val="4"/>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收案：122003</w:t>
            </w:r>
          </w:p>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结案：109924</w:t>
            </w:r>
          </w:p>
        </w:tc>
        <w:tc>
          <w:tcPr>
            <w:tcW w:w="199" w:type="pct"/>
            <w:gridSpan w:val="3"/>
            <w:tcBorders>
              <w:top w:val="single" w:sz="4" w:space="0" w:color="auto"/>
              <w:left w:val="nil"/>
              <w:bottom w:val="single" w:sz="4" w:space="0" w:color="auto"/>
              <w:right w:val="single" w:sz="4" w:space="0" w:color="auto"/>
            </w:tcBorders>
            <w:shd w:val="clear" w:color="auto" w:fill="auto"/>
          </w:tcPr>
          <w:p w:rsidR="002E4532" w:rsidRDefault="002E4532">
            <w:pPr>
              <w:widowControl/>
              <w:jc w:val="center"/>
              <w:rPr>
                <w:rFonts w:ascii="宋体" w:hAnsi="宋体" w:cs="宋体"/>
                <w:color w:val="000000"/>
                <w:kern w:val="0"/>
                <w:sz w:val="20"/>
                <w:szCs w:val="20"/>
              </w:rPr>
            </w:pPr>
          </w:p>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239" w:type="pct"/>
            <w:gridSpan w:val="2"/>
            <w:tcBorders>
              <w:top w:val="single" w:sz="4" w:space="0" w:color="auto"/>
              <w:left w:val="single" w:sz="4" w:space="0" w:color="auto"/>
              <w:bottom w:val="single" w:sz="4" w:space="0" w:color="auto"/>
              <w:right w:val="nil"/>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p w:rsidR="002E4532" w:rsidRDefault="00C66CED">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1" w:type="pct"/>
            <w:gridSpan w:val="3"/>
            <w:vMerge w:val="restart"/>
            <w:tcBorders>
              <w:top w:val="nil"/>
              <w:left w:val="single" w:sz="4" w:space="0" w:color="auto"/>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按时完成率=（按时完成工作数/实际完成工作数）×100%。按时完成工作数：部门（单位）按照整体绩效目标确定的时限实际完成的工作任务数量。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284" w:type="pct"/>
            <w:vMerge w:val="restart"/>
            <w:tcBorders>
              <w:top w:val="nil"/>
              <w:left w:val="nil"/>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rsidR="002E4532" w:rsidTr="0088732E">
        <w:trPr>
          <w:trHeight w:val="1130"/>
        </w:trPr>
        <w:tc>
          <w:tcPr>
            <w:tcW w:w="235" w:type="pct"/>
            <w:vMerge/>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243" w:type="pct"/>
            <w:gridSpan w:val="3"/>
            <w:vMerge/>
            <w:tcBorders>
              <w:top w:val="nil"/>
              <w:left w:val="nil"/>
              <w:bottom w:val="nil"/>
              <w:right w:val="single" w:sz="4" w:space="0" w:color="auto"/>
            </w:tcBorders>
            <w:shd w:val="clear" w:color="auto" w:fill="auto"/>
            <w:vAlign w:val="center"/>
          </w:tcPr>
          <w:p w:rsidR="002E4532" w:rsidRDefault="002E4532">
            <w:pPr>
              <w:rPr>
                <w:rFonts w:ascii="Calibri" w:hAnsi="Calibri"/>
                <w:szCs w:val="22"/>
              </w:rPr>
            </w:pPr>
          </w:p>
        </w:tc>
        <w:tc>
          <w:tcPr>
            <w:tcW w:w="405" w:type="pct"/>
            <w:gridSpan w:val="2"/>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员额法官人均办案工作量</w:t>
            </w:r>
          </w:p>
        </w:tc>
        <w:tc>
          <w:tcPr>
            <w:tcW w:w="547" w:type="pct"/>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516.05</w:t>
            </w:r>
          </w:p>
        </w:tc>
        <w:tc>
          <w:tcPr>
            <w:tcW w:w="547" w:type="pct"/>
            <w:gridSpan w:val="4"/>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555.17</w:t>
            </w:r>
          </w:p>
        </w:tc>
        <w:tc>
          <w:tcPr>
            <w:tcW w:w="199" w:type="pct"/>
            <w:gridSpan w:val="3"/>
            <w:tcBorders>
              <w:top w:val="single" w:sz="4" w:space="0" w:color="auto"/>
              <w:left w:val="nil"/>
              <w:bottom w:val="single" w:sz="4" w:space="0" w:color="auto"/>
              <w:right w:val="single" w:sz="4" w:space="0" w:color="auto"/>
            </w:tcBorders>
            <w:shd w:val="clear" w:color="auto" w:fill="auto"/>
          </w:tcPr>
          <w:p w:rsidR="002E4532" w:rsidRDefault="002E4532">
            <w:pPr>
              <w:widowControl/>
              <w:jc w:val="center"/>
              <w:rPr>
                <w:rFonts w:ascii="宋体" w:hAnsi="宋体" w:cs="宋体"/>
                <w:color w:val="000000"/>
                <w:kern w:val="0"/>
                <w:sz w:val="20"/>
                <w:szCs w:val="20"/>
              </w:rPr>
            </w:pPr>
          </w:p>
          <w:p w:rsidR="002E4532" w:rsidRDefault="00C66CED">
            <w:pPr>
              <w:widowControl/>
              <w:ind w:firstLineChars="50" w:firstLine="100"/>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239" w:type="pct"/>
            <w:gridSpan w:val="2"/>
            <w:tcBorders>
              <w:top w:val="single" w:sz="4" w:space="0" w:color="auto"/>
              <w:left w:val="single" w:sz="4" w:space="0" w:color="auto"/>
              <w:bottom w:val="single" w:sz="4" w:space="0" w:color="auto"/>
              <w:right w:val="nil"/>
            </w:tcBorders>
            <w:shd w:val="clear" w:color="auto" w:fill="auto"/>
            <w:noWrap/>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3　</w:t>
            </w:r>
          </w:p>
        </w:tc>
        <w:tc>
          <w:tcPr>
            <w:tcW w:w="1301" w:type="pct"/>
            <w:gridSpan w:val="3"/>
            <w:vMerge/>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1284" w:type="pct"/>
            <w:vMerge/>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r>
      <w:tr w:rsidR="002E4532" w:rsidTr="0088732E">
        <w:trPr>
          <w:trHeight w:val="1258"/>
        </w:trPr>
        <w:tc>
          <w:tcPr>
            <w:tcW w:w="235" w:type="pct"/>
            <w:vMerge/>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243" w:type="pct"/>
            <w:gridSpan w:val="3"/>
            <w:vMerge/>
            <w:tcBorders>
              <w:top w:val="nil"/>
              <w:left w:val="nil"/>
              <w:bottom w:val="nil"/>
              <w:right w:val="single" w:sz="4" w:space="0" w:color="auto"/>
            </w:tcBorders>
            <w:shd w:val="clear" w:color="auto" w:fill="auto"/>
            <w:vAlign w:val="center"/>
          </w:tcPr>
          <w:p w:rsidR="002E4532" w:rsidRDefault="002E4532">
            <w:pPr>
              <w:rPr>
                <w:rFonts w:ascii="Calibri" w:hAnsi="Calibri"/>
                <w:szCs w:val="22"/>
              </w:rPr>
            </w:pPr>
          </w:p>
        </w:tc>
        <w:tc>
          <w:tcPr>
            <w:tcW w:w="405" w:type="pct"/>
            <w:gridSpan w:val="2"/>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全年审判执行文书数量（份）</w:t>
            </w:r>
          </w:p>
        </w:tc>
        <w:tc>
          <w:tcPr>
            <w:tcW w:w="547" w:type="pct"/>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77412</w:t>
            </w:r>
          </w:p>
        </w:tc>
        <w:tc>
          <w:tcPr>
            <w:tcW w:w="547" w:type="pct"/>
            <w:gridSpan w:val="4"/>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78615</w:t>
            </w:r>
          </w:p>
        </w:tc>
        <w:tc>
          <w:tcPr>
            <w:tcW w:w="199" w:type="pct"/>
            <w:gridSpan w:val="3"/>
            <w:tcBorders>
              <w:top w:val="single" w:sz="4" w:space="0" w:color="auto"/>
              <w:left w:val="nil"/>
              <w:bottom w:val="single" w:sz="4" w:space="0" w:color="auto"/>
              <w:right w:val="single" w:sz="4" w:space="0" w:color="auto"/>
            </w:tcBorders>
            <w:shd w:val="clear" w:color="auto" w:fill="auto"/>
          </w:tcPr>
          <w:p w:rsidR="002E4532" w:rsidRDefault="002E4532">
            <w:pPr>
              <w:widowControl/>
              <w:jc w:val="center"/>
              <w:rPr>
                <w:rFonts w:ascii="宋体" w:hAnsi="宋体" w:cs="宋体"/>
                <w:color w:val="000000"/>
                <w:kern w:val="0"/>
                <w:sz w:val="20"/>
                <w:szCs w:val="20"/>
              </w:rPr>
            </w:pPr>
          </w:p>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239" w:type="pct"/>
            <w:gridSpan w:val="2"/>
            <w:tcBorders>
              <w:top w:val="single" w:sz="4" w:space="0" w:color="auto"/>
              <w:left w:val="single" w:sz="4" w:space="0" w:color="auto"/>
              <w:bottom w:val="single" w:sz="4" w:space="0" w:color="auto"/>
              <w:right w:val="nil"/>
            </w:tcBorders>
            <w:shd w:val="clear" w:color="auto" w:fill="auto"/>
            <w:noWrap/>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3　</w:t>
            </w:r>
          </w:p>
        </w:tc>
        <w:tc>
          <w:tcPr>
            <w:tcW w:w="1301" w:type="pct"/>
            <w:gridSpan w:val="3"/>
            <w:vMerge/>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1284" w:type="pct"/>
            <w:vMerge/>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r>
      <w:tr w:rsidR="002E4532" w:rsidTr="0088732E">
        <w:trPr>
          <w:trHeight w:val="975"/>
        </w:trPr>
        <w:tc>
          <w:tcPr>
            <w:tcW w:w="235" w:type="pct"/>
            <w:vMerge/>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243" w:type="pct"/>
            <w:gridSpan w:val="3"/>
            <w:vMerge/>
            <w:tcBorders>
              <w:top w:val="nil"/>
              <w:left w:val="nil"/>
              <w:bottom w:val="nil"/>
              <w:right w:val="single" w:sz="4" w:space="0" w:color="auto"/>
            </w:tcBorders>
            <w:shd w:val="clear" w:color="auto" w:fill="auto"/>
            <w:vAlign w:val="center"/>
          </w:tcPr>
          <w:p w:rsidR="002E4532" w:rsidRDefault="002E4532">
            <w:pPr>
              <w:rPr>
                <w:rFonts w:ascii="Calibri" w:hAnsi="Calibri"/>
                <w:szCs w:val="22"/>
              </w:rPr>
            </w:pPr>
          </w:p>
        </w:tc>
        <w:tc>
          <w:tcPr>
            <w:tcW w:w="405" w:type="pct"/>
            <w:gridSpan w:val="2"/>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数字化档案数量（卷）</w:t>
            </w:r>
          </w:p>
        </w:tc>
        <w:tc>
          <w:tcPr>
            <w:tcW w:w="547" w:type="pct"/>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60000</w:t>
            </w:r>
          </w:p>
        </w:tc>
        <w:tc>
          <w:tcPr>
            <w:tcW w:w="547" w:type="pct"/>
            <w:gridSpan w:val="4"/>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61315</w:t>
            </w:r>
          </w:p>
        </w:tc>
        <w:tc>
          <w:tcPr>
            <w:tcW w:w="199" w:type="pct"/>
            <w:gridSpan w:val="3"/>
            <w:tcBorders>
              <w:top w:val="single" w:sz="4" w:space="0" w:color="auto"/>
              <w:left w:val="nil"/>
              <w:bottom w:val="single" w:sz="4" w:space="0" w:color="auto"/>
              <w:right w:val="single" w:sz="4" w:space="0" w:color="auto"/>
            </w:tcBorders>
            <w:shd w:val="clear" w:color="auto" w:fill="auto"/>
          </w:tcPr>
          <w:p w:rsidR="002E4532" w:rsidRDefault="002E4532">
            <w:pPr>
              <w:widowControl/>
              <w:jc w:val="center"/>
              <w:rPr>
                <w:rFonts w:ascii="宋体" w:hAnsi="宋体" w:cs="宋体"/>
                <w:color w:val="000000"/>
                <w:kern w:val="0"/>
                <w:sz w:val="20"/>
                <w:szCs w:val="20"/>
              </w:rPr>
            </w:pPr>
          </w:p>
          <w:p w:rsidR="002E4532" w:rsidRDefault="002E4532">
            <w:pPr>
              <w:widowControl/>
              <w:jc w:val="center"/>
              <w:rPr>
                <w:rFonts w:ascii="宋体" w:hAnsi="宋体" w:cs="宋体"/>
                <w:color w:val="000000"/>
                <w:kern w:val="0"/>
                <w:sz w:val="20"/>
                <w:szCs w:val="20"/>
              </w:rPr>
            </w:pPr>
          </w:p>
          <w:p w:rsidR="002E4532" w:rsidRDefault="002E4532">
            <w:pPr>
              <w:widowControl/>
              <w:jc w:val="center"/>
              <w:rPr>
                <w:rFonts w:ascii="宋体" w:hAnsi="宋体" w:cs="宋体"/>
                <w:color w:val="000000"/>
                <w:kern w:val="0"/>
                <w:sz w:val="20"/>
                <w:szCs w:val="20"/>
              </w:rPr>
            </w:pPr>
          </w:p>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2.5</w:t>
            </w:r>
          </w:p>
        </w:tc>
        <w:tc>
          <w:tcPr>
            <w:tcW w:w="239" w:type="pct"/>
            <w:gridSpan w:val="2"/>
            <w:tcBorders>
              <w:top w:val="single" w:sz="4" w:space="0" w:color="auto"/>
              <w:left w:val="single" w:sz="4" w:space="0" w:color="auto"/>
              <w:bottom w:val="single" w:sz="4" w:space="0" w:color="auto"/>
              <w:right w:val="nil"/>
            </w:tcBorders>
            <w:shd w:val="clear" w:color="auto" w:fill="auto"/>
            <w:noWrap/>
            <w:vAlign w:val="center"/>
          </w:tcPr>
          <w:p w:rsidR="002E4532" w:rsidRDefault="00C66CED" w:rsidP="005326F2">
            <w:pPr>
              <w:widowControl/>
              <w:jc w:val="center"/>
              <w:rPr>
                <w:rFonts w:ascii="宋体" w:hAnsi="宋体" w:cs="宋体"/>
                <w:color w:val="000000"/>
                <w:kern w:val="0"/>
                <w:sz w:val="20"/>
                <w:szCs w:val="20"/>
              </w:rPr>
            </w:pPr>
            <w:r>
              <w:rPr>
                <w:rFonts w:ascii="宋体" w:hAnsi="宋体" w:cs="宋体" w:hint="eastAsia"/>
                <w:color w:val="000000"/>
                <w:kern w:val="0"/>
                <w:sz w:val="20"/>
                <w:szCs w:val="20"/>
              </w:rPr>
              <w:t>2.5</w:t>
            </w:r>
          </w:p>
        </w:tc>
        <w:tc>
          <w:tcPr>
            <w:tcW w:w="1301" w:type="pct"/>
            <w:gridSpan w:val="3"/>
            <w:vMerge/>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1284" w:type="pct"/>
            <w:vMerge/>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r>
      <w:tr w:rsidR="002E4532" w:rsidTr="0088732E">
        <w:trPr>
          <w:trHeight w:val="975"/>
        </w:trPr>
        <w:tc>
          <w:tcPr>
            <w:tcW w:w="235" w:type="pct"/>
            <w:vMerge/>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243" w:type="pct"/>
            <w:gridSpan w:val="3"/>
            <w:tcBorders>
              <w:top w:val="nil"/>
              <w:left w:val="nil"/>
              <w:bottom w:val="nil"/>
              <w:right w:val="single" w:sz="4" w:space="0" w:color="auto"/>
            </w:tcBorders>
            <w:shd w:val="clear" w:color="auto" w:fill="auto"/>
            <w:vAlign w:val="center"/>
          </w:tcPr>
          <w:p w:rsidR="002E4532" w:rsidRDefault="002E4532">
            <w:pPr>
              <w:rPr>
                <w:rFonts w:ascii="Calibri" w:hAnsi="Calibri"/>
                <w:szCs w:val="22"/>
              </w:rPr>
            </w:pPr>
          </w:p>
        </w:tc>
        <w:tc>
          <w:tcPr>
            <w:tcW w:w="405" w:type="pct"/>
            <w:gridSpan w:val="2"/>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一审判决案件改判发回重审率（瑕疵）</w:t>
            </w:r>
          </w:p>
        </w:tc>
        <w:tc>
          <w:tcPr>
            <w:tcW w:w="547" w:type="pct"/>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0.02%</w:t>
            </w:r>
          </w:p>
        </w:tc>
        <w:tc>
          <w:tcPr>
            <w:tcW w:w="547" w:type="pct"/>
            <w:gridSpan w:val="4"/>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0.51%</w:t>
            </w:r>
          </w:p>
        </w:tc>
        <w:tc>
          <w:tcPr>
            <w:tcW w:w="199" w:type="pct"/>
            <w:gridSpan w:val="3"/>
            <w:tcBorders>
              <w:top w:val="single" w:sz="4" w:space="0" w:color="auto"/>
              <w:left w:val="nil"/>
              <w:bottom w:val="single" w:sz="4" w:space="0" w:color="auto"/>
              <w:right w:val="single" w:sz="4" w:space="0" w:color="auto"/>
            </w:tcBorders>
            <w:shd w:val="clear" w:color="auto" w:fill="auto"/>
          </w:tcPr>
          <w:p w:rsidR="002E4532" w:rsidRDefault="002E4532">
            <w:pPr>
              <w:widowControl/>
              <w:jc w:val="center"/>
              <w:rPr>
                <w:rFonts w:ascii="宋体" w:hAnsi="宋体" w:cs="宋体"/>
                <w:color w:val="000000"/>
                <w:kern w:val="0"/>
                <w:sz w:val="20"/>
                <w:szCs w:val="20"/>
              </w:rPr>
            </w:pPr>
          </w:p>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239" w:type="pct"/>
            <w:gridSpan w:val="2"/>
            <w:tcBorders>
              <w:top w:val="single" w:sz="4" w:space="0" w:color="auto"/>
              <w:left w:val="single" w:sz="4" w:space="0" w:color="auto"/>
              <w:bottom w:val="single" w:sz="4" w:space="0" w:color="auto"/>
              <w:right w:val="nil"/>
            </w:tcBorders>
            <w:shd w:val="clear" w:color="auto" w:fill="auto"/>
            <w:noWrap/>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0.12</w:t>
            </w:r>
          </w:p>
        </w:tc>
        <w:tc>
          <w:tcPr>
            <w:tcW w:w="1301" w:type="pct"/>
            <w:gridSpan w:val="3"/>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1284" w:type="pct"/>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r>
      <w:tr w:rsidR="002E4532" w:rsidTr="0088732E">
        <w:trPr>
          <w:trHeight w:val="975"/>
        </w:trPr>
        <w:tc>
          <w:tcPr>
            <w:tcW w:w="235" w:type="pct"/>
            <w:vMerge/>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243" w:type="pct"/>
            <w:gridSpan w:val="3"/>
            <w:tcBorders>
              <w:top w:val="nil"/>
              <w:left w:val="nil"/>
              <w:bottom w:val="nil"/>
              <w:right w:val="single" w:sz="4" w:space="0" w:color="auto"/>
            </w:tcBorders>
            <w:shd w:val="clear" w:color="auto" w:fill="auto"/>
            <w:vAlign w:val="center"/>
          </w:tcPr>
          <w:p w:rsidR="002E4532" w:rsidRDefault="002E4532">
            <w:pPr>
              <w:rPr>
                <w:rFonts w:ascii="Calibri" w:hAnsi="Calibri"/>
                <w:szCs w:val="22"/>
              </w:rPr>
            </w:pPr>
          </w:p>
        </w:tc>
        <w:tc>
          <w:tcPr>
            <w:tcW w:w="405" w:type="pct"/>
            <w:gridSpan w:val="2"/>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裁判文书上网率</w:t>
            </w:r>
          </w:p>
        </w:tc>
        <w:tc>
          <w:tcPr>
            <w:tcW w:w="547" w:type="pct"/>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7" w:type="pct"/>
            <w:gridSpan w:val="4"/>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99" w:type="pct"/>
            <w:gridSpan w:val="3"/>
            <w:tcBorders>
              <w:top w:val="single" w:sz="4" w:space="0" w:color="auto"/>
              <w:left w:val="nil"/>
              <w:bottom w:val="single" w:sz="4" w:space="0" w:color="auto"/>
              <w:right w:val="single" w:sz="4" w:space="0" w:color="auto"/>
            </w:tcBorders>
            <w:shd w:val="clear" w:color="auto" w:fill="auto"/>
          </w:tcPr>
          <w:p w:rsidR="002E4532" w:rsidRDefault="002E4532">
            <w:pPr>
              <w:widowControl/>
              <w:jc w:val="center"/>
              <w:rPr>
                <w:rFonts w:ascii="宋体" w:hAnsi="宋体" w:cs="宋体"/>
                <w:color w:val="000000"/>
                <w:kern w:val="0"/>
                <w:sz w:val="20"/>
                <w:szCs w:val="20"/>
              </w:rPr>
            </w:pPr>
          </w:p>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39" w:type="pct"/>
            <w:gridSpan w:val="2"/>
            <w:tcBorders>
              <w:top w:val="single" w:sz="4" w:space="0" w:color="auto"/>
              <w:left w:val="single" w:sz="4" w:space="0" w:color="auto"/>
              <w:bottom w:val="single" w:sz="4" w:space="0" w:color="auto"/>
              <w:right w:val="nil"/>
            </w:tcBorders>
            <w:shd w:val="clear" w:color="auto" w:fill="auto"/>
            <w:noWrap/>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301" w:type="pct"/>
            <w:gridSpan w:val="3"/>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1284" w:type="pct"/>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r>
      <w:tr w:rsidR="002E4532" w:rsidTr="0088732E">
        <w:trPr>
          <w:trHeight w:val="975"/>
        </w:trPr>
        <w:tc>
          <w:tcPr>
            <w:tcW w:w="235" w:type="pct"/>
            <w:vMerge/>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243" w:type="pct"/>
            <w:gridSpan w:val="3"/>
            <w:tcBorders>
              <w:top w:val="nil"/>
              <w:left w:val="nil"/>
              <w:bottom w:val="nil"/>
              <w:right w:val="single" w:sz="4" w:space="0" w:color="auto"/>
            </w:tcBorders>
            <w:shd w:val="clear" w:color="auto" w:fill="auto"/>
            <w:vAlign w:val="center"/>
          </w:tcPr>
          <w:p w:rsidR="002E4532" w:rsidRDefault="002E4532">
            <w:pPr>
              <w:rPr>
                <w:rFonts w:ascii="Calibri" w:hAnsi="Calibri"/>
                <w:szCs w:val="22"/>
              </w:rPr>
            </w:pPr>
          </w:p>
        </w:tc>
        <w:tc>
          <w:tcPr>
            <w:tcW w:w="405" w:type="pct"/>
            <w:gridSpan w:val="2"/>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投诉信访率</w:t>
            </w:r>
          </w:p>
        </w:tc>
        <w:tc>
          <w:tcPr>
            <w:tcW w:w="547" w:type="pct"/>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0.1%</w:t>
            </w:r>
          </w:p>
        </w:tc>
        <w:tc>
          <w:tcPr>
            <w:tcW w:w="547" w:type="pct"/>
            <w:gridSpan w:val="4"/>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0.11%</w:t>
            </w:r>
          </w:p>
        </w:tc>
        <w:tc>
          <w:tcPr>
            <w:tcW w:w="199" w:type="pct"/>
            <w:gridSpan w:val="3"/>
            <w:tcBorders>
              <w:top w:val="single" w:sz="4" w:space="0" w:color="auto"/>
              <w:left w:val="nil"/>
              <w:bottom w:val="single" w:sz="4" w:space="0" w:color="auto"/>
              <w:right w:val="single" w:sz="4" w:space="0" w:color="auto"/>
            </w:tcBorders>
            <w:shd w:val="clear" w:color="auto" w:fill="auto"/>
          </w:tcPr>
          <w:p w:rsidR="002E4532" w:rsidRDefault="002E4532">
            <w:pPr>
              <w:widowControl/>
              <w:jc w:val="center"/>
              <w:rPr>
                <w:rFonts w:ascii="宋体" w:hAnsi="宋体" w:cs="宋体"/>
                <w:color w:val="000000"/>
                <w:kern w:val="0"/>
                <w:sz w:val="20"/>
                <w:szCs w:val="20"/>
              </w:rPr>
            </w:pPr>
          </w:p>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2.5</w:t>
            </w:r>
          </w:p>
        </w:tc>
        <w:tc>
          <w:tcPr>
            <w:tcW w:w="239" w:type="pct"/>
            <w:gridSpan w:val="2"/>
            <w:tcBorders>
              <w:top w:val="single" w:sz="4" w:space="0" w:color="auto"/>
              <w:left w:val="single" w:sz="4" w:space="0" w:color="auto"/>
              <w:bottom w:val="single" w:sz="4" w:space="0" w:color="auto"/>
              <w:right w:val="nil"/>
            </w:tcBorders>
            <w:shd w:val="clear" w:color="auto" w:fill="auto"/>
            <w:noWrap/>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2.27</w:t>
            </w:r>
          </w:p>
        </w:tc>
        <w:tc>
          <w:tcPr>
            <w:tcW w:w="1301" w:type="pct"/>
            <w:gridSpan w:val="3"/>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1284" w:type="pct"/>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r>
      <w:tr w:rsidR="002E4532" w:rsidTr="0088732E">
        <w:trPr>
          <w:trHeight w:val="975"/>
        </w:trPr>
        <w:tc>
          <w:tcPr>
            <w:tcW w:w="235" w:type="pct"/>
            <w:vMerge/>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243" w:type="pct"/>
            <w:gridSpan w:val="3"/>
            <w:tcBorders>
              <w:top w:val="nil"/>
              <w:left w:val="nil"/>
              <w:bottom w:val="nil"/>
              <w:right w:val="single" w:sz="4" w:space="0" w:color="auto"/>
            </w:tcBorders>
            <w:shd w:val="clear" w:color="auto" w:fill="auto"/>
            <w:vAlign w:val="center"/>
          </w:tcPr>
          <w:p w:rsidR="002E4532" w:rsidRDefault="002E4532">
            <w:pPr>
              <w:rPr>
                <w:rFonts w:ascii="Calibri" w:hAnsi="Calibri"/>
                <w:szCs w:val="22"/>
              </w:rPr>
            </w:pPr>
          </w:p>
        </w:tc>
        <w:tc>
          <w:tcPr>
            <w:tcW w:w="405" w:type="pct"/>
            <w:gridSpan w:val="2"/>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执行质效</w:t>
            </w:r>
          </w:p>
        </w:tc>
        <w:tc>
          <w:tcPr>
            <w:tcW w:w="547" w:type="pct"/>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97.5%</w:t>
            </w:r>
          </w:p>
        </w:tc>
        <w:tc>
          <w:tcPr>
            <w:tcW w:w="547" w:type="pct"/>
            <w:gridSpan w:val="4"/>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99.75%</w:t>
            </w:r>
          </w:p>
        </w:tc>
        <w:tc>
          <w:tcPr>
            <w:tcW w:w="199" w:type="pct"/>
            <w:gridSpan w:val="3"/>
            <w:tcBorders>
              <w:top w:val="single" w:sz="4" w:space="0" w:color="auto"/>
              <w:left w:val="nil"/>
              <w:bottom w:val="single" w:sz="4" w:space="0" w:color="auto"/>
              <w:right w:val="single" w:sz="4" w:space="0" w:color="auto"/>
            </w:tcBorders>
            <w:shd w:val="clear" w:color="auto" w:fill="auto"/>
          </w:tcPr>
          <w:p w:rsidR="002E4532" w:rsidRDefault="002E4532">
            <w:pPr>
              <w:widowControl/>
              <w:jc w:val="center"/>
              <w:rPr>
                <w:rFonts w:ascii="宋体" w:hAnsi="宋体" w:cs="宋体"/>
                <w:color w:val="000000"/>
                <w:kern w:val="0"/>
                <w:sz w:val="20"/>
                <w:szCs w:val="20"/>
              </w:rPr>
            </w:pPr>
          </w:p>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2.5</w:t>
            </w:r>
          </w:p>
        </w:tc>
        <w:tc>
          <w:tcPr>
            <w:tcW w:w="239" w:type="pct"/>
            <w:gridSpan w:val="2"/>
            <w:tcBorders>
              <w:top w:val="single" w:sz="4" w:space="0" w:color="auto"/>
              <w:left w:val="single" w:sz="4" w:space="0" w:color="auto"/>
              <w:bottom w:val="single" w:sz="4" w:space="0" w:color="auto"/>
              <w:right w:val="nil"/>
            </w:tcBorders>
            <w:shd w:val="clear" w:color="auto" w:fill="auto"/>
            <w:noWrap/>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2.5</w:t>
            </w:r>
          </w:p>
        </w:tc>
        <w:tc>
          <w:tcPr>
            <w:tcW w:w="1301" w:type="pct"/>
            <w:gridSpan w:val="3"/>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1284" w:type="pct"/>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r>
      <w:tr w:rsidR="002E4532" w:rsidTr="0088732E">
        <w:trPr>
          <w:trHeight w:val="975"/>
        </w:trPr>
        <w:tc>
          <w:tcPr>
            <w:tcW w:w="235" w:type="pct"/>
            <w:vMerge/>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243" w:type="pct"/>
            <w:gridSpan w:val="3"/>
            <w:tcBorders>
              <w:top w:val="nil"/>
              <w:left w:val="nil"/>
              <w:bottom w:val="nil"/>
              <w:right w:val="single" w:sz="4" w:space="0" w:color="auto"/>
            </w:tcBorders>
            <w:shd w:val="clear" w:color="auto" w:fill="auto"/>
            <w:vAlign w:val="center"/>
          </w:tcPr>
          <w:p w:rsidR="002E4532" w:rsidRDefault="002E4532">
            <w:pPr>
              <w:rPr>
                <w:rFonts w:ascii="Calibri" w:hAnsi="Calibri"/>
                <w:szCs w:val="22"/>
              </w:rPr>
            </w:pPr>
          </w:p>
        </w:tc>
        <w:tc>
          <w:tcPr>
            <w:tcW w:w="405" w:type="pct"/>
            <w:gridSpan w:val="2"/>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结收比</w:t>
            </w:r>
          </w:p>
        </w:tc>
        <w:tc>
          <w:tcPr>
            <w:tcW w:w="547" w:type="pct"/>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100.2%</w:t>
            </w:r>
          </w:p>
        </w:tc>
        <w:tc>
          <w:tcPr>
            <w:tcW w:w="547" w:type="pct"/>
            <w:gridSpan w:val="4"/>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90.1%</w:t>
            </w:r>
          </w:p>
        </w:tc>
        <w:tc>
          <w:tcPr>
            <w:tcW w:w="199" w:type="pct"/>
            <w:gridSpan w:val="3"/>
            <w:tcBorders>
              <w:top w:val="single" w:sz="4" w:space="0" w:color="auto"/>
              <w:left w:val="nil"/>
              <w:bottom w:val="single" w:sz="4" w:space="0" w:color="auto"/>
              <w:right w:val="single" w:sz="4" w:space="0" w:color="auto"/>
            </w:tcBorders>
            <w:shd w:val="clear" w:color="auto" w:fill="auto"/>
          </w:tcPr>
          <w:p w:rsidR="002E4532" w:rsidRDefault="002E4532">
            <w:pPr>
              <w:widowControl/>
              <w:jc w:val="center"/>
              <w:rPr>
                <w:rFonts w:ascii="宋体" w:hAnsi="宋体" w:cs="宋体"/>
                <w:color w:val="000000"/>
                <w:kern w:val="0"/>
                <w:sz w:val="20"/>
                <w:szCs w:val="20"/>
              </w:rPr>
            </w:pPr>
          </w:p>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2.5</w:t>
            </w:r>
          </w:p>
        </w:tc>
        <w:tc>
          <w:tcPr>
            <w:tcW w:w="239" w:type="pct"/>
            <w:gridSpan w:val="2"/>
            <w:tcBorders>
              <w:top w:val="single" w:sz="4" w:space="0" w:color="auto"/>
              <w:left w:val="single" w:sz="4" w:space="0" w:color="auto"/>
              <w:bottom w:val="single" w:sz="4" w:space="0" w:color="auto"/>
              <w:right w:val="nil"/>
            </w:tcBorders>
            <w:shd w:val="clear" w:color="auto" w:fill="auto"/>
            <w:noWrap/>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2.25</w:t>
            </w:r>
          </w:p>
        </w:tc>
        <w:tc>
          <w:tcPr>
            <w:tcW w:w="1301" w:type="pct"/>
            <w:gridSpan w:val="3"/>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1284" w:type="pct"/>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r>
      <w:tr w:rsidR="002E4532" w:rsidTr="0088732E">
        <w:trPr>
          <w:trHeight w:val="975"/>
        </w:trPr>
        <w:tc>
          <w:tcPr>
            <w:tcW w:w="235" w:type="pct"/>
            <w:vMerge/>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243" w:type="pct"/>
            <w:gridSpan w:val="3"/>
            <w:tcBorders>
              <w:top w:val="nil"/>
              <w:left w:val="nil"/>
              <w:bottom w:val="nil"/>
              <w:right w:val="single" w:sz="4" w:space="0" w:color="auto"/>
            </w:tcBorders>
            <w:shd w:val="clear" w:color="auto" w:fill="auto"/>
            <w:vAlign w:val="center"/>
          </w:tcPr>
          <w:p w:rsidR="002E4532" w:rsidRDefault="002E4532">
            <w:pPr>
              <w:rPr>
                <w:rFonts w:ascii="Calibri" w:hAnsi="Calibri"/>
                <w:szCs w:val="22"/>
              </w:rPr>
            </w:pPr>
          </w:p>
        </w:tc>
        <w:tc>
          <w:tcPr>
            <w:tcW w:w="405" w:type="pct"/>
            <w:gridSpan w:val="2"/>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电子送达覆盖率</w:t>
            </w:r>
          </w:p>
        </w:tc>
        <w:tc>
          <w:tcPr>
            <w:tcW w:w="547" w:type="pct"/>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51.73%</w:t>
            </w:r>
          </w:p>
        </w:tc>
        <w:tc>
          <w:tcPr>
            <w:tcW w:w="547" w:type="pct"/>
            <w:gridSpan w:val="4"/>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56.44%</w:t>
            </w:r>
          </w:p>
        </w:tc>
        <w:tc>
          <w:tcPr>
            <w:tcW w:w="199" w:type="pct"/>
            <w:gridSpan w:val="3"/>
            <w:tcBorders>
              <w:top w:val="single" w:sz="4" w:space="0" w:color="auto"/>
              <w:left w:val="nil"/>
              <w:bottom w:val="single" w:sz="4" w:space="0" w:color="auto"/>
              <w:right w:val="single" w:sz="4" w:space="0" w:color="auto"/>
            </w:tcBorders>
            <w:shd w:val="clear" w:color="auto" w:fill="auto"/>
          </w:tcPr>
          <w:p w:rsidR="002E4532" w:rsidRDefault="002E4532">
            <w:pPr>
              <w:widowControl/>
              <w:jc w:val="center"/>
              <w:rPr>
                <w:rFonts w:ascii="宋体" w:hAnsi="宋体" w:cs="宋体"/>
                <w:color w:val="000000"/>
                <w:kern w:val="0"/>
                <w:sz w:val="20"/>
                <w:szCs w:val="20"/>
              </w:rPr>
            </w:pPr>
          </w:p>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39" w:type="pct"/>
            <w:gridSpan w:val="2"/>
            <w:tcBorders>
              <w:top w:val="single" w:sz="4" w:space="0" w:color="auto"/>
              <w:left w:val="single" w:sz="4" w:space="0" w:color="auto"/>
              <w:bottom w:val="single" w:sz="4" w:space="0" w:color="auto"/>
              <w:right w:val="nil"/>
            </w:tcBorders>
            <w:shd w:val="clear" w:color="auto" w:fill="auto"/>
            <w:noWrap/>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301" w:type="pct"/>
            <w:gridSpan w:val="3"/>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1284" w:type="pct"/>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r>
      <w:tr w:rsidR="002E4532" w:rsidTr="0088732E">
        <w:trPr>
          <w:trHeight w:val="975"/>
        </w:trPr>
        <w:tc>
          <w:tcPr>
            <w:tcW w:w="235" w:type="pct"/>
            <w:vMerge/>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243" w:type="pct"/>
            <w:gridSpan w:val="3"/>
            <w:tcBorders>
              <w:top w:val="nil"/>
              <w:left w:val="nil"/>
              <w:bottom w:val="nil"/>
              <w:right w:val="single" w:sz="4" w:space="0" w:color="auto"/>
            </w:tcBorders>
            <w:shd w:val="clear" w:color="auto" w:fill="auto"/>
            <w:vAlign w:val="center"/>
          </w:tcPr>
          <w:p w:rsidR="002E4532" w:rsidRDefault="002E4532">
            <w:pPr>
              <w:rPr>
                <w:rFonts w:ascii="Calibri" w:hAnsi="Calibri"/>
                <w:szCs w:val="22"/>
              </w:rPr>
            </w:pPr>
          </w:p>
        </w:tc>
        <w:tc>
          <w:tcPr>
            <w:tcW w:w="405" w:type="pct"/>
            <w:gridSpan w:val="2"/>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全口径案件成本（万元）</w:t>
            </w:r>
          </w:p>
        </w:tc>
        <w:tc>
          <w:tcPr>
            <w:tcW w:w="547" w:type="pct"/>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0.116821</w:t>
            </w:r>
          </w:p>
        </w:tc>
        <w:tc>
          <w:tcPr>
            <w:tcW w:w="547" w:type="pct"/>
            <w:gridSpan w:val="4"/>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0.108589</w:t>
            </w:r>
          </w:p>
        </w:tc>
        <w:tc>
          <w:tcPr>
            <w:tcW w:w="199" w:type="pct"/>
            <w:gridSpan w:val="3"/>
            <w:tcBorders>
              <w:top w:val="single" w:sz="4" w:space="0" w:color="auto"/>
              <w:left w:val="nil"/>
              <w:bottom w:val="single" w:sz="4" w:space="0" w:color="auto"/>
              <w:right w:val="single" w:sz="4" w:space="0" w:color="auto"/>
            </w:tcBorders>
            <w:shd w:val="clear" w:color="auto" w:fill="auto"/>
          </w:tcPr>
          <w:p w:rsidR="002E4532" w:rsidRDefault="002E4532">
            <w:pPr>
              <w:widowControl/>
              <w:jc w:val="center"/>
              <w:rPr>
                <w:rFonts w:ascii="宋体" w:hAnsi="宋体" w:cs="宋体"/>
                <w:color w:val="000000"/>
                <w:kern w:val="0"/>
                <w:sz w:val="20"/>
                <w:szCs w:val="20"/>
              </w:rPr>
            </w:pPr>
          </w:p>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39" w:type="pct"/>
            <w:gridSpan w:val="2"/>
            <w:tcBorders>
              <w:top w:val="single" w:sz="4" w:space="0" w:color="auto"/>
              <w:left w:val="single" w:sz="4" w:space="0" w:color="auto"/>
              <w:bottom w:val="single" w:sz="4" w:space="0" w:color="auto"/>
              <w:right w:val="nil"/>
            </w:tcBorders>
            <w:shd w:val="clear" w:color="auto" w:fill="auto"/>
            <w:noWrap/>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301" w:type="pct"/>
            <w:gridSpan w:val="3"/>
            <w:tcBorders>
              <w:top w:val="nil"/>
              <w:left w:val="single" w:sz="4" w:space="0" w:color="auto"/>
              <w:bottom w:val="single" w:sz="4" w:space="0" w:color="auto"/>
              <w:right w:val="single" w:sz="4" w:space="0" w:color="auto"/>
            </w:tcBorders>
            <w:shd w:val="clear" w:color="auto" w:fill="auto"/>
            <w:vAlign w:val="center"/>
          </w:tcPr>
          <w:p w:rsidR="002E4532" w:rsidRDefault="002E4532">
            <w:pPr>
              <w:widowControl/>
              <w:jc w:val="left"/>
              <w:rPr>
                <w:rFonts w:ascii="宋体" w:hAnsi="宋体" w:cs="宋体"/>
                <w:color w:val="000000"/>
                <w:kern w:val="0"/>
                <w:sz w:val="18"/>
                <w:szCs w:val="18"/>
              </w:rPr>
            </w:pPr>
          </w:p>
        </w:tc>
        <w:tc>
          <w:tcPr>
            <w:tcW w:w="1284" w:type="pct"/>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r>
      <w:tr w:rsidR="002E4532" w:rsidTr="0088732E">
        <w:trPr>
          <w:trHeight w:val="675"/>
        </w:trPr>
        <w:tc>
          <w:tcPr>
            <w:tcW w:w="235" w:type="pct"/>
            <w:vMerge/>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243" w:type="pct"/>
            <w:gridSpan w:val="3"/>
            <w:vMerge w:val="restart"/>
            <w:tcBorders>
              <w:top w:val="single" w:sz="4" w:space="0" w:color="auto"/>
              <w:left w:val="nil"/>
              <w:bottom w:val="nil"/>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效果（30）</w:t>
            </w:r>
          </w:p>
        </w:tc>
        <w:tc>
          <w:tcPr>
            <w:tcW w:w="405" w:type="pct"/>
            <w:gridSpan w:val="2"/>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网上预约立案数量（占全部收案数量的比重）</w:t>
            </w:r>
          </w:p>
        </w:tc>
        <w:tc>
          <w:tcPr>
            <w:tcW w:w="547" w:type="pct"/>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40%</w:t>
            </w:r>
          </w:p>
        </w:tc>
        <w:tc>
          <w:tcPr>
            <w:tcW w:w="547" w:type="pct"/>
            <w:gridSpan w:val="4"/>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43.55%</w:t>
            </w:r>
          </w:p>
        </w:tc>
        <w:tc>
          <w:tcPr>
            <w:tcW w:w="199" w:type="pct"/>
            <w:gridSpan w:val="3"/>
            <w:tcBorders>
              <w:top w:val="single" w:sz="4" w:space="0" w:color="auto"/>
              <w:left w:val="nil"/>
              <w:bottom w:val="single" w:sz="4" w:space="0" w:color="auto"/>
              <w:right w:val="single" w:sz="4" w:space="0" w:color="auto"/>
            </w:tcBorders>
            <w:shd w:val="clear" w:color="auto" w:fill="auto"/>
          </w:tcPr>
          <w:p w:rsidR="002E4532" w:rsidRDefault="002E4532">
            <w:pPr>
              <w:widowControl/>
              <w:jc w:val="center"/>
              <w:rPr>
                <w:rFonts w:ascii="宋体" w:hAnsi="宋体" w:cs="宋体"/>
                <w:color w:val="000000"/>
                <w:kern w:val="0"/>
                <w:sz w:val="20"/>
                <w:szCs w:val="20"/>
              </w:rPr>
            </w:pPr>
          </w:p>
          <w:p w:rsidR="002E4532" w:rsidRDefault="00C66CED">
            <w:pPr>
              <w:widowControl/>
              <w:jc w:val="center"/>
            </w:pPr>
            <w:r>
              <w:rPr>
                <w:rFonts w:ascii="宋体" w:hAnsi="宋体" w:cs="宋体" w:hint="eastAsia"/>
                <w:color w:val="000000"/>
                <w:kern w:val="0"/>
                <w:sz w:val="20"/>
                <w:szCs w:val="20"/>
              </w:rPr>
              <w:t>5</w:t>
            </w:r>
          </w:p>
        </w:tc>
        <w:tc>
          <w:tcPr>
            <w:tcW w:w="239" w:type="pct"/>
            <w:gridSpan w:val="2"/>
            <w:tcBorders>
              <w:top w:val="single" w:sz="4" w:space="0" w:color="auto"/>
              <w:left w:val="single" w:sz="4" w:space="0" w:color="auto"/>
              <w:bottom w:val="single" w:sz="4" w:space="0" w:color="auto"/>
              <w:right w:val="nil"/>
            </w:tcBorders>
            <w:shd w:val="clear" w:color="auto" w:fill="auto"/>
            <w:noWrap/>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5　</w:t>
            </w:r>
          </w:p>
        </w:tc>
        <w:tc>
          <w:tcPr>
            <w:tcW w:w="1301" w:type="pct"/>
            <w:gridSpan w:val="3"/>
            <w:vMerge w:val="restart"/>
            <w:tcBorders>
              <w:top w:val="nil"/>
              <w:left w:val="single" w:sz="4" w:space="0" w:color="auto"/>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1284" w:type="pct"/>
            <w:vMerge w:val="restart"/>
            <w:tcBorders>
              <w:top w:val="nil"/>
              <w:left w:val="nil"/>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2E4532" w:rsidTr="0088732E">
        <w:trPr>
          <w:trHeight w:val="630"/>
        </w:trPr>
        <w:tc>
          <w:tcPr>
            <w:tcW w:w="235" w:type="pct"/>
            <w:vMerge/>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243" w:type="pct"/>
            <w:gridSpan w:val="3"/>
            <w:vMerge/>
            <w:tcBorders>
              <w:top w:val="single" w:sz="4" w:space="0" w:color="auto"/>
              <w:left w:val="nil"/>
              <w:bottom w:val="nil"/>
              <w:right w:val="single" w:sz="4" w:space="0" w:color="auto"/>
            </w:tcBorders>
            <w:shd w:val="clear" w:color="auto" w:fill="auto"/>
            <w:vAlign w:val="center"/>
          </w:tcPr>
          <w:p w:rsidR="002E4532" w:rsidRDefault="002E4532">
            <w:pPr>
              <w:rPr>
                <w:rFonts w:ascii="Calibri" w:hAnsi="Calibri"/>
                <w:szCs w:val="22"/>
              </w:rPr>
            </w:pPr>
          </w:p>
        </w:tc>
        <w:tc>
          <w:tcPr>
            <w:tcW w:w="405" w:type="pct"/>
            <w:gridSpan w:val="2"/>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保证首都经济运转和维护营商环境情况（文字描述）</w:t>
            </w:r>
          </w:p>
        </w:tc>
        <w:tc>
          <w:tcPr>
            <w:tcW w:w="547" w:type="pct"/>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547" w:type="pct"/>
            <w:gridSpan w:val="4"/>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充分有效保障</w:t>
            </w:r>
          </w:p>
        </w:tc>
        <w:tc>
          <w:tcPr>
            <w:tcW w:w="199" w:type="pct"/>
            <w:gridSpan w:val="3"/>
            <w:tcBorders>
              <w:top w:val="single" w:sz="4" w:space="0" w:color="auto"/>
              <w:left w:val="nil"/>
              <w:bottom w:val="single" w:sz="4" w:space="0" w:color="auto"/>
              <w:right w:val="single" w:sz="4" w:space="0" w:color="auto"/>
            </w:tcBorders>
            <w:shd w:val="clear" w:color="auto" w:fill="auto"/>
          </w:tcPr>
          <w:p w:rsidR="002E4532" w:rsidRDefault="002E4532">
            <w:pPr>
              <w:widowControl/>
              <w:jc w:val="center"/>
              <w:rPr>
                <w:rFonts w:ascii="宋体" w:hAnsi="宋体" w:cs="宋体"/>
                <w:color w:val="000000"/>
                <w:kern w:val="0"/>
                <w:sz w:val="20"/>
                <w:szCs w:val="20"/>
              </w:rPr>
            </w:pPr>
          </w:p>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239" w:type="pct"/>
            <w:gridSpan w:val="2"/>
            <w:tcBorders>
              <w:top w:val="single" w:sz="4" w:space="0" w:color="auto"/>
              <w:left w:val="single" w:sz="4" w:space="0" w:color="auto"/>
              <w:bottom w:val="single" w:sz="4" w:space="0" w:color="auto"/>
              <w:right w:val="nil"/>
            </w:tcBorders>
            <w:shd w:val="clear" w:color="auto" w:fill="auto"/>
            <w:noWrap/>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1301" w:type="pct"/>
            <w:gridSpan w:val="3"/>
            <w:vMerge/>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1284" w:type="pct"/>
            <w:vMerge/>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r>
      <w:tr w:rsidR="002E4532" w:rsidTr="0088732E">
        <w:trPr>
          <w:trHeight w:val="690"/>
        </w:trPr>
        <w:tc>
          <w:tcPr>
            <w:tcW w:w="235" w:type="pct"/>
            <w:vMerge/>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243" w:type="pct"/>
            <w:gridSpan w:val="3"/>
            <w:vMerge/>
            <w:tcBorders>
              <w:top w:val="single" w:sz="4" w:space="0" w:color="auto"/>
              <w:left w:val="nil"/>
              <w:bottom w:val="nil"/>
              <w:right w:val="single" w:sz="4" w:space="0" w:color="auto"/>
            </w:tcBorders>
            <w:shd w:val="clear" w:color="auto" w:fill="auto"/>
            <w:vAlign w:val="center"/>
          </w:tcPr>
          <w:p w:rsidR="002E4532" w:rsidRDefault="002E4532">
            <w:pPr>
              <w:rPr>
                <w:rFonts w:ascii="Calibri" w:hAnsi="Calibri"/>
                <w:szCs w:val="22"/>
              </w:rPr>
            </w:pPr>
          </w:p>
        </w:tc>
        <w:tc>
          <w:tcPr>
            <w:tcW w:w="405" w:type="pct"/>
            <w:gridSpan w:val="2"/>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脱贫攻坚及营商环</w:t>
            </w:r>
            <w:r>
              <w:rPr>
                <w:rFonts w:ascii="宋体" w:hAnsi="宋体" w:cs="宋体" w:hint="eastAsia"/>
                <w:color w:val="000000"/>
                <w:kern w:val="0"/>
                <w:sz w:val="20"/>
                <w:szCs w:val="20"/>
              </w:rPr>
              <w:lastRenderedPageBreak/>
              <w:t>境（结案情况）</w:t>
            </w:r>
          </w:p>
        </w:tc>
        <w:tc>
          <w:tcPr>
            <w:tcW w:w="547" w:type="pct"/>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28817</w:t>
            </w:r>
          </w:p>
        </w:tc>
        <w:tc>
          <w:tcPr>
            <w:tcW w:w="547" w:type="pct"/>
            <w:gridSpan w:val="4"/>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29714</w:t>
            </w:r>
          </w:p>
        </w:tc>
        <w:tc>
          <w:tcPr>
            <w:tcW w:w="199" w:type="pct"/>
            <w:gridSpan w:val="3"/>
            <w:tcBorders>
              <w:top w:val="single" w:sz="4" w:space="0" w:color="auto"/>
              <w:left w:val="nil"/>
              <w:bottom w:val="single" w:sz="4" w:space="0" w:color="auto"/>
              <w:right w:val="single" w:sz="4" w:space="0" w:color="auto"/>
            </w:tcBorders>
            <w:shd w:val="clear" w:color="auto" w:fill="auto"/>
          </w:tcPr>
          <w:p w:rsidR="002E4532" w:rsidRDefault="002E4532">
            <w:pPr>
              <w:widowControl/>
              <w:jc w:val="center"/>
              <w:rPr>
                <w:rFonts w:ascii="宋体" w:hAnsi="宋体" w:cs="宋体"/>
                <w:color w:val="000000"/>
                <w:kern w:val="0"/>
                <w:sz w:val="20"/>
                <w:szCs w:val="20"/>
              </w:rPr>
            </w:pPr>
          </w:p>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3.5</w:t>
            </w:r>
          </w:p>
        </w:tc>
        <w:tc>
          <w:tcPr>
            <w:tcW w:w="239" w:type="pct"/>
            <w:gridSpan w:val="2"/>
            <w:tcBorders>
              <w:top w:val="single" w:sz="4" w:space="0" w:color="auto"/>
              <w:left w:val="single" w:sz="4" w:space="0" w:color="auto"/>
              <w:bottom w:val="single" w:sz="4" w:space="0" w:color="auto"/>
              <w:right w:val="nil"/>
            </w:tcBorders>
            <w:shd w:val="clear" w:color="auto" w:fill="auto"/>
            <w:noWrap/>
          </w:tcPr>
          <w:p w:rsidR="002E4532" w:rsidRDefault="002E4532">
            <w:pPr>
              <w:widowControl/>
              <w:jc w:val="center"/>
              <w:rPr>
                <w:rFonts w:ascii="宋体" w:hAnsi="宋体" w:cs="宋体"/>
                <w:color w:val="000000"/>
                <w:kern w:val="0"/>
                <w:sz w:val="20"/>
                <w:szCs w:val="20"/>
              </w:rPr>
            </w:pPr>
          </w:p>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3.5</w:t>
            </w:r>
          </w:p>
        </w:tc>
        <w:tc>
          <w:tcPr>
            <w:tcW w:w="1301" w:type="pct"/>
            <w:gridSpan w:val="3"/>
            <w:vMerge/>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1284" w:type="pct"/>
            <w:vMerge/>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r>
      <w:tr w:rsidR="002E4532" w:rsidTr="0088732E">
        <w:trPr>
          <w:trHeight w:val="675"/>
        </w:trPr>
        <w:tc>
          <w:tcPr>
            <w:tcW w:w="235" w:type="pct"/>
            <w:vMerge/>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243" w:type="pct"/>
            <w:gridSpan w:val="3"/>
            <w:vMerge/>
            <w:tcBorders>
              <w:top w:val="single" w:sz="4" w:space="0" w:color="auto"/>
              <w:left w:val="nil"/>
              <w:bottom w:val="nil"/>
              <w:right w:val="single" w:sz="4" w:space="0" w:color="auto"/>
            </w:tcBorders>
            <w:shd w:val="clear" w:color="auto" w:fill="auto"/>
            <w:vAlign w:val="center"/>
          </w:tcPr>
          <w:p w:rsidR="002E4532" w:rsidRDefault="002E4532">
            <w:pPr>
              <w:rPr>
                <w:rFonts w:ascii="Calibri" w:hAnsi="Calibri"/>
                <w:szCs w:val="22"/>
              </w:rPr>
            </w:pPr>
          </w:p>
        </w:tc>
        <w:tc>
          <w:tcPr>
            <w:tcW w:w="405" w:type="pct"/>
            <w:gridSpan w:val="2"/>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首都治安（结案情况）</w:t>
            </w:r>
          </w:p>
        </w:tc>
        <w:tc>
          <w:tcPr>
            <w:tcW w:w="547" w:type="pct"/>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3358</w:t>
            </w:r>
          </w:p>
        </w:tc>
        <w:tc>
          <w:tcPr>
            <w:tcW w:w="547" w:type="pct"/>
            <w:gridSpan w:val="4"/>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3203</w:t>
            </w:r>
          </w:p>
        </w:tc>
        <w:tc>
          <w:tcPr>
            <w:tcW w:w="199" w:type="pct"/>
            <w:gridSpan w:val="3"/>
            <w:tcBorders>
              <w:top w:val="single" w:sz="4" w:space="0" w:color="auto"/>
              <w:left w:val="nil"/>
              <w:bottom w:val="single" w:sz="4" w:space="0" w:color="auto"/>
              <w:right w:val="single" w:sz="4" w:space="0" w:color="auto"/>
            </w:tcBorders>
            <w:shd w:val="clear" w:color="auto" w:fill="auto"/>
          </w:tcPr>
          <w:p w:rsidR="002E4532" w:rsidRDefault="002E4532">
            <w:pPr>
              <w:widowControl/>
              <w:jc w:val="center"/>
              <w:rPr>
                <w:rFonts w:ascii="宋体" w:hAnsi="宋体" w:cs="宋体"/>
                <w:color w:val="000000"/>
                <w:kern w:val="0"/>
                <w:sz w:val="20"/>
                <w:szCs w:val="20"/>
              </w:rPr>
            </w:pPr>
          </w:p>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3.5</w:t>
            </w:r>
          </w:p>
        </w:tc>
        <w:tc>
          <w:tcPr>
            <w:tcW w:w="239" w:type="pct"/>
            <w:gridSpan w:val="2"/>
            <w:tcBorders>
              <w:top w:val="single" w:sz="4" w:space="0" w:color="auto"/>
              <w:left w:val="single" w:sz="4" w:space="0" w:color="auto"/>
              <w:bottom w:val="single" w:sz="4" w:space="0" w:color="auto"/>
              <w:right w:val="nil"/>
            </w:tcBorders>
            <w:shd w:val="clear" w:color="auto" w:fill="auto"/>
            <w:noWrap/>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3.34　</w:t>
            </w:r>
          </w:p>
        </w:tc>
        <w:tc>
          <w:tcPr>
            <w:tcW w:w="1301" w:type="pct"/>
            <w:gridSpan w:val="3"/>
            <w:vMerge/>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1284" w:type="pct"/>
            <w:vMerge/>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r>
      <w:tr w:rsidR="002E4532" w:rsidTr="0088732E">
        <w:trPr>
          <w:trHeight w:val="675"/>
        </w:trPr>
        <w:tc>
          <w:tcPr>
            <w:tcW w:w="235" w:type="pct"/>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243" w:type="pct"/>
            <w:gridSpan w:val="3"/>
            <w:tcBorders>
              <w:top w:val="nil"/>
              <w:left w:val="nil"/>
              <w:bottom w:val="nil"/>
              <w:right w:val="single" w:sz="4" w:space="0" w:color="auto"/>
            </w:tcBorders>
            <w:shd w:val="clear" w:color="auto" w:fill="auto"/>
            <w:vAlign w:val="center"/>
          </w:tcPr>
          <w:p w:rsidR="002E4532" w:rsidRDefault="002E4532">
            <w:pPr>
              <w:rPr>
                <w:rFonts w:ascii="Calibri" w:hAnsi="Calibri"/>
                <w:szCs w:val="22"/>
              </w:rPr>
            </w:pPr>
          </w:p>
        </w:tc>
        <w:tc>
          <w:tcPr>
            <w:tcW w:w="405" w:type="pct"/>
            <w:gridSpan w:val="2"/>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解决执行难（执结案件数）</w:t>
            </w:r>
          </w:p>
        </w:tc>
        <w:tc>
          <w:tcPr>
            <w:tcW w:w="547" w:type="pct"/>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32353</w:t>
            </w:r>
          </w:p>
        </w:tc>
        <w:tc>
          <w:tcPr>
            <w:tcW w:w="547" w:type="pct"/>
            <w:gridSpan w:val="4"/>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31728</w:t>
            </w:r>
          </w:p>
        </w:tc>
        <w:tc>
          <w:tcPr>
            <w:tcW w:w="199" w:type="pct"/>
            <w:gridSpan w:val="3"/>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20"/>
                <w:szCs w:val="20"/>
              </w:rPr>
            </w:pPr>
            <w:r>
              <w:rPr>
                <w:rFonts w:ascii="宋体" w:hAnsi="宋体" w:cs="宋体" w:hint="eastAsia"/>
                <w:color w:val="000000"/>
                <w:kern w:val="0"/>
                <w:sz w:val="20"/>
                <w:szCs w:val="20"/>
              </w:rPr>
              <w:t>3.5</w:t>
            </w:r>
          </w:p>
        </w:tc>
        <w:tc>
          <w:tcPr>
            <w:tcW w:w="239" w:type="pct"/>
            <w:gridSpan w:val="2"/>
            <w:tcBorders>
              <w:top w:val="nil"/>
              <w:left w:val="nil"/>
              <w:bottom w:val="single" w:sz="4" w:space="0" w:color="auto"/>
              <w:right w:val="nil"/>
            </w:tcBorders>
            <w:shd w:val="clear" w:color="auto" w:fill="auto"/>
            <w:noWrap/>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3.43</w:t>
            </w:r>
          </w:p>
        </w:tc>
        <w:tc>
          <w:tcPr>
            <w:tcW w:w="1301" w:type="pct"/>
            <w:gridSpan w:val="3"/>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1284" w:type="pct"/>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r>
      <w:tr w:rsidR="002E4532" w:rsidTr="0088732E">
        <w:trPr>
          <w:trHeight w:val="675"/>
        </w:trPr>
        <w:tc>
          <w:tcPr>
            <w:tcW w:w="235" w:type="pct"/>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243" w:type="pct"/>
            <w:gridSpan w:val="3"/>
            <w:tcBorders>
              <w:top w:val="nil"/>
              <w:left w:val="nil"/>
              <w:bottom w:val="nil"/>
              <w:right w:val="single" w:sz="4" w:space="0" w:color="auto"/>
            </w:tcBorders>
            <w:shd w:val="clear" w:color="auto" w:fill="auto"/>
            <w:vAlign w:val="center"/>
          </w:tcPr>
          <w:p w:rsidR="002E4532" w:rsidRDefault="002E4532">
            <w:pPr>
              <w:rPr>
                <w:rFonts w:ascii="Calibri" w:hAnsi="Calibri"/>
                <w:szCs w:val="22"/>
              </w:rPr>
            </w:pPr>
          </w:p>
        </w:tc>
        <w:tc>
          <w:tcPr>
            <w:tcW w:w="405" w:type="pct"/>
            <w:gridSpan w:val="2"/>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司法为民、公正司法情况（文字）</w:t>
            </w:r>
          </w:p>
        </w:tc>
        <w:tc>
          <w:tcPr>
            <w:tcW w:w="547" w:type="pct"/>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发挥保障和改善民生职能作用，提升司法服务质效，大力推进解决执行难，加大普法力度</w:t>
            </w:r>
          </w:p>
        </w:tc>
        <w:tc>
          <w:tcPr>
            <w:tcW w:w="547" w:type="pct"/>
            <w:gridSpan w:val="4"/>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大力发挥保障和改善民生职能作用，大力提升司法服务质效，大力推进切实解决执行难，大力推动普法常态化建设。</w:t>
            </w:r>
          </w:p>
        </w:tc>
        <w:tc>
          <w:tcPr>
            <w:tcW w:w="199" w:type="pct"/>
            <w:gridSpan w:val="3"/>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20"/>
                <w:szCs w:val="20"/>
              </w:rPr>
            </w:pPr>
            <w:r>
              <w:rPr>
                <w:rFonts w:ascii="宋体" w:hAnsi="宋体" w:cs="宋体" w:hint="eastAsia"/>
                <w:color w:val="000000"/>
                <w:kern w:val="0"/>
                <w:sz w:val="20"/>
                <w:szCs w:val="20"/>
              </w:rPr>
              <w:t>3.5</w:t>
            </w:r>
          </w:p>
        </w:tc>
        <w:tc>
          <w:tcPr>
            <w:tcW w:w="239" w:type="pct"/>
            <w:gridSpan w:val="2"/>
            <w:tcBorders>
              <w:top w:val="nil"/>
              <w:left w:val="nil"/>
              <w:bottom w:val="single" w:sz="4" w:space="0" w:color="auto"/>
              <w:right w:val="nil"/>
            </w:tcBorders>
            <w:shd w:val="clear" w:color="auto" w:fill="auto"/>
            <w:noWrap/>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3.5</w:t>
            </w:r>
          </w:p>
        </w:tc>
        <w:tc>
          <w:tcPr>
            <w:tcW w:w="1301" w:type="pct"/>
            <w:gridSpan w:val="3"/>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1284" w:type="pct"/>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r>
      <w:tr w:rsidR="002E4532" w:rsidTr="0088732E">
        <w:trPr>
          <w:trHeight w:val="675"/>
        </w:trPr>
        <w:tc>
          <w:tcPr>
            <w:tcW w:w="235" w:type="pct"/>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243" w:type="pct"/>
            <w:gridSpan w:val="3"/>
            <w:tcBorders>
              <w:top w:val="nil"/>
              <w:left w:val="nil"/>
              <w:bottom w:val="nil"/>
              <w:right w:val="single" w:sz="4" w:space="0" w:color="auto"/>
            </w:tcBorders>
            <w:shd w:val="clear" w:color="auto" w:fill="auto"/>
            <w:vAlign w:val="center"/>
          </w:tcPr>
          <w:p w:rsidR="002E4532" w:rsidRDefault="002E4532">
            <w:pPr>
              <w:rPr>
                <w:rFonts w:ascii="Calibri" w:hAnsi="Calibri"/>
                <w:szCs w:val="22"/>
              </w:rPr>
            </w:pPr>
          </w:p>
        </w:tc>
        <w:tc>
          <w:tcPr>
            <w:tcW w:w="405" w:type="pct"/>
            <w:gridSpan w:val="2"/>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同级人民代表大会通过、赞成率</w:t>
            </w:r>
          </w:p>
        </w:tc>
        <w:tc>
          <w:tcPr>
            <w:tcW w:w="547" w:type="pct"/>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97.04%</w:t>
            </w:r>
          </w:p>
        </w:tc>
        <w:tc>
          <w:tcPr>
            <w:tcW w:w="547" w:type="pct"/>
            <w:gridSpan w:val="4"/>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99.07%</w:t>
            </w:r>
          </w:p>
        </w:tc>
        <w:tc>
          <w:tcPr>
            <w:tcW w:w="199" w:type="pct"/>
            <w:gridSpan w:val="3"/>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239" w:type="pct"/>
            <w:gridSpan w:val="2"/>
            <w:tcBorders>
              <w:top w:val="nil"/>
              <w:left w:val="nil"/>
              <w:bottom w:val="single" w:sz="4" w:space="0" w:color="auto"/>
              <w:right w:val="nil"/>
            </w:tcBorders>
            <w:shd w:val="clear" w:color="auto" w:fill="auto"/>
            <w:noWrap/>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301" w:type="pct"/>
            <w:gridSpan w:val="3"/>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1284" w:type="pct"/>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r>
      <w:tr w:rsidR="002E4532" w:rsidTr="0088732E">
        <w:trPr>
          <w:trHeight w:val="675"/>
        </w:trPr>
        <w:tc>
          <w:tcPr>
            <w:tcW w:w="235" w:type="pct"/>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243" w:type="pct"/>
            <w:gridSpan w:val="3"/>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405" w:type="pct"/>
            <w:gridSpan w:val="2"/>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群众满意度（文字）</w:t>
            </w:r>
          </w:p>
        </w:tc>
        <w:tc>
          <w:tcPr>
            <w:tcW w:w="547" w:type="pct"/>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基本满意</w:t>
            </w:r>
          </w:p>
        </w:tc>
        <w:tc>
          <w:tcPr>
            <w:tcW w:w="547" w:type="pct"/>
            <w:gridSpan w:val="4"/>
            <w:tcBorders>
              <w:top w:val="nil"/>
              <w:left w:val="nil"/>
              <w:bottom w:val="single" w:sz="4" w:space="0" w:color="auto"/>
              <w:right w:val="single" w:sz="4" w:space="0" w:color="auto"/>
            </w:tcBorders>
            <w:shd w:val="clear" w:color="auto" w:fill="auto"/>
            <w:vAlign w:val="center"/>
          </w:tcPr>
          <w:p w:rsidR="002E4532" w:rsidRDefault="00C66CED">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基本满意</w:t>
            </w:r>
          </w:p>
        </w:tc>
        <w:tc>
          <w:tcPr>
            <w:tcW w:w="199" w:type="pct"/>
            <w:gridSpan w:val="3"/>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239" w:type="pct"/>
            <w:gridSpan w:val="2"/>
            <w:tcBorders>
              <w:top w:val="nil"/>
              <w:left w:val="nil"/>
              <w:bottom w:val="single" w:sz="4" w:space="0" w:color="auto"/>
              <w:right w:val="nil"/>
            </w:tcBorders>
            <w:shd w:val="clear" w:color="auto" w:fill="auto"/>
            <w:noWrap/>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1301" w:type="pct"/>
            <w:gridSpan w:val="3"/>
            <w:tcBorders>
              <w:top w:val="nil"/>
              <w:left w:val="single" w:sz="4" w:space="0" w:color="auto"/>
              <w:bottom w:val="single" w:sz="4" w:space="0" w:color="auto"/>
              <w:right w:val="single" w:sz="4" w:space="0" w:color="auto"/>
            </w:tcBorders>
            <w:shd w:val="clear" w:color="auto" w:fill="auto"/>
            <w:vAlign w:val="center"/>
          </w:tcPr>
          <w:p w:rsidR="002E4532" w:rsidRDefault="002E4532">
            <w:pPr>
              <w:widowControl/>
              <w:jc w:val="left"/>
              <w:rPr>
                <w:rFonts w:ascii="宋体" w:hAnsi="宋体" w:cs="宋体"/>
                <w:color w:val="000000"/>
                <w:kern w:val="0"/>
                <w:sz w:val="18"/>
                <w:szCs w:val="18"/>
              </w:rPr>
            </w:pPr>
          </w:p>
        </w:tc>
        <w:tc>
          <w:tcPr>
            <w:tcW w:w="1284" w:type="pct"/>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r>
      <w:tr w:rsidR="002E4532">
        <w:trPr>
          <w:trHeight w:val="699"/>
        </w:trPr>
        <w:tc>
          <w:tcPr>
            <w:tcW w:w="245" w:type="pct"/>
            <w:gridSpan w:val="2"/>
            <w:tcBorders>
              <w:top w:val="single" w:sz="4" w:space="0" w:color="auto"/>
              <w:left w:val="single" w:sz="4" w:space="0" w:color="auto"/>
              <w:bottom w:val="single" w:sz="4" w:space="0" w:color="auto"/>
              <w:right w:val="single" w:sz="4" w:space="0" w:color="auto"/>
            </w:tcBorders>
            <w:shd w:val="clear" w:color="auto" w:fill="auto"/>
          </w:tcPr>
          <w:p w:rsidR="002E4532" w:rsidRDefault="002E4532">
            <w:pPr>
              <w:widowControl/>
              <w:jc w:val="left"/>
              <w:rPr>
                <w:rFonts w:ascii="宋体" w:hAnsi="宋体" w:cs="宋体"/>
                <w:color w:val="000000"/>
                <w:kern w:val="0"/>
                <w:sz w:val="18"/>
                <w:szCs w:val="18"/>
              </w:rPr>
            </w:pPr>
          </w:p>
        </w:tc>
        <w:tc>
          <w:tcPr>
            <w:tcW w:w="4755" w:type="pct"/>
            <w:gridSpan w:val="18"/>
            <w:tcBorders>
              <w:top w:val="single" w:sz="4" w:space="0" w:color="auto"/>
              <w:left w:val="single" w:sz="4" w:space="0" w:color="auto"/>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hint="eastAsia"/>
                <w:color w:val="000000"/>
                <w:kern w:val="0"/>
                <w:sz w:val="20"/>
                <w:szCs w:val="20"/>
              </w:rPr>
              <w:t>预算管理情况（20分）</w:t>
            </w:r>
          </w:p>
        </w:tc>
      </w:tr>
      <w:tr w:rsidR="002E4532">
        <w:trPr>
          <w:trHeight w:val="702"/>
        </w:trPr>
        <w:tc>
          <w:tcPr>
            <w:tcW w:w="2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287" w:type="pct"/>
            <w:gridSpan w:val="2"/>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310" w:type="pct"/>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684" w:type="pct"/>
            <w:gridSpan w:val="2"/>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308" w:type="pct"/>
            <w:gridSpan w:val="2"/>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248" w:type="pct"/>
            <w:gridSpan w:val="3"/>
            <w:tcBorders>
              <w:top w:val="single" w:sz="4" w:space="0" w:color="auto"/>
              <w:left w:val="nil"/>
              <w:bottom w:val="single" w:sz="4" w:space="0" w:color="auto"/>
              <w:right w:val="single" w:sz="4" w:space="0" w:color="auto"/>
            </w:tcBorders>
            <w:shd w:val="clear" w:color="auto" w:fill="auto"/>
            <w:noWrap/>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92" w:type="pct"/>
            <w:gridSpan w:val="3"/>
            <w:tcBorders>
              <w:top w:val="single" w:sz="4" w:space="0" w:color="auto"/>
              <w:left w:val="nil"/>
              <w:bottom w:val="single" w:sz="4" w:space="0" w:color="auto"/>
              <w:right w:val="nil"/>
            </w:tcBorders>
            <w:shd w:val="clear" w:color="auto" w:fill="auto"/>
            <w:noWrap/>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121" w:type="pct"/>
            <w:tcBorders>
              <w:top w:val="single" w:sz="4" w:space="0" w:color="auto"/>
              <w:left w:val="single" w:sz="4" w:space="0" w:color="auto"/>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指标解释</w:t>
            </w:r>
          </w:p>
        </w:tc>
        <w:tc>
          <w:tcPr>
            <w:tcW w:w="1464" w:type="pct"/>
            <w:gridSpan w:val="3"/>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18"/>
                <w:szCs w:val="18"/>
              </w:rPr>
            </w:pPr>
            <w:r>
              <w:rPr>
                <w:rFonts w:ascii="宋体" w:hAnsi="宋体" w:cs="宋体" w:hint="eastAsia"/>
                <w:color w:val="000000"/>
                <w:kern w:val="0"/>
                <w:sz w:val="18"/>
                <w:szCs w:val="18"/>
              </w:rPr>
              <w:t>评分标准</w:t>
            </w:r>
          </w:p>
        </w:tc>
      </w:tr>
      <w:tr w:rsidR="002E4532">
        <w:trPr>
          <w:trHeight w:val="1230"/>
        </w:trPr>
        <w:tc>
          <w:tcPr>
            <w:tcW w:w="286" w:type="pct"/>
            <w:gridSpan w:val="3"/>
            <w:vMerge w:val="restart"/>
            <w:tcBorders>
              <w:top w:val="nil"/>
              <w:left w:val="single" w:sz="4" w:space="0" w:color="auto"/>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sidRPr="005326F2">
              <w:rPr>
                <w:rFonts w:ascii="宋体" w:hAnsi="宋体" w:cs="宋体" w:hint="eastAsia"/>
                <w:color w:val="000000"/>
                <w:kern w:val="0"/>
                <w:sz w:val="20"/>
                <w:szCs w:val="20"/>
              </w:rPr>
              <w:lastRenderedPageBreak/>
              <w:t>预算管理情况（20）</w:t>
            </w:r>
          </w:p>
        </w:tc>
        <w:tc>
          <w:tcPr>
            <w:tcW w:w="287" w:type="pct"/>
            <w:gridSpan w:val="2"/>
            <w:vMerge w:val="restart"/>
            <w:tcBorders>
              <w:top w:val="nil"/>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财务管理（4）</w:t>
            </w:r>
          </w:p>
        </w:tc>
        <w:tc>
          <w:tcPr>
            <w:tcW w:w="310" w:type="pct"/>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684" w:type="pct"/>
            <w:gridSpan w:val="2"/>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18"/>
                <w:szCs w:val="18"/>
              </w:rPr>
              <w:t>预算资金管理办法、绩效跟踪管理办法、资产管理办法等各项制度健全；</w:t>
            </w:r>
            <w:r>
              <w:rPr>
                <w:rFonts w:ascii="宋体" w:hAnsi="宋体" w:cs="宋体" w:hint="eastAsia"/>
                <w:color w:val="000000"/>
                <w:kern w:val="0"/>
                <w:sz w:val="20"/>
                <w:szCs w:val="20"/>
              </w:rPr>
              <w:t xml:space="preserve">　</w:t>
            </w:r>
            <w:r>
              <w:rPr>
                <w:rFonts w:ascii="宋体" w:hAnsi="宋体" w:cs="宋体" w:hint="eastAsia"/>
                <w:color w:val="000000"/>
                <w:kern w:val="0"/>
                <w:sz w:val="18"/>
                <w:szCs w:val="18"/>
              </w:rPr>
              <w:t>部门内部财务管理制度完整、合规；会计核算制度完整、合规</w:t>
            </w:r>
          </w:p>
        </w:tc>
        <w:tc>
          <w:tcPr>
            <w:tcW w:w="308" w:type="pct"/>
            <w:gridSpan w:val="2"/>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制度健全　</w:t>
            </w:r>
          </w:p>
        </w:tc>
        <w:tc>
          <w:tcPr>
            <w:tcW w:w="248" w:type="pct"/>
            <w:gridSpan w:val="3"/>
            <w:tcBorders>
              <w:top w:val="single" w:sz="4" w:space="0" w:color="auto"/>
              <w:left w:val="nil"/>
              <w:bottom w:val="single" w:sz="4" w:space="0" w:color="auto"/>
              <w:right w:val="single" w:sz="4" w:space="0" w:color="auto"/>
            </w:tcBorders>
            <w:shd w:val="clear" w:color="auto" w:fill="auto"/>
            <w:noWrap/>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92" w:type="pct"/>
            <w:gridSpan w:val="3"/>
            <w:tcBorders>
              <w:top w:val="single" w:sz="4" w:space="0" w:color="auto"/>
              <w:left w:val="nil"/>
              <w:bottom w:val="single" w:sz="4" w:space="0" w:color="auto"/>
              <w:right w:val="nil"/>
            </w:tcBorders>
            <w:shd w:val="clear" w:color="auto" w:fill="auto"/>
            <w:noWrap/>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0.5　</w:t>
            </w:r>
          </w:p>
        </w:tc>
        <w:tc>
          <w:tcPr>
            <w:tcW w:w="1121" w:type="pct"/>
            <w:tcBorders>
              <w:top w:val="single" w:sz="4" w:space="0" w:color="auto"/>
              <w:left w:val="single" w:sz="4" w:space="0" w:color="auto"/>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color w:val="000000"/>
                <w:kern w:val="0"/>
                <w:sz w:val="18"/>
                <w:szCs w:val="18"/>
              </w:rPr>
              <w:t>部门（单位）为加强财务管理、规范财务行为而制定的管理制度。</w:t>
            </w:r>
          </w:p>
        </w:tc>
        <w:tc>
          <w:tcPr>
            <w:tcW w:w="1464" w:type="pct"/>
            <w:gridSpan w:val="3"/>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rsidR="002E4532">
        <w:trPr>
          <w:trHeight w:val="2220"/>
        </w:trPr>
        <w:tc>
          <w:tcPr>
            <w:tcW w:w="286" w:type="pct"/>
            <w:gridSpan w:val="3"/>
            <w:vMerge/>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287" w:type="pct"/>
            <w:gridSpan w:val="2"/>
            <w:vMerge/>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310" w:type="pct"/>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资金使用合规性和安全性</w:t>
            </w:r>
          </w:p>
        </w:tc>
        <w:tc>
          <w:tcPr>
            <w:tcW w:w="684" w:type="pct"/>
            <w:gridSpan w:val="2"/>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18"/>
                <w:szCs w:val="18"/>
              </w:rPr>
              <w:t>符合国家财经法规和财务管理制度规定以及有关专项资金管理办法的规定；资金的拨付有完整的审批程序和手续；项目的重大开支经过评估论证；符合部门预算批复的用途；无截留、挤占、挪用情况；资金使用符合政府采购的程序和流程；资金使用符合公务卡结算相关制度和规定。</w:t>
            </w:r>
            <w:r>
              <w:rPr>
                <w:rFonts w:ascii="宋体" w:hAnsi="宋体" w:cs="宋体" w:hint="eastAsia"/>
                <w:color w:val="000000"/>
                <w:kern w:val="0"/>
                <w:sz w:val="20"/>
                <w:szCs w:val="20"/>
              </w:rPr>
              <w:t xml:space="preserve">　</w:t>
            </w:r>
          </w:p>
        </w:tc>
        <w:tc>
          <w:tcPr>
            <w:tcW w:w="308" w:type="pct"/>
            <w:gridSpan w:val="2"/>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符合规定　</w:t>
            </w:r>
          </w:p>
        </w:tc>
        <w:tc>
          <w:tcPr>
            <w:tcW w:w="248" w:type="pct"/>
            <w:gridSpan w:val="3"/>
            <w:tcBorders>
              <w:top w:val="single" w:sz="4" w:space="0" w:color="auto"/>
              <w:left w:val="nil"/>
              <w:bottom w:val="single" w:sz="4" w:space="0" w:color="auto"/>
              <w:right w:val="single" w:sz="4" w:space="0" w:color="auto"/>
            </w:tcBorders>
            <w:shd w:val="clear" w:color="auto" w:fill="auto"/>
            <w:noWrap/>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92" w:type="pct"/>
            <w:gridSpan w:val="3"/>
            <w:tcBorders>
              <w:top w:val="single" w:sz="4" w:space="0" w:color="auto"/>
              <w:left w:val="nil"/>
              <w:bottom w:val="single" w:sz="4" w:space="0" w:color="auto"/>
              <w:right w:val="nil"/>
            </w:tcBorders>
            <w:shd w:val="clear" w:color="auto" w:fill="auto"/>
            <w:noWrap/>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2</w:t>
            </w:r>
          </w:p>
        </w:tc>
        <w:tc>
          <w:tcPr>
            <w:tcW w:w="1121" w:type="pct"/>
            <w:tcBorders>
              <w:top w:val="single" w:sz="4" w:space="0" w:color="auto"/>
              <w:left w:val="single" w:sz="4" w:space="0" w:color="auto"/>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资金使用合规性和安全性:</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464" w:type="pct"/>
            <w:gridSpan w:val="3"/>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rsidR="002E4532">
        <w:trPr>
          <w:trHeight w:val="1035"/>
        </w:trPr>
        <w:tc>
          <w:tcPr>
            <w:tcW w:w="286" w:type="pct"/>
            <w:gridSpan w:val="3"/>
            <w:vMerge/>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287" w:type="pct"/>
            <w:gridSpan w:val="2"/>
            <w:vMerge/>
            <w:tcBorders>
              <w:top w:val="nil"/>
              <w:left w:val="nil"/>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310" w:type="pct"/>
            <w:tcBorders>
              <w:top w:val="nil"/>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684" w:type="pct"/>
            <w:gridSpan w:val="2"/>
            <w:tcBorders>
              <w:top w:val="nil"/>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18"/>
                <w:szCs w:val="18"/>
              </w:rPr>
              <w:t>基础数据信息和会计信息资料真实；基础数据信息和会计信息资料完整；基础数据信息和会计信息资料</w:t>
            </w:r>
            <w:r>
              <w:rPr>
                <w:rFonts w:ascii="宋体" w:hAnsi="宋体" w:cs="宋体" w:hint="eastAsia"/>
                <w:color w:val="000000"/>
                <w:kern w:val="0"/>
                <w:sz w:val="18"/>
                <w:szCs w:val="18"/>
              </w:rPr>
              <w:lastRenderedPageBreak/>
              <w:t>准确</w:t>
            </w:r>
            <w:r>
              <w:rPr>
                <w:rFonts w:ascii="宋体" w:hAnsi="宋体" w:cs="宋体" w:hint="eastAsia"/>
                <w:color w:val="000000"/>
                <w:kern w:val="0"/>
                <w:sz w:val="20"/>
                <w:szCs w:val="20"/>
              </w:rPr>
              <w:t xml:space="preserve">　</w:t>
            </w:r>
          </w:p>
        </w:tc>
        <w:tc>
          <w:tcPr>
            <w:tcW w:w="308" w:type="pct"/>
            <w:gridSpan w:val="2"/>
            <w:tcBorders>
              <w:top w:val="nil"/>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资料真实完整准确　</w:t>
            </w:r>
          </w:p>
        </w:tc>
        <w:tc>
          <w:tcPr>
            <w:tcW w:w="248" w:type="pct"/>
            <w:gridSpan w:val="3"/>
            <w:tcBorders>
              <w:top w:val="nil"/>
              <w:left w:val="nil"/>
              <w:bottom w:val="single" w:sz="4" w:space="0" w:color="auto"/>
              <w:right w:val="single" w:sz="4" w:space="0" w:color="auto"/>
            </w:tcBorders>
            <w:shd w:val="clear" w:color="auto" w:fill="auto"/>
            <w:noWrap/>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92" w:type="pct"/>
            <w:gridSpan w:val="3"/>
            <w:tcBorders>
              <w:top w:val="nil"/>
              <w:left w:val="nil"/>
              <w:bottom w:val="single" w:sz="4" w:space="0" w:color="auto"/>
              <w:right w:val="nil"/>
            </w:tcBorders>
            <w:shd w:val="clear" w:color="auto" w:fill="auto"/>
            <w:noWrap/>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1</w:t>
            </w:r>
          </w:p>
        </w:tc>
        <w:tc>
          <w:tcPr>
            <w:tcW w:w="1121" w:type="pct"/>
            <w:tcBorders>
              <w:top w:val="nil"/>
              <w:left w:val="single" w:sz="4" w:space="0" w:color="auto"/>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color w:val="000000"/>
                <w:kern w:val="0"/>
                <w:sz w:val="18"/>
                <w:szCs w:val="18"/>
              </w:rPr>
              <w:t>部门（单位）会计基础信息情况。</w:t>
            </w:r>
          </w:p>
        </w:tc>
        <w:tc>
          <w:tcPr>
            <w:tcW w:w="1464" w:type="pct"/>
            <w:gridSpan w:val="3"/>
            <w:tcBorders>
              <w:top w:val="nil"/>
              <w:left w:val="nil"/>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rsidR="002E4532">
        <w:trPr>
          <w:trHeight w:val="2220"/>
        </w:trPr>
        <w:tc>
          <w:tcPr>
            <w:tcW w:w="286" w:type="pct"/>
            <w:gridSpan w:val="3"/>
            <w:vMerge/>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287" w:type="pct"/>
            <w:gridSpan w:val="2"/>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资产管理（4）</w:t>
            </w:r>
          </w:p>
        </w:tc>
        <w:tc>
          <w:tcPr>
            <w:tcW w:w="310" w:type="pct"/>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684" w:type="pct"/>
            <w:gridSpan w:val="2"/>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20"/>
                <w:szCs w:val="20"/>
              </w:rPr>
            </w:pPr>
            <w:r>
              <w:rPr>
                <w:rFonts w:ascii="宋体" w:hAnsi="宋体" w:cs="宋体" w:hint="eastAsia"/>
                <w:color w:val="000000"/>
                <w:kern w:val="0"/>
                <w:sz w:val="18"/>
                <w:szCs w:val="18"/>
              </w:rPr>
              <w:t>资产使用规范，不存在未经批准擅自出租、出借资产行为；资产处置规范，不存在未按要求进行报批或资产不公开处置行为；</w:t>
            </w:r>
            <w:r>
              <w:rPr>
                <w:rFonts w:ascii="宋体" w:hAnsi="宋体" w:cs="宋体" w:hint="eastAsia"/>
                <w:color w:val="000000"/>
                <w:kern w:val="0"/>
                <w:sz w:val="20"/>
                <w:szCs w:val="20"/>
              </w:rPr>
              <w:t>不</w:t>
            </w:r>
            <w:r>
              <w:rPr>
                <w:rFonts w:ascii="宋体" w:hAnsi="宋体" w:cs="宋体" w:hint="eastAsia"/>
                <w:color w:val="000000"/>
                <w:kern w:val="0"/>
                <w:sz w:val="18"/>
                <w:szCs w:val="18"/>
              </w:rPr>
              <w:t>存在因管理不当发生严重资产损失和丢失情况</w:t>
            </w:r>
          </w:p>
        </w:tc>
        <w:tc>
          <w:tcPr>
            <w:tcW w:w="308" w:type="pct"/>
            <w:gridSpan w:val="2"/>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18"/>
                <w:szCs w:val="18"/>
              </w:rPr>
              <w:t>资产使用规范资产处置规范</w:t>
            </w:r>
          </w:p>
        </w:tc>
        <w:tc>
          <w:tcPr>
            <w:tcW w:w="248" w:type="pct"/>
            <w:gridSpan w:val="3"/>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92" w:type="pct"/>
            <w:gridSpan w:val="3"/>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　</w:t>
            </w:r>
          </w:p>
        </w:tc>
        <w:tc>
          <w:tcPr>
            <w:tcW w:w="1121" w:type="pct"/>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464" w:type="pct"/>
            <w:gridSpan w:val="3"/>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rsidR="002E4532">
        <w:trPr>
          <w:trHeight w:val="1750"/>
        </w:trPr>
        <w:tc>
          <w:tcPr>
            <w:tcW w:w="286" w:type="pct"/>
            <w:gridSpan w:val="3"/>
            <w:vMerge/>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287" w:type="pct"/>
            <w:gridSpan w:val="2"/>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绩效管理（4）</w:t>
            </w:r>
          </w:p>
        </w:tc>
        <w:tc>
          <w:tcPr>
            <w:tcW w:w="310" w:type="pct"/>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684" w:type="pct"/>
            <w:gridSpan w:val="2"/>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18"/>
                <w:szCs w:val="18"/>
              </w:rPr>
              <w:t>及时对绩效信息进行汇总分析整理；对绩效目标偏离情况及时进行矫正</w:t>
            </w:r>
          </w:p>
        </w:tc>
        <w:tc>
          <w:tcPr>
            <w:tcW w:w="308" w:type="pct"/>
            <w:gridSpan w:val="2"/>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及时分析整理及时矫正</w:t>
            </w:r>
          </w:p>
        </w:tc>
        <w:tc>
          <w:tcPr>
            <w:tcW w:w="248" w:type="pct"/>
            <w:gridSpan w:val="3"/>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92" w:type="pct"/>
            <w:gridSpan w:val="3"/>
            <w:tcBorders>
              <w:top w:val="single" w:sz="4" w:space="0" w:color="auto"/>
              <w:left w:val="nil"/>
              <w:bottom w:val="single" w:sz="4" w:space="0" w:color="auto"/>
              <w:right w:val="nil"/>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　</w:t>
            </w:r>
          </w:p>
        </w:tc>
        <w:tc>
          <w:tcPr>
            <w:tcW w:w="1121" w:type="pct"/>
            <w:tcBorders>
              <w:top w:val="single" w:sz="4" w:space="0" w:color="auto"/>
              <w:left w:val="single" w:sz="4" w:space="0" w:color="auto"/>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color w:val="000000"/>
                <w:kern w:val="0"/>
                <w:sz w:val="18"/>
                <w:szCs w:val="18"/>
              </w:rPr>
              <w:t>考核部门（单位）在绩效管理信息的汇总和应用情况。</w:t>
            </w:r>
          </w:p>
        </w:tc>
        <w:tc>
          <w:tcPr>
            <w:tcW w:w="1464" w:type="pct"/>
            <w:gridSpan w:val="3"/>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①部门（单位）是否及时对绩效信息进行汇总分析整理；②部门（单位）是否对绩效目标偏离情况及时进行矫正。每有一项不合格扣2分。</w:t>
            </w:r>
          </w:p>
        </w:tc>
      </w:tr>
      <w:tr w:rsidR="002E4532">
        <w:trPr>
          <w:trHeight w:val="394"/>
        </w:trPr>
        <w:tc>
          <w:tcPr>
            <w:tcW w:w="286" w:type="pct"/>
            <w:gridSpan w:val="3"/>
            <w:vMerge/>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287" w:type="pct"/>
            <w:gridSpan w:val="2"/>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994" w:type="pct"/>
            <w:gridSpan w:val="3"/>
            <w:tcBorders>
              <w:top w:val="single" w:sz="4" w:space="0" w:color="auto"/>
              <w:left w:val="nil"/>
              <w:bottom w:val="single" w:sz="4" w:space="0" w:color="auto"/>
              <w:right w:val="single" w:sz="4" w:space="0" w:color="000000"/>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2020年</w:t>
            </w:r>
          </w:p>
        </w:tc>
        <w:tc>
          <w:tcPr>
            <w:tcW w:w="308" w:type="pct"/>
            <w:gridSpan w:val="2"/>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2021年</w:t>
            </w:r>
          </w:p>
        </w:tc>
        <w:tc>
          <w:tcPr>
            <w:tcW w:w="248" w:type="pct"/>
            <w:gridSpan w:val="3"/>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92" w:type="pct"/>
            <w:gridSpan w:val="3"/>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121" w:type="pct"/>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指标解释</w:t>
            </w:r>
          </w:p>
        </w:tc>
        <w:tc>
          <w:tcPr>
            <w:tcW w:w="1464" w:type="pct"/>
            <w:gridSpan w:val="3"/>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center"/>
              <w:rPr>
                <w:kern w:val="0"/>
                <w:sz w:val="20"/>
                <w:szCs w:val="20"/>
              </w:rPr>
            </w:pPr>
            <w:r>
              <w:rPr>
                <w:rFonts w:ascii="宋体" w:hAnsi="宋体" w:cs="宋体" w:hint="eastAsia"/>
                <w:color w:val="000000"/>
                <w:kern w:val="0"/>
                <w:sz w:val="18"/>
                <w:szCs w:val="18"/>
              </w:rPr>
              <w:t>评分标准</w:t>
            </w:r>
          </w:p>
        </w:tc>
      </w:tr>
      <w:tr w:rsidR="002E4532">
        <w:trPr>
          <w:trHeight w:val="1365"/>
        </w:trPr>
        <w:tc>
          <w:tcPr>
            <w:tcW w:w="286" w:type="pct"/>
            <w:gridSpan w:val="3"/>
            <w:vMerge/>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287" w:type="pct"/>
            <w:gridSpan w:val="2"/>
            <w:tcBorders>
              <w:top w:val="nil"/>
              <w:left w:val="nil"/>
              <w:bottom w:val="single" w:sz="4" w:space="0" w:color="auto"/>
              <w:right w:val="single" w:sz="4" w:space="0" w:color="auto"/>
            </w:tcBorders>
            <w:shd w:val="clear" w:color="auto" w:fill="auto"/>
            <w:vAlign w:val="center"/>
          </w:tcPr>
          <w:p w:rsidR="002E4532" w:rsidRDefault="00C66CED">
            <w:pPr>
              <w:widowControl/>
              <w:rPr>
                <w:rFonts w:ascii="宋体" w:hAnsi="宋体" w:cs="宋体"/>
                <w:color w:val="000000"/>
                <w:kern w:val="0"/>
                <w:sz w:val="20"/>
                <w:szCs w:val="20"/>
              </w:rPr>
            </w:pPr>
            <w:r>
              <w:rPr>
                <w:rFonts w:ascii="宋体" w:hAnsi="宋体" w:cs="宋体" w:hint="eastAsia"/>
                <w:color w:val="000000"/>
                <w:kern w:val="0"/>
                <w:sz w:val="20"/>
                <w:szCs w:val="20"/>
              </w:rPr>
              <w:t>结转结余率（4）</w:t>
            </w:r>
          </w:p>
        </w:tc>
        <w:tc>
          <w:tcPr>
            <w:tcW w:w="994" w:type="pct"/>
            <w:gridSpan w:val="3"/>
            <w:tcBorders>
              <w:top w:val="single" w:sz="4" w:space="0" w:color="auto"/>
              <w:left w:val="nil"/>
              <w:bottom w:val="single" w:sz="4" w:space="0" w:color="auto"/>
              <w:right w:val="single" w:sz="4" w:space="0" w:color="000000"/>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p w:rsidR="002E4532" w:rsidRDefault="00C66CED">
            <w:pPr>
              <w:jc w:val="center"/>
              <w:rPr>
                <w:rFonts w:ascii="宋体" w:hAnsi="宋体" w:cs="宋体"/>
                <w:color w:val="000000"/>
                <w:kern w:val="0"/>
                <w:sz w:val="20"/>
                <w:szCs w:val="20"/>
              </w:rPr>
            </w:pPr>
            <w:r>
              <w:rPr>
                <w:rFonts w:ascii="宋体" w:hAnsi="宋体" w:cs="宋体" w:hint="eastAsia"/>
                <w:color w:val="000000"/>
                <w:kern w:val="0"/>
                <w:sz w:val="20"/>
                <w:szCs w:val="20"/>
              </w:rPr>
              <w:t>15.56%</w:t>
            </w:r>
          </w:p>
        </w:tc>
        <w:tc>
          <w:tcPr>
            <w:tcW w:w="308" w:type="pct"/>
            <w:gridSpan w:val="2"/>
            <w:tcBorders>
              <w:top w:val="nil"/>
              <w:left w:val="nil"/>
              <w:bottom w:val="single" w:sz="4" w:space="0" w:color="auto"/>
              <w:right w:val="single" w:sz="4" w:space="0" w:color="auto"/>
            </w:tcBorders>
            <w:shd w:val="clear" w:color="auto" w:fill="auto"/>
            <w:vAlign w:val="center"/>
          </w:tcPr>
          <w:p w:rsidR="002E4532" w:rsidRDefault="002E4532">
            <w:pPr>
              <w:jc w:val="center"/>
              <w:rPr>
                <w:rFonts w:ascii="宋体" w:hAnsi="宋体" w:cs="宋体"/>
                <w:color w:val="000000"/>
                <w:kern w:val="0"/>
                <w:sz w:val="20"/>
                <w:szCs w:val="20"/>
              </w:rPr>
            </w:pPr>
          </w:p>
          <w:p w:rsidR="002E4532" w:rsidRDefault="00C66CED">
            <w:pPr>
              <w:jc w:val="center"/>
              <w:rPr>
                <w:rFonts w:ascii="宋体" w:hAnsi="宋体" w:cs="宋体"/>
                <w:color w:val="000000"/>
                <w:kern w:val="0"/>
                <w:sz w:val="20"/>
                <w:szCs w:val="20"/>
              </w:rPr>
            </w:pPr>
            <w:r>
              <w:rPr>
                <w:rFonts w:ascii="宋体" w:hAnsi="宋体" w:cs="宋体" w:hint="eastAsia"/>
                <w:color w:val="000000"/>
                <w:kern w:val="0"/>
                <w:sz w:val="20"/>
                <w:szCs w:val="20"/>
              </w:rPr>
              <w:t>3.31%</w:t>
            </w:r>
          </w:p>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48" w:type="pct"/>
            <w:gridSpan w:val="3"/>
            <w:tcBorders>
              <w:top w:val="nil"/>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92" w:type="pct"/>
            <w:gridSpan w:val="3"/>
            <w:tcBorders>
              <w:top w:val="nil"/>
              <w:left w:val="nil"/>
              <w:bottom w:val="single" w:sz="4" w:space="0" w:color="auto"/>
              <w:right w:val="nil"/>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　</w:t>
            </w:r>
          </w:p>
        </w:tc>
        <w:tc>
          <w:tcPr>
            <w:tcW w:w="1121" w:type="pct"/>
            <w:tcBorders>
              <w:top w:val="single" w:sz="4" w:space="0" w:color="auto"/>
              <w:left w:val="single" w:sz="4" w:space="0" w:color="auto"/>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结转结余率=结转结余总额/支出预算数×100%。</w:t>
            </w:r>
            <w:r>
              <w:rPr>
                <w:rFonts w:ascii="宋体" w:hAnsi="宋体" w:cs="宋体" w:hint="eastAsia"/>
                <w:color w:val="000000"/>
                <w:kern w:val="0"/>
                <w:sz w:val="18"/>
                <w:szCs w:val="18"/>
              </w:rPr>
              <w:br/>
              <w:t>结转结余总额：部门（单位）本年度的结转资金与结余资金之和。</w:t>
            </w:r>
          </w:p>
        </w:tc>
        <w:tc>
          <w:tcPr>
            <w:tcW w:w="1464" w:type="pct"/>
            <w:gridSpan w:val="3"/>
            <w:tcBorders>
              <w:top w:val="single" w:sz="4" w:space="0" w:color="auto"/>
              <w:left w:val="nil"/>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rsidR="002E4532">
        <w:trPr>
          <w:trHeight w:val="90"/>
        </w:trPr>
        <w:tc>
          <w:tcPr>
            <w:tcW w:w="286" w:type="pct"/>
            <w:gridSpan w:val="3"/>
            <w:vMerge/>
            <w:tcBorders>
              <w:top w:val="nil"/>
              <w:left w:val="single" w:sz="4" w:space="0" w:color="auto"/>
              <w:bottom w:val="single" w:sz="4" w:space="0" w:color="auto"/>
              <w:right w:val="single" w:sz="4" w:space="0" w:color="auto"/>
            </w:tcBorders>
            <w:shd w:val="clear" w:color="auto" w:fill="auto"/>
            <w:vAlign w:val="center"/>
          </w:tcPr>
          <w:p w:rsidR="002E4532" w:rsidRDefault="002E4532">
            <w:pPr>
              <w:rPr>
                <w:rFonts w:ascii="Calibri" w:hAnsi="Calibri"/>
                <w:szCs w:val="22"/>
              </w:rPr>
            </w:pPr>
          </w:p>
        </w:tc>
        <w:tc>
          <w:tcPr>
            <w:tcW w:w="287" w:type="pct"/>
            <w:gridSpan w:val="2"/>
            <w:tcBorders>
              <w:top w:val="nil"/>
              <w:left w:val="nil"/>
              <w:bottom w:val="single" w:sz="4" w:space="0" w:color="auto"/>
              <w:right w:val="single" w:sz="4" w:space="0" w:color="auto"/>
            </w:tcBorders>
            <w:shd w:val="clear" w:color="auto" w:fill="auto"/>
            <w:vAlign w:val="center"/>
          </w:tcPr>
          <w:p w:rsidR="002E4532" w:rsidRDefault="00C66CED">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部门预决算差异率（4）</w:t>
            </w:r>
          </w:p>
        </w:tc>
        <w:tc>
          <w:tcPr>
            <w:tcW w:w="994" w:type="pct"/>
            <w:gridSpan w:val="3"/>
            <w:tcBorders>
              <w:top w:val="single" w:sz="4" w:space="0" w:color="auto"/>
              <w:left w:val="nil"/>
              <w:bottom w:val="single" w:sz="4" w:space="0" w:color="auto"/>
              <w:right w:val="nil"/>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08" w:type="pct"/>
            <w:gridSpan w:val="2"/>
            <w:tcBorders>
              <w:top w:val="nil"/>
              <w:left w:val="single" w:sz="4" w:space="0" w:color="auto"/>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3.75%</w:t>
            </w:r>
          </w:p>
        </w:tc>
        <w:tc>
          <w:tcPr>
            <w:tcW w:w="248" w:type="pct"/>
            <w:gridSpan w:val="3"/>
            <w:tcBorders>
              <w:top w:val="nil"/>
              <w:left w:val="nil"/>
              <w:bottom w:val="single" w:sz="4" w:space="0" w:color="auto"/>
              <w:right w:val="single" w:sz="4" w:space="0" w:color="auto"/>
            </w:tcBorders>
            <w:shd w:val="clear" w:color="auto" w:fill="auto"/>
            <w:vAlign w:val="center"/>
          </w:tcPr>
          <w:p w:rsidR="002E4532" w:rsidRDefault="002E4532">
            <w:pPr>
              <w:widowControl/>
              <w:jc w:val="center"/>
              <w:rPr>
                <w:rFonts w:ascii="宋体" w:hAnsi="宋体" w:cs="宋体"/>
                <w:color w:val="000000"/>
                <w:kern w:val="0"/>
                <w:sz w:val="20"/>
                <w:szCs w:val="20"/>
              </w:rPr>
            </w:pPr>
          </w:p>
          <w:p w:rsidR="002E4532" w:rsidRDefault="002E4532">
            <w:pPr>
              <w:widowControl/>
              <w:jc w:val="center"/>
              <w:rPr>
                <w:rFonts w:ascii="宋体" w:hAnsi="宋体" w:cs="宋体"/>
                <w:color w:val="000000"/>
                <w:kern w:val="0"/>
                <w:sz w:val="20"/>
                <w:szCs w:val="20"/>
              </w:rPr>
            </w:pPr>
          </w:p>
          <w:p w:rsidR="002E4532" w:rsidRDefault="00C66CED">
            <w:pPr>
              <w:widowControl/>
              <w:ind w:firstLineChars="100" w:firstLine="200"/>
              <w:rPr>
                <w:rFonts w:ascii="宋体" w:hAnsi="宋体" w:cs="宋体"/>
                <w:color w:val="000000"/>
                <w:kern w:val="0"/>
                <w:sz w:val="20"/>
                <w:szCs w:val="20"/>
              </w:rPr>
            </w:pPr>
            <w:r>
              <w:rPr>
                <w:rFonts w:ascii="宋体" w:hAnsi="宋体" w:cs="宋体" w:hint="eastAsia"/>
                <w:color w:val="000000"/>
                <w:kern w:val="0"/>
                <w:sz w:val="20"/>
                <w:szCs w:val="20"/>
              </w:rPr>
              <w:t>4</w:t>
            </w:r>
          </w:p>
        </w:tc>
        <w:tc>
          <w:tcPr>
            <w:tcW w:w="292" w:type="pct"/>
            <w:gridSpan w:val="3"/>
            <w:tcBorders>
              <w:top w:val="nil"/>
              <w:left w:val="nil"/>
              <w:bottom w:val="single" w:sz="4" w:space="0" w:color="auto"/>
              <w:right w:val="nil"/>
            </w:tcBorders>
            <w:shd w:val="clear" w:color="auto" w:fill="auto"/>
            <w:vAlign w:val="center"/>
          </w:tcPr>
          <w:p w:rsidR="002E4532" w:rsidRDefault="002E4532">
            <w:pPr>
              <w:widowControl/>
              <w:jc w:val="center"/>
              <w:rPr>
                <w:rFonts w:ascii="宋体" w:hAnsi="宋体" w:cs="宋体"/>
                <w:color w:val="000000"/>
                <w:kern w:val="0"/>
                <w:sz w:val="20"/>
                <w:szCs w:val="20"/>
              </w:rPr>
            </w:pPr>
          </w:p>
          <w:p w:rsidR="002E4532" w:rsidRDefault="002E4532">
            <w:pPr>
              <w:widowControl/>
              <w:jc w:val="center"/>
              <w:rPr>
                <w:rFonts w:ascii="宋体" w:hAnsi="宋体" w:cs="宋体"/>
                <w:color w:val="000000"/>
                <w:kern w:val="0"/>
                <w:sz w:val="20"/>
                <w:szCs w:val="20"/>
              </w:rPr>
            </w:pPr>
          </w:p>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　</w:t>
            </w:r>
          </w:p>
        </w:tc>
        <w:tc>
          <w:tcPr>
            <w:tcW w:w="1121" w:type="pct"/>
            <w:tcBorders>
              <w:top w:val="nil"/>
              <w:left w:val="single" w:sz="4" w:space="0" w:color="auto"/>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1464" w:type="pct"/>
            <w:gridSpan w:val="3"/>
            <w:tcBorders>
              <w:top w:val="nil"/>
              <w:left w:val="nil"/>
              <w:bottom w:val="single" w:sz="4" w:space="0" w:color="auto"/>
              <w:right w:val="single" w:sz="4" w:space="0" w:color="auto"/>
            </w:tcBorders>
            <w:shd w:val="clear" w:color="auto" w:fill="auto"/>
            <w:vAlign w:val="center"/>
          </w:tcPr>
          <w:p w:rsidR="002E4532" w:rsidRDefault="00C66CED">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部门预决算差异率高于市级平均差异率（28.3%）的，每高出10%（含），扣0.4分，扣完为止。</w:t>
            </w:r>
          </w:p>
        </w:tc>
      </w:tr>
      <w:tr w:rsidR="002E4532" w:rsidTr="0088732E">
        <w:trPr>
          <w:trHeight w:val="404"/>
        </w:trPr>
        <w:tc>
          <w:tcPr>
            <w:tcW w:w="1874"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248" w:type="pct"/>
            <w:gridSpan w:val="3"/>
            <w:tcBorders>
              <w:top w:val="nil"/>
              <w:left w:val="nil"/>
              <w:bottom w:val="single" w:sz="4" w:space="0" w:color="auto"/>
              <w:right w:val="single" w:sz="4" w:space="0" w:color="auto"/>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92" w:type="pct"/>
            <w:gridSpan w:val="3"/>
            <w:tcBorders>
              <w:top w:val="nil"/>
              <w:left w:val="nil"/>
              <w:bottom w:val="single" w:sz="4" w:space="0" w:color="auto"/>
              <w:right w:val="nil"/>
            </w:tcBorders>
            <w:shd w:val="clear" w:color="auto" w:fill="auto"/>
            <w:vAlign w:val="center"/>
          </w:tcPr>
          <w:p w:rsidR="002E4532" w:rsidRDefault="00C66C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95.91　</w:t>
            </w:r>
          </w:p>
        </w:tc>
        <w:tc>
          <w:tcPr>
            <w:tcW w:w="2585" w:type="pct"/>
            <w:gridSpan w:val="4"/>
            <w:tcBorders>
              <w:top w:val="single" w:sz="4" w:space="0" w:color="auto"/>
              <w:left w:val="single" w:sz="4" w:space="0" w:color="auto"/>
              <w:bottom w:val="single" w:sz="4" w:space="0" w:color="auto"/>
              <w:right w:val="single" w:sz="4" w:space="0" w:color="000000"/>
            </w:tcBorders>
            <w:shd w:val="clear" w:color="auto" w:fill="auto"/>
            <w:vAlign w:val="center"/>
          </w:tcPr>
          <w:p w:rsidR="002E4532" w:rsidRDefault="00C66CE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2E4532" w:rsidRDefault="002E4532"/>
    <w:p w:rsidR="002E4532" w:rsidRDefault="002E4532">
      <w:pPr>
        <w:spacing w:line="560" w:lineRule="exact"/>
      </w:pPr>
    </w:p>
    <w:sectPr w:rsidR="002E4532" w:rsidSect="0088732E">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1340" w:rsidRDefault="006C1340" w:rsidP="00D56269">
      <w:r>
        <w:separator/>
      </w:r>
    </w:p>
  </w:endnote>
  <w:endnote w:type="continuationSeparator" w:id="1">
    <w:p w:rsidR="006C1340" w:rsidRDefault="006C1340" w:rsidP="00D562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_GBK">
    <w:altName w:val="Arial Unicode MS"/>
    <w:charset w:val="86"/>
    <w:family w:val="auto"/>
    <w:pitch w:val="default"/>
    <w:sig w:usb0="00000000" w:usb1="00000000" w:usb2="00000000" w:usb3="00000000" w:csb0="00040000" w:csb1="00000000"/>
  </w:font>
  <w:font w:name="方正小标宋简体">
    <w:altName w:val="微软雅黑"/>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1340" w:rsidRDefault="006C1340" w:rsidP="00D56269">
      <w:r>
        <w:separator/>
      </w:r>
    </w:p>
  </w:footnote>
  <w:footnote w:type="continuationSeparator" w:id="1">
    <w:p w:rsidR="006C1340" w:rsidRDefault="006C1340" w:rsidP="00D5626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compat>
  <w:rsids>
    <w:rsidRoot w:val="291B0FD9"/>
    <w:rsid w:val="002E4532"/>
    <w:rsid w:val="00501084"/>
    <w:rsid w:val="005326F2"/>
    <w:rsid w:val="00666454"/>
    <w:rsid w:val="006C1340"/>
    <w:rsid w:val="007F7AE1"/>
    <w:rsid w:val="008131F8"/>
    <w:rsid w:val="0088732E"/>
    <w:rsid w:val="00C614E8"/>
    <w:rsid w:val="00C66CED"/>
    <w:rsid w:val="00D56269"/>
    <w:rsid w:val="00DE1DDB"/>
    <w:rsid w:val="00F96AD7"/>
    <w:rsid w:val="02442E50"/>
    <w:rsid w:val="16E01706"/>
    <w:rsid w:val="25A936FA"/>
    <w:rsid w:val="27E3043E"/>
    <w:rsid w:val="291B0FD9"/>
    <w:rsid w:val="50A320DD"/>
    <w:rsid w:val="79553A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2E4532"/>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2E4532"/>
    <w:pPr>
      <w:ind w:firstLineChars="200" w:firstLine="200"/>
    </w:pPr>
  </w:style>
  <w:style w:type="paragraph" w:customStyle="1" w:styleId="a4">
    <w:name w:val="附件栏"/>
    <w:basedOn w:val="a"/>
    <w:uiPriority w:val="99"/>
    <w:qFormat/>
    <w:rsid w:val="002E4532"/>
    <w:pPr>
      <w:suppressAutoHyphens/>
      <w:autoSpaceDE w:val="0"/>
      <w:autoSpaceDN w:val="0"/>
      <w:snapToGrid w:val="0"/>
      <w:spacing w:line="590" w:lineRule="atLeast"/>
      <w:ind w:firstLine="624"/>
    </w:pPr>
    <w:rPr>
      <w:rFonts w:ascii="Calibri" w:eastAsia="方正仿宋_GBK" w:hAnsi="Calibri"/>
      <w:kern w:val="0"/>
      <w:sz w:val="32"/>
      <w:szCs w:val="32"/>
    </w:rPr>
  </w:style>
  <w:style w:type="paragraph" w:styleId="a5">
    <w:name w:val="header"/>
    <w:basedOn w:val="a"/>
    <w:link w:val="Char"/>
    <w:rsid w:val="00D562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D56269"/>
    <w:rPr>
      <w:kern w:val="2"/>
      <w:sz w:val="18"/>
      <w:szCs w:val="18"/>
    </w:rPr>
  </w:style>
  <w:style w:type="paragraph" w:styleId="a6">
    <w:name w:val="footer"/>
    <w:basedOn w:val="a"/>
    <w:link w:val="Char0"/>
    <w:uiPriority w:val="99"/>
    <w:qFormat/>
    <w:rsid w:val="00D56269"/>
    <w:pPr>
      <w:tabs>
        <w:tab w:val="center" w:pos="4153"/>
        <w:tab w:val="right" w:pos="8306"/>
      </w:tabs>
      <w:snapToGrid w:val="0"/>
      <w:jc w:val="left"/>
    </w:pPr>
    <w:rPr>
      <w:sz w:val="18"/>
      <w:szCs w:val="18"/>
    </w:rPr>
  </w:style>
  <w:style w:type="character" w:customStyle="1" w:styleId="Char0">
    <w:name w:val="页脚 Char"/>
    <w:basedOn w:val="a1"/>
    <w:link w:val="a6"/>
    <w:uiPriority w:val="99"/>
    <w:rsid w:val="00D5626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16</Pages>
  <Words>1350</Words>
  <Characters>7700</Characters>
  <Application>Microsoft Office Word</Application>
  <DocSecurity>0</DocSecurity>
  <Lines>64</Lines>
  <Paragraphs>18</Paragraphs>
  <ScaleCrop>false</ScaleCrop>
  <Company>Lenovo</Company>
  <LinksUpToDate>false</LinksUpToDate>
  <CharactersWithSpaces>9032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10</cp:revision>
  <dcterms:created xsi:type="dcterms:W3CDTF">2022-08-19T09:43:00Z</dcterms:created>
  <dcterms:modified xsi:type="dcterms:W3CDTF">2022-08-26T08:49:00Z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A4D7AA68623942D588B6AAF7200BEBA6</vt:lpwstr>
  </property>
</Properties>
</file>