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E10" w:rsidRDefault="00DF7549">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北京市西城区人民法院</w:t>
      </w:r>
    </w:p>
    <w:p w:rsidR="00807E10" w:rsidRDefault="00DF7549">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部门整体绩效评价报告</w:t>
      </w:r>
    </w:p>
    <w:p w:rsidR="00807E10" w:rsidRDefault="00807E10">
      <w:pPr>
        <w:spacing w:line="560" w:lineRule="exact"/>
        <w:jc w:val="center"/>
        <w:rPr>
          <w:rFonts w:ascii="方正小标宋简体" w:eastAsia="方正小标宋简体"/>
          <w:sz w:val="36"/>
          <w:szCs w:val="36"/>
        </w:rPr>
      </w:pPr>
    </w:p>
    <w:p w:rsidR="00807E10" w:rsidRDefault="00DF7549">
      <w:pPr>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807E10" w:rsidRDefault="00DF7549">
      <w:pPr>
        <w:spacing w:line="560" w:lineRule="exact"/>
        <w:ind w:firstLineChars="200" w:firstLine="640"/>
        <w:outlineLvl w:val="0"/>
        <w:rPr>
          <w:rFonts w:ascii="楷体_GB2312" w:eastAsia="楷体_GB2312"/>
          <w:sz w:val="32"/>
          <w:szCs w:val="32"/>
        </w:rPr>
      </w:pPr>
      <w:r>
        <w:rPr>
          <w:rFonts w:ascii="楷体_GB2312" w:eastAsia="楷体_GB2312" w:hint="eastAsia"/>
          <w:sz w:val="32"/>
          <w:szCs w:val="32"/>
        </w:rPr>
        <w:t>（一）机构设置及职责工作任务情况</w:t>
      </w:r>
    </w:p>
    <w:p w:rsidR="00807E10" w:rsidRDefault="00DF7549">
      <w:pPr>
        <w:spacing w:line="560" w:lineRule="exact"/>
        <w:ind w:firstLineChars="200" w:firstLine="640"/>
        <w:rPr>
          <w:rFonts w:ascii="仿宋_GB2312" w:eastAsia="仿宋_GB2312"/>
          <w:color w:val="000000"/>
          <w:sz w:val="32"/>
          <w:szCs w:val="32"/>
        </w:rPr>
      </w:pPr>
      <w:r>
        <w:rPr>
          <w:rFonts w:ascii="仿宋_GB2312" w:eastAsia="仿宋_GB2312" w:hAnsi="仿宋" w:hint="eastAsia"/>
          <w:sz w:val="32"/>
          <w:szCs w:val="32"/>
        </w:rPr>
        <w:t>北京市西城区人民法院于2010年8月由原西城、宣武两个法院合并而成。</w:t>
      </w:r>
      <w:r>
        <w:rPr>
          <w:rFonts w:ascii="仿宋_GB2312" w:eastAsia="仿宋_GB2312" w:hint="eastAsia"/>
          <w:color w:val="000000"/>
          <w:sz w:val="32"/>
          <w:szCs w:val="32"/>
        </w:rPr>
        <w:t>西城法院地处首都功能核心区，负责审理辖区内各类一审案件，每年新收案件数稳居全市第三，负责</w:t>
      </w:r>
      <w:r>
        <w:rPr>
          <w:rFonts w:ascii="仿宋_GB2312" w:eastAsia="仿宋_GB2312" w:hAnsi="仿宋" w:hint="eastAsia"/>
          <w:sz w:val="32"/>
          <w:szCs w:val="32"/>
        </w:rPr>
        <w:t>北京市涉及陆生野生动植物一审刑事案件，犯罪地在西城、房山、大兴、昌平辖区的外国人犯罪案件，以及西城、大兴辖区内的知识产权案件。</w:t>
      </w:r>
    </w:p>
    <w:p w:rsidR="00807E10" w:rsidRDefault="00DF754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西城法院内设机构13个，</w:t>
      </w:r>
      <w:r>
        <w:rPr>
          <w:rFonts w:ascii="仿宋_GB2312" w:eastAsia="仿宋_GB2312" w:hint="eastAsia"/>
          <w:color w:val="000000"/>
          <w:sz w:val="32"/>
          <w:szCs w:val="32"/>
          <w:lang w:eastAsia="zh-Hans"/>
        </w:rPr>
        <w:t>其中</w:t>
      </w:r>
      <w:r>
        <w:rPr>
          <w:rFonts w:ascii="仿宋_GB2312" w:eastAsia="仿宋_GB2312" w:hint="eastAsia"/>
          <w:color w:val="000000"/>
          <w:sz w:val="32"/>
          <w:szCs w:val="32"/>
        </w:rPr>
        <w:t>审判业务机构10个，非审判业务机构3个（政治部、综合</w:t>
      </w:r>
      <w:r>
        <w:rPr>
          <w:rFonts w:ascii="仿宋_GB2312" w:eastAsia="仿宋_GB2312" w:hint="eastAsia"/>
          <w:color w:val="000000"/>
          <w:sz w:val="32"/>
          <w:szCs w:val="32"/>
          <w:lang w:eastAsia="zh-Hans"/>
        </w:rPr>
        <w:t>办公室</w:t>
      </w:r>
      <w:r>
        <w:rPr>
          <w:rFonts w:ascii="仿宋_GB2312" w:eastAsia="仿宋_GB2312" w:hint="eastAsia"/>
          <w:color w:val="000000"/>
          <w:sz w:val="32"/>
          <w:szCs w:val="32"/>
        </w:rPr>
        <w:t>、</w:t>
      </w:r>
      <w:r>
        <w:rPr>
          <w:rFonts w:ascii="仿宋_GB2312" w:eastAsia="仿宋_GB2312" w:hint="eastAsia"/>
          <w:color w:val="000000"/>
          <w:sz w:val="32"/>
          <w:szCs w:val="32"/>
          <w:lang w:eastAsia="zh-Hans"/>
        </w:rPr>
        <w:t>司法警察大队</w:t>
      </w:r>
      <w:r>
        <w:rPr>
          <w:rFonts w:ascii="仿宋_GB2312" w:eastAsia="仿宋_GB2312" w:hint="eastAsia"/>
          <w:color w:val="000000"/>
          <w:sz w:val="32"/>
          <w:szCs w:val="32"/>
        </w:rPr>
        <w:t>），另有派出法庭1个（金融街人民法庭），事业单位1个（</w:t>
      </w:r>
      <w:r w:rsidR="00454D9F">
        <w:rPr>
          <w:rFonts w:ascii="仿宋_GB2312" w:eastAsia="仿宋_GB2312" w:hint="eastAsia"/>
          <w:color w:val="000000"/>
          <w:sz w:val="32"/>
          <w:szCs w:val="32"/>
        </w:rPr>
        <w:t>北京市西城区人民法院</w:t>
      </w:r>
      <w:r>
        <w:rPr>
          <w:rFonts w:ascii="仿宋_GB2312" w:eastAsia="仿宋_GB2312" w:hint="eastAsia"/>
          <w:color w:val="000000"/>
          <w:sz w:val="32"/>
          <w:szCs w:val="32"/>
        </w:rPr>
        <w:t>综合事务中心）。</w:t>
      </w:r>
    </w:p>
    <w:p w:rsidR="00807E10" w:rsidRDefault="00DF7549">
      <w:pPr>
        <w:spacing w:line="560" w:lineRule="exact"/>
        <w:ind w:firstLineChars="200" w:firstLine="640"/>
        <w:rPr>
          <w:rFonts w:ascii="楷体_GB2312" w:eastAsia="楷体_GB2312"/>
          <w:sz w:val="32"/>
          <w:szCs w:val="32"/>
        </w:rPr>
      </w:pPr>
      <w:r>
        <w:rPr>
          <w:rFonts w:ascii="楷体_GB2312" w:eastAsia="楷体_GB2312" w:hint="eastAsia"/>
          <w:sz w:val="32"/>
          <w:szCs w:val="32"/>
        </w:rPr>
        <w:t>（二）部门整体绩效目标设立情况</w:t>
      </w:r>
    </w:p>
    <w:p w:rsidR="00807E10" w:rsidRDefault="00DF754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我院2021年度部门整体绩效目标，即依法惩治各类犯罪，切实维护国家安全和社会稳定。依法妥善审理各类民商事案件，加强婚姻家庭、劳动就业、医疗卫生等涉民生案件审判执行工作，加大保障弱势群体合法权益。积极服务供给侧结构性改革，加强产权保护，努力营造法治化营商环境。高效审理银行卡、互联网金融、金融借款合同、委托理财等经济案件，防范化解金融风险。支持、督促依法行政，妥善化解行政纠纷，支持监督行政机关依法履职。完善以审判权</w:t>
      </w:r>
      <w:r>
        <w:rPr>
          <w:rFonts w:ascii="仿宋_GB2312" w:eastAsia="仿宋_GB2312" w:hint="eastAsia"/>
          <w:color w:val="000000"/>
          <w:sz w:val="32"/>
          <w:szCs w:val="32"/>
        </w:rPr>
        <w:lastRenderedPageBreak/>
        <w:t>为核心、以审判监督权和审判管理权为保障的审判权力运行机制，落实审判责任制，做到让审理者裁判，由裁判者负责。积极推进立案登记制改革、内设机构改革、以审判为中心的诉讼制度改革。</w:t>
      </w:r>
    </w:p>
    <w:p w:rsidR="00807E10" w:rsidRDefault="00DF7549">
      <w:pPr>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807E10" w:rsidRDefault="00DF7549">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2021年经调整后的</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lang w:eastAsia="zh-Hans"/>
        </w:rPr>
        <w:t>支出</w:t>
      </w:r>
      <w:r>
        <w:rPr>
          <w:rFonts w:ascii="仿宋_GB2312" w:eastAsia="仿宋_GB2312" w:hAnsi="宋体" w:cs="宋体" w:hint="eastAsia"/>
          <w:color w:val="000000"/>
          <w:kern w:val="0"/>
          <w:sz w:val="32"/>
          <w:szCs w:val="32"/>
        </w:rPr>
        <w:t>预算数33,378.79万元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Pr>
          <w:rFonts w:ascii="仿宋_GB2312" w:eastAsia="仿宋_GB2312" w:hAnsi="宋体" w:cs="宋体" w:hint="eastAsia"/>
          <w:color w:val="000000"/>
          <w:kern w:val="0"/>
          <w:sz w:val="32"/>
          <w:szCs w:val="32"/>
        </w:rPr>
        <w:t>25,187.79</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项目支出预算数8,191.00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支出32,373.79</w:t>
      </w:r>
      <w:r>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24,716.40</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支出7,657.39</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96.99%。</w:t>
      </w:r>
    </w:p>
    <w:p w:rsidR="00807E10" w:rsidRDefault="00DF7549">
      <w:pPr>
        <w:spacing w:line="56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807E10" w:rsidRDefault="00DF7549">
      <w:pPr>
        <w:spacing w:line="560" w:lineRule="exact"/>
        <w:ind w:leftChars="50" w:left="105" w:firstLineChars="150" w:firstLine="480"/>
        <w:outlineLvl w:val="0"/>
        <w:rPr>
          <w:rFonts w:ascii="楷体_GB2312" w:eastAsia="楷体_GB2312"/>
          <w:sz w:val="32"/>
          <w:szCs w:val="32"/>
        </w:rPr>
      </w:pPr>
      <w:r>
        <w:rPr>
          <w:rFonts w:ascii="楷体_GB2312" w:eastAsia="楷体_GB2312" w:hint="eastAsia"/>
          <w:sz w:val="32"/>
          <w:szCs w:val="32"/>
        </w:rPr>
        <w:t>（一）产出完成情况分析</w:t>
      </w:r>
    </w:p>
    <w:p w:rsidR="00807E10" w:rsidRDefault="00DF7549">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1.产出数量</w:t>
      </w:r>
    </w:p>
    <w:p w:rsidR="00807E10" w:rsidRDefault="00DF7549">
      <w:pPr>
        <w:spacing w:line="560" w:lineRule="exact"/>
        <w:ind w:leftChars="50" w:left="105" w:firstLineChars="150" w:firstLine="480"/>
        <w:rPr>
          <w:rFonts w:ascii="仿宋_GB2312" w:eastAsia="仿宋_GB2312" w:hAnsi="仿宋_GB2312"/>
          <w:sz w:val="32"/>
          <w:szCs w:val="32"/>
        </w:rPr>
      </w:pPr>
      <w:r>
        <w:rPr>
          <w:rFonts w:ascii="仿宋_GB2312" w:eastAsia="仿宋_GB2312" w:hAnsi="仿宋_GB2312" w:hint="eastAsia"/>
          <w:sz w:val="32"/>
          <w:szCs w:val="32"/>
        </w:rPr>
        <w:t>全院2021年度收结案件70759件，较去年同期减少854件，降幅1.19%。员额法官人均办案工作量450.</w:t>
      </w:r>
      <w:r>
        <w:rPr>
          <w:rFonts w:ascii="仿宋_GB2312" w:eastAsia="仿宋_GB2312" w:hAnsi="仿宋_GB2312"/>
          <w:sz w:val="32"/>
          <w:szCs w:val="32"/>
        </w:rPr>
        <w:t>69</w:t>
      </w:r>
      <w:r>
        <w:rPr>
          <w:rFonts w:ascii="仿宋_GB2312" w:eastAsia="仿宋_GB2312" w:hAnsi="仿宋_GB2312" w:hint="eastAsia"/>
          <w:sz w:val="32"/>
          <w:szCs w:val="32"/>
        </w:rPr>
        <w:t>件，与去年同比上升3.85%。全院全年审判执行文书数量（份）57328件。全院全年数字化档案数量（卷）78472件。</w:t>
      </w:r>
    </w:p>
    <w:p w:rsidR="00807E10" w:rsidRDefault="00DF7549">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2.产出</w:t>
      </w:r>
      <w:r>
        <w:rPr>
          <w:rFonts w:ascii="仿宋_GB2312" w:eastAsia="仿宋_GB2312" w:hAnsi="宋体" w:cs="宋体"/>
          <w:b/>
          <w:bCs/>
          <w:color w:val="000000"/>
          <w:kern w:val="0"/>
          <w:sz w:val="32"/>
          <w:szCs w:val="32"/>
        </w:rPr>
        <w:t>质量</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2021年度全院一审改判发回（瑕疵）案件累计63件，一审判决案件改判发回重审率（瑕疵）为0.45%，较去年上升0.07%。</w:t>
      </w:r>
    </w:p>
    <w:p w:rsidR="00807E10" w:rsidRDefault="00DF7549">
      <w:pPr>
        <w:spacing w:line="560" w:lineRule="exact"/>
        <w:ind w:leftChars="50" w:left="105" w:firstLineChars="150" w:firstLine="480"/>
        <w:rPr>
          <w:rFonts w:ascii="仿宋_GB2312" w:eastAsia="仿宋_GB2312" w:hAnsi="仿宋_GB2312"/>
          <w:sz w:val="32"/>
          <w:szCs w:val="32"/>
        </w:rPr>
      </w:pPr>
      <w:r>
        <w:rPr>
          <w:rFonts w:ascii="仿宋_GB2312" w:eastAsia="仿宋_GB2312" w:hAnsi="仿宋_GB2312" w:hint="eastAsia"/>
          <w:sz w:val="32"/>
          <w:szCs w:val="32"/>
        </w:rPr>
        <w:t>我院以司法公开促进法治精神传播，裁判文书上网率始终保持100%。</w:t>
      </w:r>
    </w:p>
    <w:p w:rsidR="00807E10" w:rsidRDefault="00DF7549">
      <w:pPr>
        <w:spacing w:line="560" w:lineRule="exact"/>
        <w:ind w:leftChars="50" w:left="105" w:firstLineChars="150" w:firstLine="480"/>
        <w:rPr>
          <w:rFonts w:ascii="仿宋_GB2312" w:eastAsia="仿宋_GB2312" w:hAnsi="仿宋_GB2312"/>
          <w:sz w:val="32"/>
          <w:szCs w:val="32"/>
        </w:rPr>
      </w:pPr>
      <w:r>
        <w:rPr>
          <w:rFonts w:ascii="仿宋_GB2312" w:eastAsia="仿宋_GB2312" w:hAnsi="仿宋_GB2312" w:hint="eastAsia"/>
          <w:sz w:val="32"/>
          <w:szCs w:val="32"/>
        </w:rPr>
        <w:t>我院坚持以党建为引领，为“把信访突出问题处理好，</w:t>
      </w:r>
      <w:r>
        <w:rPr>
          <w:rFonts w:ascii="仿宋_GB2312" w:eastAsia="仿宋_GB2312" w:hAnsi="仿宋_GB2312" w:hint="eastAsia"/>
          <w:sz w:val="32"/>
          <w:szCs w:val="32"/>
        </w:rPr>
        <w:lastRenderedPageBreak/>
        <w:t>把群众合理合法的利益诉求解决好”，始终坚持最高标准、最严要求、最好效果，2021年投诉信访率为0.10%，有效将矛盾化解吸附在基层。</w:t>
      </w:r>
    </w:p>
    <w:p w:rsidR="00807E10" w:rsidRDefault="00DF7549">
      <w:pPr>
        <w:spacing w:line="560" w:lineRule="exact"/>
        <w:ind w:leftChars="50" w:left="105" w:firstLineChars="150" w:firstLine="480"/>
        <w:rPr>
          <w:rFonts w:ascii="仿宋_GB2312" w:eastAsia="仿宋_GB2312" w:hAnsi="仿宋_GB2312"/>
          <w:sz w:val="32"/>
          <w:szCs w:val="32"/>
        </w:rPr>
      </w:pPr>
      <w:r>
        <w:rPr>
          <w:rFonts w:ascii="仿宋_GB2312" w:eastAsia="仿宋_GB2312" w:hAnsi="仿宋_GB2312" w:hint="eastAsia"/>
          <w:sz w:val="32"/>
          <w:szCs w:val="32"/>
        </w:rPr>
        <w:t>2021年，全院有财产可供执行案件法定期限内实际执结率为99.37%,达到满分值（97.50%）。</w:t>
      </w:r>
    </w:p>
    <w:p w:rsidR="00807E10" w:rsidRDefault="00DF7549">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3.产出</w:t>
      </w:r>
      <w:r>
        <w:rPr>
          <w:rFonts w:ascii="仿宋_GB2312" w:eastAsia="仿宋_GB2312" w:hAnsi="宋体" w:cs="宋体"/>
          <w:b/>
          <w:bCs/>
          <w:color w:val="000000"/>
          <w:kern w:val="0"/>
          <w:sz w:val="32"/>
          <w:szCs w:val="32"/>
        </w:rPr>
        <w:t>进度</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2021年度当年案件结收比为90.17%，比去年下降8.99%。我院2021年12月当月收案7759件，同比上升170%，年底结案任务也进行了适当调整，12月当月结案8504件，同比下降31.1%。最终全年呈现新收、未结上升，结案、结案率、结收比均下降的“两升三降”运行态势。</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我院集约送达中心和电子卷宗中心持续发力，案件平均送达时长下降65%。电子送达覆盖率65.55%，商事案件电子送达覆盖率85.40%，同比去年分别提升28.42%、26.47%。电子移转上诉时长比纸质移转缩短13天，金融案件全流程在线办理，电子卷宗实现一键生成电子档案。</w:t>
      </w:r>
    </w:p>
    <w:p w:rsidR="00807E10" w:rsidRDefault="00DF7549">
      <w:pPr>
        <w:spacing w:line="560" w:lineRule="exact"/>
        <w:ind w:leftChars="50" w:left="105" w:firstLineChars="150" w:firstLine="482"/>
        <w:rPr>
          <w:rFonts w:ascii="仿宋_GB2312" w:eastAsia="仿宋_GB2312" w:hAnsi="宋体" w:cs="宋体"/>
          <w:color w:val="000000"/>
          <w:kern w:val="0"/>
          <w:sz w:val="32"/>
          <w:szCs w:val="32"/>
        </w:rPr>
      </w:pPr>
      <w:r>
        <w:rPr>
          <w:rFonts w:ascii="仿宋_GB2312" w:eastAsia="仿宋_GB2312" w:hAnsi="宋体" w:cs="宋体"/>
          <w:b/>
          <w:bCs/>
          <w:color w:val="000000"/>
          <w:kern w:val="0"/>
          <w:sz w:val="32"/>
          <w:szCs w:val="32"/>
        </w:rPr>
        <w:t>4.</w:t>
      </w:r>
      <w:r>
        <w:rPr>
          <w:rFonts w:ascii="仿宋_GB2312" w:eastAsia="仿宋_GB2312" w:hAnsi="宋体" w:cs="宋体" w:hint="eastAsia"/>
          <w:b/>
          <w:bCs/>
          <w:color w:val="000000"/>
          <w:kern w:val="0"/>
          <w:sz w:val="32"/>
          <w:szCs w:val="32"/>
        </w:rPr>
        <w:t>产出</w:t>
      </w:r>
      <w:r>
        <w:rPr>
          <w:rFonts w:ascii="仿宋_GB2312" w:eastAsia="仿宋_GB2312" w:hAnsi="宋体" w:cs="宋体"/>
          <w:b/>
          <w:bCs/>
          <w:color w:val="000000"/>
          <w:kern w:val="0"/>
          <w:sz w:val="32"/>
          <w:szCs w:val="32"/>
        </w:rPr>
        <w:t>成本</w:t>
      </w:r>
      <w:r>
        <w:rPr>
          <w:rFonts w:ascii="仿宋_GB2312" w:eastAsia="仿宋_GB2312" w:hAnsi="宋体" w:cs="宋体" w:hint="eastAsia"/>
          <w:color w:val="000000"/>
          <w:kern w:val="0"/>
          <w:sz w:val="32"/>
          <w:szCs w:val="32"/>
        </w:rPr>
        <w:t xml:space="preserve">  </w:t>
      </w:r>
    </w:p>
    <w:p w:rsidR="00807E10" w:rsidRDefault="00DF7549">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度我院支出决算数为32,373.79万元，较去年减少1,196.30万元，降低3.56%。其中“一般行政管理事务”支出较上年度增加22.00万元，为“会计审计及咨询服务费”项目支出。“案件审判”支出较上年度减少976.55万元，主要原因是我院本年度将保障审判执行工作相关项目进行了梳理整合，一定程度上节约了财政资金；同时因疫情防控常态化，我院积极探索“网上立案”、“云开庭”，差旅费</w:t>
      </w:r>
      <w:r>
        <w:rPr>
          <w:rFonts w:ascii="仿宋_GB2312" w:eastAsia="仿宋_GB2312" w:hAnsi="宋体" w:cs="宋体" w:hint="eastAsia"/>
          <w:color w:val="000000"/>
          <w:kern w:val="0"/>
          <w:sz w:val="32"/>
          <w:szCs w:val="32"/>
        </w:rPr>
        <w:lastRenderedPageBreak/>
        <w:t xml:space="preserve">等办案业务费支出较往年减少。“行政单位医疗”支出较上年度增加392.76万元，主要原因是2021年度人员职级调整后医疗保险基数随之增长。                               </w:t>
      </w:r>
    </w:p>
    <w:p w:rsidR="00807E10" w:rsidRDefault="00DF7549">
      <w:pPr>
        <w:spacing w:line="560" w:lineRule="exact"/>
        <w:ind w:leftChars="50" w:left="105" w:firstLineChars="150" w:firstLine="480"/>
        <w:outlineLvl w:val="0"/>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807E10" w:rsidRDefault="00DF7549">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1.经济</w:t>
      </w:r>
      <w:r>
        <w:rPr>
          <w:rFonts w:ascii="仿宋_GB2312" w:eastAsia="仿宋_GB2312" w:hAnsi="宋体" w:cs="宋体"/>
          <w:b/>
          <w:bCs/>
          <w:color w:val="000000"/>
          <w:kern w:val="0"/>
          <w:sz w:val="32"/>
          <w:szCs w:val="32"/>
        </w:rPr>
        <w:t>效益</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我院着力打造立体化线上立案系统，畅通网上预约立案、微信快速立案和京津冀跨域立案等多种途径。推行网上立案，确保做到“24小时不打烊”。我院2021年网上预约立案数量（占全部收案数量的比重）为53.73%，同比增长143%。</w:t>
      </w:r>
    </w:p>
    <w:p w:rsidR="00807E10" w:rsidRDefault="00DF7549">
      <w:pPr>
        <w:spacing w:line="560" w:lineRule="exact"/>
        <w:ind w:firstLineChars="200" w:firstLine="643"/>
        <w:rPr>
          <w:rFonts w:ascii="仿宋_GB2312" w:eastAsia="仿宋_GB2312" w:hAnsi="仿宋_GB2312"/>
          <w:b/>
          <w:bCs/>
          <w:sz w:val="32"/>
          <w:szCs w:val="32"/>
        </w:rPr>
      </w:pPr>
      <w:r>
        <w:rPr>
          <w:rFonts w:ascii="仿宋_GB2312" w:eastAsia="仿宋_GB2312" w:hAnsi="仿宋_GB2312" w:hint="eastAsia"/>
          <w:b/>
          <w:bCs/>
          <w:sz w:val="32"/>
          <w:szCs w:val="32"/>
        </w:rPr>
        <w:t>保证首都经济运转和维护营商环境情况：</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我院统筹推进，优化法治化营商环境。健全机制，提升审判效率：抓住营商环境世界银行的关键考核指标，优化诉讼程序，加强鉴定管理，缩短审理周期，商事案件平均审理时长从120天缩至83.8天。多措并举，保护企业产权：与区工商联联动保护企业产权，发布产权保护十大典型案例，为民营企业提供3大类8项司法服务。依法为困难企业纾困，灵活采用“活封活扣”“带租拍卖”等强制措施，让企业财产物尽其用。凝聚合力，发挥示范作用：联手区司法局，定向培训全区律师、企业员工3万余人次；三次承办全市世界银行营商环境考察评估活动，硬核举措赢得世行高度赞誉。</w:t>
      </w:r>
    </w:p>
    <w:p w:rsidR="00807E10" w:rsidRDefault="00DF7549">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2.社会效益</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我院依法保障重点工程推进和文保单位腾退，圆满执结7件涉菜园街及枣林南里棚户区改造项目案件，顺利执结白纸坊地区棚改项目最后一户，助力项目实质性落地。审结文</w:t>
      </w:r>
      <w:r>
        <w:rPr>
          <w:rFonts w:ascii="仿宋_GB2312" w:eastAsia="仿宋_GB2312" w:hAnsi="仿宋_GB2312" w:hint="eastAsia"/>
          <w:sz w:val="32"/>
          <w:szCs w:val="32"/>
        </w:rPr>
        <w:lastRenderedPageBreak/>
        <w:t>物腾退案件17件，促成涉梁诗正故居、浏阳会馆案件当事人自行达成腾退协议。制定3项63条工作指引，健全扫黑除恶长效机制。贯通重大敏感案件全流程管理，稳妥处置重敏感案件880件。开展西城区老字号企业品牌与知识产权保护座谈会，为区域老字号企业提供精准司法服务。主动融入党委“吹哨报到”和西城“全响应”社会治理体系，出台《深入推进接诉即办工作的意见》，为西城区“接诉即办”工作保驾护航，区委书记孙军民等3位领导给予批示肯定。</w:t>
      </w:r>
    </w:p>
    <w:p w:rsidR="00807E10" w:rsidRPr="008338F2" w:rsidRDefault="00DF7549" w:rsidP="008338F2">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在加大多元解纷力度的同时，坚决避免调解成功案件进入诉讼程序。委派调解初见成效，金融案件“一站式”司法确认机制持续发力，诉前调解成功案件10002件，同比增长20%，司法确认案件数量位列全市第一；新收案件增幅为全市最低，比2019年同比下降5.58%，在全市法院介绍了工作经验。办案效率进一步提升，多元调解和速裁结案合计29236件，占同期民事结案量的71.54%；评估鉴定平均用时缩短至24.13天。审结全国首例驾校领域反垄断处罚案，被处罚人服判息诉，接受处罚。发布“弘扬社会主义核心价值观民事典型案例”，鼓励良好社会风尚，全网阅读量1.23亿。率先梳理执行廉政和职业风险点并形成防范举措，对通过“黄牛”购买高铁票的失信人员采取司法拘留，无正当理由未发放案款实现动态清零。</w:t>
      </w:r>
    </w:p>
    <w:p w:rsidR="00807E10" w:rsidRDefault="00DF7549">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3.可持续</w:t>
      </w:r>
      <w:r>
        <w:rPr>
          <w:rFonts w:ascii="仿宋_GB2312" w:eastAsia="仿宋_GB2312" w:hAnsi="宋体" w:cs="宋体"/>
          <w:b/>
          <w:bCs/>
          <w:color w:val="000000"/>
          <w:kern w:val="0"/>
          <w:sz w:val="32"/>
          <w:szCs w:val="32"/>
        </w:rPr>
        <w:t>性影响</w:t>
      </w:r>
    </w:p>
    <w:p w:rsidR="00807E10" w:rsidRDefault="00DF7549">
      <w:pPr>
        <w:pStyle w:val="1"/>
        <w:spacing w:line="560" w:lineRule="exact"/>
        <w:ind w:firstLine="643"/>
        <w:rPr>
          <w:rFonts w:ascii="仿宋_GB2312" w:eastAsia="仿宋_GB2312" w:hAnsi="仿宋"/>
          <w:b/>
          <w:bCs/>
          <w:sz w:val="32"/>
          <w:szCs w:val="32"/>
        </w:rPr>
      </w:pPr>
      <w:r>
        <w:rPr>
          <w:rFonts w:ascii="仿宋_GB2312" w:eastAsia="仿宋_GB2312" w:hAnsi="仿宋" w:hint="eastAsia"/>
          <w:b/>
          <w:bCs/>
          <w:sz w:val="32"/>
          <w:szCs w:val="32"/>
        </w:rPr>
        <w:t>司法为民、公正司法情况：</w:t>
      </w:r>
    </w:p>
    <w:p w:rsidR="00807E10" w:rsidRDefault="00DF7549">
      <w:pPr>
        <w:pStyle w:val="1"/>
        <w:spacing w:line="560" w:lineRule="exact"/>
        <w:ind w:firstLine="640"/>
        <w:rPr>
          <w:rFonts w:ascii="仿宋_GB2312" w:eastAsia="仿宋_GB2312" w:hAnsi="仿宋"/>
          <w:sz w:val="32"/>
          <w:szCs w:val="32"/>
        </w:rPr>
      </w:pPr>
      <w:r>
        <w:rPr>
          <w:rFonts w:ascii="仿宋_GB2312" w:eastAsia="仿宋_GB2312" w:hAnsi="仿宋" w:hint="eastAsia"/>
          <w:sz w:val="32"/>
          <w:szCs w:val="32"/>
        </w:rPr>
        <w:t>我院聚焦群众“急难愁盼”，扎实开展“我为群众办实</w:t>
      </w:r>
      <w:r>
        <w:rPr>
          <w:rFonts w:ascii="仿宋_GB2312" w:eastAsia="仿宋_GB2312" w:hAnsi="仿宋" w:hint="eastAsia"/>
          <w:sz w:val="32"/>
          <w:szCs w:val="32"/>
        </w:rPr>
        <w:lastRenderedPageBreak/>
        <w:t>事”实践活动，发布10项便民利民举措和诉讼事项“一站办、一次办、指尖办”10条承诺，在全市法院介绍经验。为老年人等特殊群体提供跟踪帮扶、手语指引等人性化服务，诉讼事项一窗通办。员额法官、法官助理轮流值班接线，12368热线24小时内办结率100%，五大机制更好解决群众诉求，工单办理优秀率全市第三。推出“我为群众办实事”普法直通车，线上线下同步开展精准普法26场，累计52万人次，获评“北京市‘七五’普法先进集体”。与人民群众保持密切联系，开展“群众需要、法官来到”工作，巡回法官每周例行巡回3-4个基层调解组织和街道社区，全体法官常态化对接辖区15个街道259个社区，司法为民服务向“最后一公里”延伸。19个支部443名党员干警共支援16个社区5000余人次、累计时长逾15300小时，开展“红墙先锋在社区”“天天大扫除”等实践活动，参与疫苗接种宣传、垃圾清理、消防安全排查等志愿服务。</w:t>
      </w:r>
    </w:p>
    <w:p w:rsidR="00807E10" w:rsidRDefault="00DF7549">
      <w:pPr>
        <w:pStyle w:val="1"/>
        <w:spacing w:line="560" w:lineRule="exact"/>
        <w:ind w:firstLine="643"/>
        <w:rPr>
          <w:rFonts w:ascii="仿宋_GB2312" w:eastAsia="仿宋_GB2312" w:hAnsi="仿宋"/>
          <w:b/>
          <w:bCs/>
          <w:sz w:val="32"/>
          <w:szCs w:val="32"/>
        </w:rPr>
      </w:pPr>
      <w:r>
        <w:rPr>
          <w:rFonts w:ascii="仿宋_GB2312" w:eastAsia="仿宋_GB2312" w:hAnsi="仿宋" w:hint="eastAsia"/>
          <w:b/>
          <w:bCs/>
          <w:sz w:val="32"/>
          <w:szCs w:val="32"/>
        </w:rPr>
        <w:t>巩固队伍，人才培养情况：</w:t>
      </w:r>
    </w:p>
    <w:p w:rsidR="00807E10" w:rsidRDefault="00DF7549">
      <w:pPr>
        <w:pStyle w:val="1"/>
        <w:spacing w:line="560" w:lineRule="exact"/>
        <w:ind w:firstLine="640"/>
        <w:rPr>
          <w:rFonts w:ascii="仿宋_GB2312" w:eastAsia="仿宋_GB2312" w:hAnsi="仿宋"/>
          <w:sz w:val="32"/>
          <w:szCs w:val="32"/>
        </w:rPr>
      </w:pPr>
      <w:r>
        <w:rPr>
          <w:rFonts w:ascii="仿宋_GB2312" w:eastAsia="仿宋_GB2312" w:hAnsi="仿宋" w:hint="eastAsia"/>
          <w:sz w:val="32"/>
          <w:szCs w:val="32"/>
        </w:rPr>
        <w:t>我院做好区委巡察整改后半篇文章，整改问题28项，对未完成的3项任务每周跟踪进度。深入开展队伍教育整顿，集中排查整治8项顽瘴痼疾，出台15项制度规定，对63名干警作出处理。着眼长远，自我加压，在教育整顿结束后，又启动为期一年半的持续整顿，围绕15个重点领域制定17个专项方案，以期忠诚队伍、规范工作、奋进未来。聚焦“关键少数”，出台《关于压实两级班子主体责任的规定》，设立“党组提醒制度”，每月召开中层例会，确保上下贯通。</w:t>
      </w:r>
      <w:r>
        <w:rPr>
          <w:rFonts w:ascii="仿宋_GB2312" w:eastAsia="仿宋_GB2312" w:hAnsi="仿宋" w:hint="eastAsia"/>
          <w:sz w:val="32"/>
          <w:szCs w:val="32"/>
        </w:rPr>
        <w:lastRenderedPageBreak/>
        <w:t>筑牢廉洁司法“防火墙”，制作“三个规定”宣传微视频，融入社区普法宣传，党组成员带头每月填报，亲情廉政监督员助力日常监管向“八小时外”延伸。提振队伍士气，启用“法官墙”，揭幕“法卫首善”主题工作展，分级、分层、分领域确定三类人才95人，打造“候英讲堂”培训品牌，21个集体、65名个人获得区级以上荣誉。</w:t>
      </w:r>
    </w:p>
    <w:p w:rsidR="00807E10" w:rsidRDefault="00DF7549">
      <w:pPr>
        <w:pStyle w:val="1"/>
        <w:spacing w:line="560" w:lineRule="exact"/>
        <w:ind w:firstLine="643"/>
        <w:rPr>
          <w:rFonts w:ascii="仿宋_GB2312" w:eastAsia="仿宋_GB2312" w:hAnsi="仿宋"/>
          <w:b/>
          <w:bCs/>
          <w:sz w:val="32"/>
          <w:szCs w:val="32"/>
        </w:rPr>
      </w:pPr>
      <w:r>
        <w:rPr>
          <w:rFonts w:ascii="仿宋_GB2312" w:eastAsia="仿宋_GB2312" w:hAnsi="仿宋" w:hint="eastAsia"/>
          <w:b/>
          <w:bCs/>
          <w:sz w:val="32"/>
          <w:szCs w:val="32"/>
        </w:rPr>
        <w:t>法制宣传情况：</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 w:hint="eastAsia"/>
          <w:sz w:val="32"/>
          <w:szCs w:val="32"/>
        </w:rPr>
        <w:t>我院通过加强调宣组织力度，全方位推动调宣工作发展，硕果累累：抓牢意识形态阵地，召开“弘扬社会主义核心价值观典型案例”新闻通报会，媒体累计报道5000余条，获得破亿次网民关注；精准对接调研需求，邀请研究室同志开展调研工作交流会，找差距、补短板、强弱项。年内干警公开发表学术论文2篇（1篇发表在国家核心期刊），发布信息13篇，报送学术论文9篇（1篇获第四届京津冀司法论坛征文活动优秀奖）；完成涉新冠疫情房屋租赁合同纠纷案件的统计分析；报送的3篇案例分析稿件被人民法院年度案例采纳；法官应邀授课培训6次，1名干警获得“北京法院民法典首案微课堂与优秀教学短片”一等奖的好成绩，获院长批示鼓励；7名法官分别接受中央电视台、北京电视台专访，共播出法治专栏电视节目13期，其中4名法官实现了入职以来荧屏首秀；录制网络法治公开课、普法节目6期；13名干警在《法治日报》、《北京日报》发表署名文章16篇；创作原创歌曲《为你》，展现人民司法优良传统。</w:t>
      </w:r>
    </w:p>
    <w:p w:rsidR="00807E10" w:rsidRDefault="00DF7549">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4.服务对象</w:t>
      </w:r>
      <w:r>
        <w:rPr>
          <w:rFonts w:ascii="仿宋_GB2312" w:eastAsia="仿宋_GB2312" w:hAnsi="宋体" w:cs="宋体"/>
          <w:b/>
          <w:bCs/>
          <w:color w:val="000000"/>
          <w:kern w:val="0"/>
          <w:sz w:val="32"/>
          <w:szCs w:val="32"/>
        </w:rPr>
        <w:t>满意度</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lastRenderedPageBreak/>
        <w:t>我院2021年度工作报告获同级人民代表大会通过、赞成率为99.49%。</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我院推出“我为群众办实事”普法直通车，利用大数据“群众需求研判—普法精准供给”路径，开展活动26场，累计普法52万人次，市人大常委会副主任杜飞进带队到我院专题调研。“三问于民”办实事工作机制获人民法院报四版头条“我为群众办实事”专栏、北京电视台《北京新闻》大篇幅报道。我院获评北京市及西城区“七五”普法先进集体，一名同志获评市级、两名同志获评区级“七五”普法先进个人。</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我院依托12368热线、西城家园APP、诉讼服务中心、北京移动微法院等渠道，优化各项便民举措，推出诉讼服务一窗通办，一对一帮扶消除老年人所遇“数字鸿沟”、手语服务覆盖残疾人群体服务1323人次，群众获得感显著增强。践行诉讼事项“一站办、一次办、指尖办”十项承诺，发挥“群众需要、法官来到”党建品牌引领作用，切实解决群众急难愁盼，群众满意度提高至98.6%。</w:t>
      </w:r>
    </w:p>
    <w:p w:rsidR="00807E10" w:rsidRDefault="00DF7549">
      <w:pPr>
        <w:spacing w:line="56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807E10" w:rsidRDefault="00DF7549">
      <w:pPr>
        <w:spacing w:line="560" w:lineRule="exact"/>
        <w:ind w:leftChars="50" w:left="105" w:firstLineChars="150" w:firstLine="480"/>
        <w:rPr>
          <w:rFonts w:ascii="楷体_GB2312" w:eastAsia="楷体_GB2312"/>
          <w:sz w:val="32"/>
          <w:szCs w:val="32"/>
        </w:rPr>
      </w:pPr>
      <w:r>
        <w:rPr>
          <w:rFonts w:ascii="楷体_GB2312" w:eastAsia="楷体_GB2312" w:hint="eastAsia"/>
          <w:sz w:val="32"/>
          <w:szCs w:val="32"/>
        </w:rPr>
        <w:t>（一）财务管理</w:t>
      </w:r>
    </w:p>
    <w:p w:rsidR="00807E10" w:rsidRDefault="00DF7549">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807E10" w:rsidRDefault="00DF7549">
      <w:pPr>
        <w:spacing w:line="560" w:lineRule="exact"/>
        <w:ind w:firstLineChars="150" w:firstLine="480"/>
        <w:rPr>
          <w:rFonts w:ascii="仿宋_GB2312" w:eastAsia="仿宋_GB2312" w:hAnsi="仿宋_GB2312"/>
          <w:sz w:val="32"/>
          <w:szCs w:val="32"/>
        </w:rPr>
      </w:pPr>
      <w:r>
        <w:rPr>
          <w:rFonts w:ascii="仿宋_GB2312" w:eastAsia="仿宋_GB2312" w:hAnsi="仿宋_GB2312" w:hint="eastAsia"/>
          <w:sz w:val="32"/>
          <w:szCs w:val="32"/>
        </w:rPr>
        <w:t>我院根据上级相关政策和本院实际情况，相继制定并陆续修订各项规章制度，形成了包括《北京市西城区人民法院预算管理办法》、《北京市西城区人民法院对外签订合同管理办法》、《北京市西城区人民法院差旅费报销实施细则》</w:t>
      </w:r>
      <w:r>
        <w:rPr>
          <w:rFonts w:ascii="仿宋_GB2312" w:eastAsia="仿宋_GB2312" w:hAnsi="仿宋_GB2312" w:hint="eastAsia"/>
          <w:sz w:val="32"/>
          <w:szCs w:val="32"/>
        </w:rPr>
        <w:lastRenderedPageBreak/>
        <w:t>和《北京市西城区人民法院办公用品及低值易耗品管理规定》等一套完整的制度体系，已保证资金的使用范围、禁止事项、管理和监督事项开展落实，坚持用制度规范资金的管理使用。</w:t>
      </w:r>
    </w:p>
    <w:p w:rsidR="00807E10" w:rsidRDefault="00DF7549">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2.资金使用合规性</w:t>
      </w:r>
      <w:r>
        <w:rPr>
          <w:rFonts w:ascii="仿宋_GB2312" w:eastAsia="仿宋_GB2312" w:hAnsi="宋体" w:cs="宋体"/>
          <w:color w:val="000000"/>
          <w:kern w:val="0"/>
          <w:sz w:val="32"/>
          <w:szCs w:val="32"/>
        </w:rPr>
        <w:t>和安全性</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在2021年的财务工作中，我院严格执行财政相关政策法规，坚持“依法理财，厉行节约；保证重点，强化绩效；明确责任，控制风险”的原则，科学合理编制部门预算，严格年度预算执行，完整准确编制决算。严格经费收支管理，提高资金使用效益，严格按照各项专项资金使用用途安排该专项资金的支出使用，严格遵守“专款专用”原则，严格落实专项资金的申拨、使用审批手续，充分发挥资金使用效益。严格规范经费开支审批权限，做到层层审批、层层把关。</w:t>
      </w:r>
      <w:r>
        <w:rPr>
          <w:rFonts w:ascii="仿宋_GB2312" w:eastAsia="仿宋_GB2312" w:hAnsi="仿宋" w:hint="eastAsia"/>
          <w:sz w:val="32"/>
          <w:szCs w:val="32"/>
        </w:rPr>
        <w:t>单位的重大项目安排、大额度资金的使用，严格按照“三重一大”集体决策制度的相关规定，</w:t>
      </w:r>
      <w:r>
        <w:rPr>
          <w:rFonts w:ascii="仿宋_GB2312" w:eastAsia="仿宋_GB2312" w:hAnsi="仿宋_GB2312" w:hint="eastAsia"/>
          <w:sz w:val="32"/>
          <w:szCs w:val="32"/>
        </w:rPr>
        <w:t>报院党组研究通过，且形成文字纪要后方可执行。</w:t>
      </w:r>
      <w:r>
        <w:rPr>
          <w:rFonts w:ascii="仿宋_GB2312" w:eastAsia="仿宋_GB2312" w:hAnsi="仿宋_GB2312" w:hint="eastAsia"/>
          <w:bCs/>
          <w:sz w:val="32"/>
          <w:szCs w:val="32"/>
        </w:rPr>
        <w:t>各庭室提出事前经费申请，经审批通过后再开展相关业务。</w:t>
      </w:r>
      <w:r>
        <w:rPr>
          <w:rFonts w:ascii="仿宋_GB2312" w:eastAsia="仿宋_GB2312" w:hAnsi="仿宋" w:hint="eastAsia"/>
          <w:sz w:val="32"/>
          <w:szCs w:val="32"/>
        </w:rPr>
        <w:t>认真核实基础数据，实施预算绩效管理,</w:t>
      </w:r>
      <w:r>
        <w:rPr>
          <w:rFonts w:hint="eastAsia"/>
        </w:rPr>
        <w:t xml:space="preserve"> </w:t>
      </w:r>
      <w:r>
        <w:rPr>
          <w:rFonts w:ascii="仿宋_GB2312" w:eastAsia="仿宋_GB2312" w:hAnsi="仿宋" w:hint="eastAsia"/>
          <w:sz w:val="32"/>
          <w:szCs w:val="32"/>
        </w:rPr>
        <w:t>落实政府采购、政府购买服务和资金结算管理办法等财务管理要求使用资金。保证资金的使用合法、合规且安全完整、财务信息真实有效，</w:t>
      </w:r>
      <w:r>
        <w:rPr>
          <w:rFonts w:ascii="仿宋_GB2312" w:eastAsia="仿宋_GB2312" w:hAnsi="仿宋_GB2312" w:hint="eastAsia"/>
          <w:sz w:val="32"/>
          <w:szCs w:val="32"/>
        </w:rPr>
        <w:t>为审判、执行和其他工作任务的圆满完成提供安全、有效的经费保障。</w:t>
      </w:r>
    </w:p>
    <w:p w:rsidR="00807E10" w:rsidRDefault="00DF7549">
      <w:pPr>
        <w:spacing w:line="560" w:lineRule="exact"/>
        <w:ind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807E10" w:rsidRDefault="00DF7549">
      <w:pPr>
        <w:spacing w:line="560" w:lineRule="exact"/>
        <w:ind w:firstLineChars="150" w:firstLine="480"/>
        <w:rPr>
          <w:rFonts w:ascii="仿宋_GB2312" w:eastAsia="仿宋_GB2312" w:hAnsi="仿宋_GB2312"/>
          <w:sz w:val="32"/>
          <w:szCs w:val="32"/>
        </w:rPr>
      </w:pPr>
      <w:r>
        <w:rPr>
          <w:rFonts w:ascii="仿宋_GB2312" w:eastAsia="仿宋_GB2312" w:hAnsi="仿宋" w:cs="仿宋" w:hint="eastAsia"/>
          <w:bCs/>
          <w:color w:val="000000"/>
          <w:sz w:val="32"/>
          <w:szCs w:val="32"/>
        </w:rPr>
        <w:t>我院保证本报告</w:t>
      </w:r>
      <w:r>
        <w:rPr>
          <w:rFonts w:ascii="仿宋_GB2312" w:eastAsia="仿宋_GB2312" w:hAnsi="仿宋_GB2312" w:hint="eastAsia"/>
          <w:sz w:val="32"/>
          <w:szCs w:val="32"/>
        </w:rPr>
        <w:t>的会计基础数据信息和会计信息资料真实、完整、准确。该报告依据</w:t>
      </w:r>
      <w:r>
        <w:rPr>
          <w:rFonts w:ascii="仿宋_GB2312" w:eastAsia="仿宋_GB2312" w:hAnsi="仿宋" w:cs="仿宋" w:hint="eastAsia"/>
          <w:bCs/>
          <w:color w:val="000000"/>
          <w:sz w:val="32"/>
          <w:szCs w:val="32"/>
        </w:rPr>
        <w:t>我院登记完整、核对无误的会计账簿和其他有关会计核算资料编制，账证相符、账实相符、</w:t>
      </w:r>
      <w:r>
        <w:rPr>
          <w:rFonts w:ascii="仿宋_GB2312" w:eastAsia="仿宋_GB2312" w:hAnsi="仿宋" w:cs="仿宋" w:hint="eastAsia"/>
          <w:bCs/>
          <w:color w:val="000000"/>
          <w:sz w:val="32"/>
          <w:szCs w:val="32"/>
        </w:rPr>
        <w:lastRenderedPageBreak/>
        <w:t>账表相符、表表相符，真实、准确、完整地反映了我院预算执行结果和财务状况。</w:t>
      </w:r>
    </w:p>
    <w:p w:rsidR="00807E10" w:rsidRDefault="00DF7549">
      <w:pPr>
        <w:spacing w:line="560" w:lineRule="exact"/>
        <w:ind w:firstLineChars="150" w:firstLine="480"/>
        <w:rPr>
          <w:rFonts w:ascii="仿宋_GB2312" w:eastAsia="仿宋_GB2312" w:hAnsi="仿宋_GB2312"/>
          <w:sz w:val="32"/>
          <w:szCs w:val="32"/>
        </w:rPr>
      </w:pPr>
      <w:r>
        <w:rPr>
          <w:rFonts w:ascii="仿宋_GB2312" w:eastAsia="仿宋_GB2312" w:hAnsi="仿宋_GB2312" w:hint="eastAsia"/>
          <w:sz w:val="32"/>
          <w:szCs w:val="32"/>
        </w:rPr>
        <w:t>我院的财务管理工作，贯穿于法院日常工作，是确保司法公平公正公开的基础保障，在财务管理上严格遵守会计规章制度，明确“收支两条线”的管理办法，配备财务人员，保障了财务工作的开展。在</w:t>
      </w:r>
      <w:r>
        <w:rPr>
          <w:rFonts w:ascii="仿宋_GB2312" w:eastAsia="仿宋_GB2312" w:hAnsi="仿宋_GB2312" w:hint="eastAsia"/>
          <w:sz w:val="32"/>
          <w:szCs w:val="32"/>
          <w:lang w:eastAsia="zh-Hans"/>
        </w:rPr>
        <w:t>经费</w:t>
      </w:r>
      <w:r>
        <w:rPr>
          <w:rFonts w:ascii="仿宋_GB2312" w:eastAsia="仿宋_GB2312" w:hAnsi="仿宋_GB2312" w:hint="eastAsia"/>
          <w:sz w:val="32"/>
          <w:szCs w:val="32"/>
        </w:rPr>
        <w:t>日常使用</w:t>
      </w:r>
      <w:r>
        <w:rPr>
          <w:rFonts w:ascii="仿宋_GB2312" w:eastAsia="仿宋_GB2312" w:hAnsi="仿宋_GB2312" w:hint="eastAsia"/>
          <w:sz w:val="32"/>
          <w:szCs w:val="32"/>
          <w:lang w:eastAsia="zh-Hans"/>
        </w:rPr>
        <w:t>管理</w:t>
      </w:r>
      <w:r>
        <w:rPr>
          <w:rFonts w:ascii="仿宋_GB2312" w:eastAsia="仿宋_GB2312" w:hAnsi="仿宋_GB2312" w:hint="eastAsia"/>
          <w:sz w:val="32"/>
          <w:szCs w:val="32"/>
        </w:rPr>
        <w:t>中，严格执行财务管理制度和会计核算制度。加强内外监督，本单位纪检</w:t>
      </w:r>
      <w:r>
        <w:rPr>
          <w:rFonts w:ascii="仿宋_GB2312" w:eastAsia="仿宋_GB2312" w:hAnsi="仿宋_GB2312" w:hint="eastAsia"/>
          <w:sz w:val="32"/>
          <w:szCs w:val="32"/>
          <w:lang w:eastAsia="zh-Hans"/>
        </w:rPr>
        <w:t>及内审</w:t>
      </w:r>
      <w:r>
        <w:rPr>
          <w:rFonts w:ascii="仿宋_GB2312" w:eastAsia="仿宋_GB2312" w:hAnsi="仿宋_GB2312" w:hint="eastAsia"/>
          <w:sz w:val="32"/>
          <w:szCs w:val="32"/>
        </w:rPr>
        <w:t>部门定期对专项资金规范使用管理情况的监督与指导。同时积极接受上级部门监督。</w:t>
      </w:r>
    </w:p>
    <w:p w:rsidR="00807E10" w:rsidRDefault="00DF7549">
      <w:pPr>
        <w:spacing w:line="560" w:lineRule="exact"/>
        <w:ind w:leftChars="50" w:left="105" w:firstLineChars="150" w:firstLine="480"/>
        <w:rPr>
          <w:rFonts w:ascii="楷体_GB2312" w:eastAsia="楷体_GB2312"/>
          <w:sz w:val="32"/>
          <w:szCs w:val="32"/>
        </w:rPr>
      </w:pPr>
      <w:r>
        <w:rPr>
          <w:rFonts w:ascii="楷体_GB2312" w:eastAsia="楷体_GB2312" w:hint="eastAsia"/>
          <w:sz w:val="32"/>
          <w:szCs w:val="32"/>
        </w:rPr>
        <w:t>（二）资产管理</w:t>
      </w:r>
    </w:p>
    <w:p w:rsidR="00807E10" w:rsidRDefault="00DF7549">
      <w:pPr>
        <w:pStyle w:val="BIAR2"/>
        <w:spacing w:line="560" w:lineRule="exact"/>
        <w:ind w:firstLine="645"/>
        <w:rPr>
          <w:rFonts w:ascii="仿宋_GB2312" w:eastAsia="仿宋_GB2312" w:hAnsi="仿宋"/>
          <w:b w:val="0"/>
          <w:sz w:val="32"/>
          <w:szCs w:val="32"/>
        </w:rPr>
      </w:pPr>
      <w:r>
        <w:rPr>
          <w:rFonts w:ascii="仿宋_GB2312" w:eastAsia="仿宋_GB2312" w:hAnsi="仿宋" w:hint="eastAsia"/>
          <w:b w:val="0"/>
          <w:sz w:val="32"/>
          <w:szCs w:val="32"/>
        </w:rPr>
        <w:t>我院资产保存完整，使用合规，配置合理，处置规范，总体使用效率高。严格依据《固定资产管理办法》、《北京市西城区人民法院办公用品及低值易耗品管理规定》进行资产的购置、登记、领用、盘点、报废处置等。</w:t>
      </w:r>
    </w:p>
    <w:p w:rsidR="00807E10" w:rsidRDefault="00DF7549">
      <w:pPr>
        <w:spacing w:line="560" w:lineRule="exact"/>
        <w:ind w:leftChars="50" w:left="105" w:firstLineChars="150" w:firstLine="480"/>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rsidR="00807E10" w:rsidRDefault="00DF7549">
      <w:pPr>
        <w:spacing w:line="560" w:lineRule="exact"/>
        <w:ind w:firstLineChars="200" w:firstLine="640"/>
        <w:rPr>
          <w:rFonts w:ascii="仿宋_GB2312" w:eastAsia="仿宋_GB2312" w:hAnsi="仿宋_GB2312"/>
          <w:sz w:val="32"/>
          <w:szCs w:val="32"/>
        </w:rPr>
      </w:pPr>
      <w:r>
        <w:rPr>
          <w:rFonts w:ascii="仿宋_GB2312" w:eastAsia="仿宋_GB2312" w:hAnsi="仿宋" w:hint="eastAsia"/>
          <w:sz w:val="32"/>
          <w:szCs w:val="32"/>
        </w:rPr>
        <w:t>我院持续开展预算绩效管理工作，按照《中共北京市委 北京市人民政府关于全面实施预算绩效管理的实施意见》的总体要求，积极作为、改革创新，着力提升预算绩效管理的有效性、针对性，开展预算绩效管理工作，持续做好成本管控和绩效管理，坚决压减低效无效支出，加强财政绩效管理，促进本单位预算绩效管理能力水平均衡发展。</w:t>
      </w:r>
      <w:r>
        <w:rPr>
          <w:rFonts w:ascii="仿宋_GB2312" w:eastAsia="仿宋_GB2312" w:hAnsi="仿宋_GB2312" w:hint="eastAsia"/>
          <w:sz w:val="32"/>
          <w:szCs w:val="32"/>
        </w:rPr>
        <w:t>我院高度重视绩效自评结果的应用工作，积极探索和建立一套与预算管理相结合、多渠道应用评价结果的有效机制。</w:t>
      </w:r>
    </w:p>
    <w:p w:rsidR="00807E10" w:rsidRDefault="00DF7549">
      <w:pPr>
        <w:pBdr>
          <w:bottom w:val="single" w:sz="4" w:space="28" w:color="FFFFFF"/>
        </w:pBdr>
        <w:spacing w:line="560" w:lineRule="exact"/>
        <w:ind w:firstLineChars="200" w:firstLine="640"/>
        <w:rPr>
          <w:rFonts w:ascii="仿宋_GB2312" w:eastAsia="仿宋_GB2312"/>
          <w:sz w:val="32"/>
          <w:szCs w:val="32"/>
        </w:rPr>
      </w:pPr>
      <w:r>
        <w:rPr>
          <w:rFonts w:ascii="仿宋_GB2312" w:eastAsia="仿宋_GB2312" w:hint="eastAsia"/>
          <w:sz w:val="32"/>
          <w:szCs w:val="32"/>
        </w:rPr>
        <w:t>2022年，北京市西城区人民法院对2021年度部门项目</w:t>
      </w:r>
      <w:r>
        <w:rPr>
          <w:rFonts w:ascii="仿宋_GB2312" w:eastAsia="仿宋_GB2312" w:hint="eastAsia"/>
          <w:sz w:val="32"/>
          <w:szCs w:val="32"/>
        </w:rPr>
        <w:lastRenderedPageBreak/>
        <w:t>支出实施了绩效评价，评价项目</w:t>
      </w:r>
      <w:r>
        <w:rPr>
          <w:rFonts w:ascii="仿宋_GB2312" w:eastAsia="仿宋_GB2312"/>
          <w:sz w:val="32"/>
          <w:szCs w:val="32"/>
        </w:rPr>
        <w:t>11</w:t>
      </w:r>
      <w:r>
        <w:rPr>
          <w:rFonts w:ascii="仿宋_GB2312" w:eastAsia="仿宋_GB2312" w:hint="eastAsia"/>
          <w:sz w:val="32"/>
          <w:szCs w:val="32"/>
        </w:rPr>
        <w:t>个，占部门</w:t>
      </w:r>
      <w:r>
        <w:rPr>
          <w:rFonts w:ascii="仿宋_GB2312" w:eastAsia="仿宋_GB2312" w:hint="eastAsia"/>
          <w:sz w:val="32"/>
          <w:szCs w:val="32"/>
          <w:lang w:eastAsia="zh-Hans"/>
        </w:rPr>
        <w:t>本年度</w:t>
      </w:r>
      <w:r>
        <w:rPr>
          <w:rFonts w:ascii="仿宋_GB2312" w:eastAsia="仿宋_GB2312" w:hint="eastAsia"/>
          <w:sz w:val="32"/>
          <w:szCs w:val="32"/>
        </w:rPr>
        <w:t>项目总数的100%，涉及金额</w:t>
      </w:r>
      <w:r>
        <w:rPr>
          <w:rFonts w:ascii="仿宋_GB2312" w:eastAsia="仿宋_GB2312"/>
          <w:sz w:val="32"/>
          <w:szCs w:val="32"/>
        </w:rPr>
        <w:t>7</w:t>
      </w:r>
      <w:r>
        <w:rPr>
          <w:rFonts w:ascii="仿宋_GB2312" w:eastAsia="仿宋_GB2312" w:hint="eastAsia"/>
          <w:sz w:val="32"/>
          <w:szCs w:val="32"/>
        </w:rPr>
        <w:t>,</w:t>
      </w:r>
      <w:r>
        <w:rPr>
          <w:rFonts w:ascii="仿宋_GB2312" w:eastAsia="仿宋_GB2312"/>
          <w:sz w:val="32"/>
          <w:szCs w:val="32"/>
        </w:rPr>
        <w:t>629.12</w:t>
      </w:r>
      <w:r>
        <w:rPr>
          <w:rFonts w:ascii="仿宋_GB2312" w:eastAsia="仿宋_GB2312" w:hint="eastAsia"/>
          <w:sz w:val="32"/>
          <w:szCs w:val="32"/>
        </w:rPr>
        <w:t xml:space="preserve"> 万元。其中，普通评价项目1个，涉及金额</w:t>
      </w:r>
      <w:r>
        <w:rPr>
          <w:rFonts w:ascii="仿宋_GB2312" w:eastAsia="仿宋_GB2312"/>
          <w:sz w:val="32"/>
          <w:szCs w:val="32"/>
        </w:rPr>
        <w:t>499.09</w:t>
      </w:r>
      <w:r>
        <w:rPr>
          <w:rFonts w:ascii="仿宋_GB2312" w:eastAsia="仿宋_GB2312" w:hint="eastAsia"/>
          <w:sz w:val="32"/>
          <w:szCs w:val="32"/>
        </w:rPr>
        <w:t>万元，评价得分在80（含）-90分的1个。单位自评项目</w:t>
      </w:r>
      <w:r>
        <w:rPr>
          <w:rFonts w:ascii="仿宋_GB2312" w:eastAsia="仿宋_GB2312"/>
          <w:sz w:val="32"/>
          <w:szCs w:val="32"/>
        </w:rPr>
        <w:t>10</w:t>
      </w:r>
      <w:r>
        <w:rPr>
          <w:rFonts w:ascii="仿宋_GB2312" w:eastAsia="仿宋_GB2312" w:hint="eastAsia"/>
          <w:sz w:val="32"/>
          <w:szCs w:val="32"/>
        </w:rPr>
        <w:t>个，涉及金额</w:t>
      </w:r>
      <w:r>
        <w:rPr>
          <w:rFonts w:ascii="仿宋_GB2312" w:eastAsia="仿宋_GB2312"/>
          <w:sz w:val="32"/>
          <w:szCs w:val="32"/>
        </w:rPr>
        <w:t>7130.03</w:t>
      </w:r>
      <w:r>
        <w:rPr>
          <w:rFonts w:ascii="仿宋_GB2312" w:eastAsia="仿宋_GB2312" w:hint="eastAsia"/>
          <w:sz w:val="32"/>
          <w:szCs w:val="32"/>
        </w:rPr>
        <w:t xml:space="preserve"> 万元，评价得分在90（含）-100分的</w:t>
      </w:r>
      <w:r>
        <w:rPr>
          <w:rFonts w:ascii="仿宋_GB2312" w:eastAsia="仿宋_GB2312"/>
          <w:sz w:val="32"/>
          <w:szCs w:val="32"/>
        </w:rPr>
        <w:t>9</w:t>
      </w:r>
      <w:r>
        <w:rPr>
          <w:rFonts w:ascii="仿宋_GB2312" w:eastAsia="仿宋_GB2312" w:hint="eastAsia"/>
          <w:sz w:val="32"/>
          <w:szCs w:val="32"/>
        </w:rPr>
        <w:t>个</w:t>
      </w:r>
      <w:r>
        <w:rPr>
          <w:rFonts w:ascii="仿宋_GB2312" w:eastAsia="仿宋_GB2312" w:hint="eastAsia"/>
          <w:sz w:val="32"/>
          <w:szCs w:val="32"/>
          <w:lang w:eastAsia="zh-Hans"/>
        </w:rPr>
        <w:t>，</w:t>
      </w:r>
      <w:r>
        <w:rPr>
          <w:rFonts w:ascii="仿宋_GB2312" w:eastAsia="仿宋_GB2312" w:hint="eastAsia"/>
          <w:sz w:val="32"/>
          <w:szCs w:val="32"/>
        </w:rPr>
        <w:t>评价得分在80（含）-90分的1个。</w:t>
      </w:r>
    </w:p>
    <w:p w:rsidR="00807E10" w:rsidRDefault="00DF7549">
      <w:pPr>
        <w:pBdr>
          <w:bottom w:val="single" w:sz="4" w:space="28" w:color="FFFFFF"/>
        </w:pBdr>
        <w:spacing w:line="560" w:lineRule="exact"/>
        <w:ind w:firstLineChars="200" w:firstLine="640"/>
        <w:rPr>
          <w:rFonts w:ascii="仿宋_GB2312" w:eastAsia="仿宋_GB2312" w:hAnsi="仿宋"/>
          <w:sz w:val="32"/>
          <w:szCs w:val="32"/>
        </w:rPr>
      </w:pPr>
      <w:r>
        <w:rPr>
          <w:rFonts w:ascii="仿宋_GB2312" w:eastAsia="仿宋_GB2312" w:hint="eastAsia"/>
          <w:sz w:val="32"/>
          <w:szCs w:val="32"/>
        </w:rPr>
        <w:t>我院在预算绩效管理主体责任的落实情况及工作开展情况上，积极稳妥且富有成效，在进一步推动法院在绩效指标设计上，能较准确体现项目的实际决策、产出及效益情况，扩大定量指标的设置，落实成本控制不超预算，绩效管理较上一年有明显进步。</w:t>
      </w:r>
    </w:p>
    <w:p w:rsidR="00807E10" w:rsidRDefault="00DF7549">
      <w:pPr>
        <w:pBdr>
          <w:bottom w:val="single" w:sz="4" w:space="28" w:color="FFFFFF"/>
        </w:pBdr>
        <w:spacing w:line="560" w:lineRule="exact"/>
        <w:ind w:firstLineChars="200" w:firstLine="640"/>
        <w:rPr>
          <w:rFonts w:ascii="楷体_GB2312" w:eastAsia="楷体_GB2312"/>
          <w:sz w:val="32"/>
          <w:szCs w:val="32"/>
        </w:rPr>
      </w:pPr>
      <w:r>
        <w:rPr>
          <w:rFonts w:ascii="楷体_GB2312" w:eastAsia="楷体_GB2312" w:hint="eastAsia"/>
          <w:sz w:val="32"/>
          <w:szCs w:val="32"/>
        </w:rPr>
        <w:t>（四）结转结余率</w:t>
      </w:r>
    </w:p>
    <w:p w:rsidR="00807E10" w:rsidRDefault="00DF7549">
      <w:pPr>
        <w:pBdr>
          <w:bottom w:val="single" w:sz="4" w:space="28" w:color="FFFFFF"/>
        </w:pBdr>
        <w:spacing w:line="560" w:lineRule="exact"/>
        <w:ind w:firstLineChars="200" w:firstLine="640"/>
        <w:rPr>
          <w:rFonts w:ascii="仿宋_GB2312" w:eastAsia="仿宋_GB2312"/>
          <w:sz w:val="32"/>
          <w:szCs w:val="32"/>
        </w:rPr>
      </w:pPr>
      <w:r>
        <w:rPr>
          <w:rFonts w:ascii="仿宋_GB2312" w:eastAsia="仿宋_GB2312" w:hint="eastAsia"/>
          <w:sz w:val="32"/>
          <w:szCs w:val="32"/>
        </w:rPr>
        <w:t>我院2021年结转结余率是3.01%。</w:t>
      </w:r>
    </w:p>
    <w:p w:rsidR="00807E10" w:rsidRDefault="00DF7549">
      <w:pPr>
        <w:pBdr>
          <w:bottom w:val="single" w:sz="4" w:space="28" w:color="FFFFFF"/>
        </w:pBdr>
        <w:spacing w:line="560" w:lineRule="exact"/>
        <w:ind w:firstLineChars="200" w:firstLine="64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807E10" w:rsidRPr="00454D9F" w:rsidRDefault="00DF7549" w:rsidP="00454D9F">
      <w:pPr>
        <w:pBdr>
          <w:bottom w:val="single" w:sz="4" w:space="28" w:color="FFFFFF"/>
        </w:pBdr>
        <w:spacing w:line="560" w:lineRule="exact"/>
        <w:ind w:firstLineChars="200" w:firstLine="640"/>
        <w:rPr>
          <w:rFonts w:ascii="楷体_GB2312" w:eastAsia="楷体_GB2312"/>
          <w:sz w:val="32"/>
          <w:szCs w:val="32"/>
        </w:rPr>
      </w:pPr>
      <w:r>
        <w:rPr>
          <w:rFonts w:ascii="仿宋_GB2312" w:eastAsia="仿宋_GB2312" w:hint="eastAsia"/>
          <w:sz w:val="32"/>
          <w:szCs w:val="32"/>
        </w:rPr>
        <w:t>我院2021年部门预决算差异率是</w:t>
      </w:r>
      <w:r w:rsidR="00A459A3" w:rsidRPr="00A459A3">
        <w:rPr>
          <w:rFonts w:ascii="仿宋_GB2312" w:eastAsia="仿宋_GB2312"/>
          <w:sz w:val="32"/>
          <w:szCs w:val="32"/>
        </w:rPr>
        <w:t>1.</w:t>
      </w:r>
      <w:r w:rsidR="00A8051C">
        <w:rPr>
          <w:rFonts w:ascii="仿宋_GB2312" w:eastAsia="仿宋_GB2312"/>
          <w:sz w:val="32"/>
          <w:szCs w:val="32"/>
        </w:rPr>
        <w:t>67</w:t>
      </w:r>
      <w:r w:rsidR="00A459A3" w:rsidRPr="00A459A3">
        <w:rPr>
          <w:rFonts w:ascii="仿宋_GB2312" w:eastAsia="仿宋_GB2312"/>
          <w:sz w:val="32"/>
          <w:szCs w:val="32"/>
        </w:rPr>
        <w:t>%</w:t>
      </w:r>
      <w:r>
        <w:rPr>
          <w:rFonts w:ascii="仿宋_GB2312" w:eastAsia="仿宋_GB2312" w:hint="eastAsia"/>
          <w:sz w:val="32"/>
          <w:szCs w:val="32"/>
        </w:rPr>
        <w:t>，低于市级平均差异率（28.3%）。我部门严格执行市财政批复的部门预算支出，未经财政部门批准，不得随意进行预算调整，杜绝无预算支出，不存在截留、挤占、挪用情况，</w:t>
      </w:r>
      <w:r>
        <w:rPr>
          <w:rFonts w:ascii="仿宋_GB2312" w:eastAsia="仿宋_GB2312" w:hAnsi="仿宋_GB2312" w:hint="eastAsia"/>
          <w:sz w:val="32"/>
          <w:szCs w:val="32"/>
        </w:rPr>
        <w:t>确保各项工作顺利完成。</w:t>
      </w:r>
    </w:p>
    <w:p w:rsidR="00807E10" w:rsidRDefault="00DF7549">
      <w:pPr>
        <w:pBdr>
          <w:bottom w:val="single" w:sz="4" w:space="28" w:color="FFFFFF"/>
        </w:pBdr>
        <w:spacing w:line="560" w:lineRule="exact"/>
        <w:ind w:firstLineChars="200" w:firstLine="640"/>
        <w:rPr>
          <w:rFonts w:ascii="仿宋_GB2312" w:eastAsia="仿宋_GB2312"/>
          <w:sz w:val="32"/>
          <w:szCs w:val="32"/>
        </w:rPr>
      </w:pPr>
      <w:r>
        <w:rPr>
          <w:rFonts w:ascii="黑体" w:eastAsia="黑体" w:hAnsi="黑体" w:cs="宋体" w:hint="eastAsia"/>
          <w:color w:val="000000"/>
          <w:kern w:val="0"/>
          <w:sz w:val="32"/>
          <w:szCs w:val="32"/>
        </w:rPr>
        <w:t>五、总体</w:t>
      </w:r>
      <w:r>
        <w:rPr>
          <w:rFonts w:ascii="黑体" w:eastAsia="黑体" w:hAnsi="黑体" w:cs="宋体"/>
          <w:color w:val="000000"/>
          <w:kern w:val="0"/>
          <w:sz w:val="32"/>
          <w:szCs w:val="32"/>
        </w:rPr>
        <w:t>评价结论</w:t>
      </w:r>
    </w:p>
    <w:p w:rsidR="00807E10" w:rsidRDefault="00DF7549">
      <w:pPr>
        <w:pBdr>
          <w:bottom w:val="single" w:sz="4" w:space="28" w:color="FFFFFF"/>
        </w:pBdr>
        <w:spacing w:line="560" w:lineRule="exact"/>
        <w:ind w:firstLineChars="150" w:firstLine="48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807E10" w:rsidRDefault="00DF7549">
      <w:pPr>
        <w:pBdr>
          <w:bottom w:val="single" w:sz="4" w:space="28" w:color="FFFFFF"/>
        </w:pBdr>
        <w:spacing w:line="560" w:lineRule="exact"/>
        <w:ind w:firstLineChars="200" w:firstLine="640"/>
        <w:rPr>
          <w:rFonts w:ascii="仿宋_GB2312" w:eastAsia="仿宋_GB2312"/>
          <w:sz w:val="32"/>
          <w:szCs w:val="32"/>
        </w:rPr>
      </w:pPr>
      <w:r>
        <w:rPr>
          <w:rFonts w:ascii="仿宋_GB2312" w:eastAsia="仿宋_GB2312" w:hint="eastAsia"/>
          <w:sz w:val="32"/>
          <w:szCs w:val="32"/>
        </w:rPr>
        <w:t>我院2021年部门整体绩效评价得分是</w:t>
      </w:r>
      <w:r>
        <w:rPr>
          <w:rFonts w:ascii="仿宋_GB2312" w:eastAsia="仿宋_GB2312"/>
          <w:sz w:val="32"/>
          <w:szCs w:val="32"/>
        </w:rPr>
        <w:t>94.2</w:t>
      </w:r>
      <w:r>
        <w:rPr>
          <w:rFonts w:ascii="仿宋_GB2312" w:eastAsia="仿宋_GB2312" w:hint="eastAsia"/>
          <w:sz w:val="32"/>
          <w:szCs w:val="32"/>
        </w:rPr>
        <w:t>分。</w:t>
      </w:r>
    </w:p>
    <w:p w:rsidR="00807E10" w:rsidRDefault="00DF7549">
      <w:pPr>
        <w:pBdr>
          <w:bottom w:val="single" w:sz="4" w:space="28" w:color="FFFFFF"/>
        </w:pBdr>
        <w:spacing w:line="560" w:lineRule="exact"/>
        <w:ind w:firstLineChars="150" w:firstLine="480"/>
        <w:rPr>
          <w:rFonts w:ascii="楷体_GB2312" w:eastAsia="楷体_GB2312"/>
          <w:sz w:val="32"/>
          <w:szCs w:val="32"/>
        </w:rPr>
      </w:pPr>
      <w:r>
        <w:rPr>
          <w:rFonts w:ascii="楷体_GB2312" w:eastAsia="楷体_GB2312" w:hint="eastAsia"/>
          <w:sz w:val="32"/>
          <w:szCs w:val="32"/>
        </w:rPr>
        <w:t>（二）存在的问题及原因分析</w:t>
      </w:r>
    </w:p>
    <w:p w:rsidR="00807E10" w:rsidRDefault="00DF7549">
      <w:pPr>
        <w:pBdr>
          <w:bottom w:val="single" w:sz="4" w:space="28" w:color="FFFFFF"/>
        </w:pBdr>
        <w:spacing w:line="560" w:lineRule="exact"/>
        <w:ind w:firstLineChars="150" w:firstLine="480"/>
        <w:rPr>
          <w:rFonts w:ascii="楷体_GB2312" w:eastAsia="楷体_GB2312"/>
          <w:sz w:val="32"/>
          <w:szCs w:val="32"/>
        </w:rPr>
      </w:pPr>
      <w:r>
        <w:rPr>
          <w:rFonts w:ascii="楷体_GB2312" w:eastAsia="楷体_GB2312" w:hint="eastAsia"/>
          <w:sz w:val="32"/>
          <w:szCs w:val="32"/>
        </w:rPr>
        <w:lastRenderedPageBreak/>
        <w:t>1、2021年度我院预算执行率偏低。</w:t>
      </w:r>
    </w:p>
    <w:p w:rsidR="00807E10" w:rsidRDefault="00DF7549">
      <w:pPr>
        <w:pBdr>
          <w:bottom w:val="single" w:sz="4" w:space="28" w:color="FFFFFF"/>
        </w:pBdr>
        <w:spacing w:line="560" w:lineRule="exact"/>
        <w:ind w:firstLineChars="150" w:firstLine="480"/>
        <w:rPr>
          <w:rFonts w:ascii="仿宋_GB2312" w:eastAsia="仿宋_GB2312"/>
          <w:sz w:val="32"/>
          <w:szCs w:val="32"/>
        </w:rPr>
      </w:pPr>
      <w:r>
        <w:rPr>
          <w:rFonts w:ascii="仿宋_GB2312" w:eastAsia="仿宋_GB2312" w:hint="eastAsia"/>
          <w:sz w:val="32"/>
          <w:szCs w:val="32"/>
        </w:rPr>
        <w:t>我院2021年调整后预算数为</w:t>
      </w:r>
      <w:r>
        <w:rPr>
          <w:rFonts w:ascii="仿宋_GB2312" w:eastAsia="仿宋_GB2312"/>
          <w:sz w:val="32"/>
          <w:szCs w:val="32"/>
        </w:rPr>
        <w:t>33,378.79</w:t>
      </w:r>
      <w:r>
        <w:rPr>
          <w:rFonts w:ascii="仿宋_GB2312" w:eastAsia="仿宋_GB2312" w:hint="eastAsia"/>
          <w:sz w:val="32"/>
          <w:szCs w:val="32"/>
        </w:rPr>
        <w:t>万元，决算数为</w:t>
      </w:r>
      <w:r>
        <w:rPr>
          <w:rFonts w:ascii="仿宋_GB2312" w:eastAsia="仿宋_GB2312"/>
          <w:sz w:val="32"/>
          <w:szCs w:val="32"/>
        </w:rPr>
        <w:t>32,373.79</w:t>
      </w:r>
      <w:r>
        <w:rPr>
          <w:rFonts w:ascii="仿宋_GB2312" w:eastAsia="仿宋_GB2312" w:hint="eastAsia"/>
          <w:sz w:val="32"/>
          <w:szCs w:val="32"/>
        </w:rPr>
        <w:t xml:space="preserve">万元，预算执行率为 </w:t>
      </w:r>
      <w:r>
        <w:rPr>
          <w:rFonts w:ascii="仿宋_GB2312" w:eastAsia="仿宋_GB2312"/>
          <w:sz w:val="32"/>
          <w:szCs w:val="32"/>
        </w:rPr>
        <w:t>96.99%</w:t>
      </w:r>
      <w:r>
        <w:rPr>
          <w:rFonts w:ascii="仿宋_GB2312" w:eastAsia="仿宋_GB2312" w:hint="eastAsia"/>
          <w:sz w:val="32"/>
          <w:szCs w:val="32"/>
        </w:rPr>
        <w:t>，其中基本支出预算执行率为</w:t>
      </w:r>
      <w:r>
        <w:rPr>
          <w:rFonts w:ascii="仿宋_GB2312" w:eastAsia="仿宋_GB2312"/>
          <w:sz w:val="32"/>
          <w:szCs w:val="32"/>
        </w:rPr>
        <w:t>98.13%</w:t>
      </w:r>
      <w:r>
        <w:rPr>
          <w:rFonts w:ascii="仿宋_GB2312" w:eastAsia="仿宋_GB2312" w:hint="eastAsia"/>
          <w:sz w:val="32"/>
          <w:szCs w:val="32"/>
        </w:rPr>
        <w:t>，项目支出预算执行率</w:t>
      </w:r>
      <w:r>
        <w:rPr>
          <w:rFonts w:ascii="仿宋_GB2312" w:eastAsia="仿宋_GB2312"/>
          <w:sz w:val="32"/>
          <w:szCs w:val="32"/>
        </w:rPr>
        <w:t>93.49%</w:t>
      </w:r>
      <w:r>
        <w:rPr>
          <w:rFonts w:ascii="仿宋_GB2312" w:eastAsia="仿宋_GB2312" w:hint="eastAsia"/>
          <w:sz w:val="32"/>
          <w:szCs w:val="32"/>
        </w:rPr>
        <w:t>。2</w:t>
      </w:r>
      <w:r>
        <w:rPr>
          <w:rFonts w:ascii="仿宋_GB2312" w:eastAsia="仿宋_GB2312"/>
          <w:sz w:val="32"/>
          <w:szCs w:val="32"/>
        </w:rPr>
        <w:t>021</w:t>
      </w:r>
      <w:r>
        <w:rPr>
          <w:rFonts w:ascii="仿宋_GB2312" w:eastAsia="仿宋_GB2312" w:hint="eastAsia"/>
          <w:sz w:val="32"/>
          <w:szCs w:val="32"/>
        </w:rPr>
        <w:t>年我院部分项目支出预算执行率偏低，如：审判法庭维修</w:t>
      </w:r>
      <w:r>
        <w:rPr>
          <w:rFonts w:ascii="仿宋_GB2312" w:eastAsia="仿宋_GB2312" w:hint="eastAsia"/>
          <w:sz w:val="32"/>
          <w:szCs w:val="32"/>
          <w:lang w:eastAsia="zh-Hans"/>
        </w:rPr>
        <w:t>项目</w:t>
      </w:r>
      <w:r>
        <w:rPr>
          <w:rFonts w:ascii="仿宋_GB2312" w:eastAsia="仿宋_GB2312" w:hint="eastAsia"/>
          <w:sz w:val="32"/>
          <w:szCs w:val="32"/>
        </w:rPr>
        <w:t>预算执行率</w:t>
      </w:r>
      <w:r>
        <w:rPr>
          <w:rFonts w:ascii="仿宋_GB2312" w:eastAsia="仿宋_GB2312" w:hint="eastAsia"/>
          <w:sz w:val="32"/>
          <w:szCs w:val="32"/>
          <w:lang w:eastAsia="zh-Hans"/>
        </w:rPr>
        <w:t>为</w:t>
      </w:r>
      <w:r>
        <w:rPr>
          <w:rFonts w:ascii="仿宋_GB2312" w:eastAsia="仿宋_GB2312" w:hint="eastAsia"/>
          <w:sz w:val="32"/>
          <w:szCs w:val="32"/>
        </w:rPr>
        <w:t>76.31%</w:t>
      </w:r>
      <w:r>
        <w:rPr>
          <w:rFonts w:ascii="仿宋_GB2312" w:eastAsia="仿宋_GB2312" w:hint="eastAsia"/>
          <w:sz w:val="32"/>
          <w:szCs w:val="32"/>
          <w:lang w:eastAsia="zh-Hans"/>
        </w:rPr>
        <w:t>。</w:t>
      </w:r>
      <w:r>
        <w:rPr>
          <w:rFonts w:ascii="仿宋_GB2312" w:eastAsia="仿宋_GB2312"/>
          <w:sz w:val="32"/>
          <w:szCs w:val="32"/>
        </w:rPr>
        <w:tab/>
      </w:r>
    </w:p>
    <w:p w:rsidR="00807E10" w:rsidRDefault="00DF7549">
      <w:pPr>
        <w:pBdr>
          <w:bottom w:val="single" w:sz="4" w:space="28" w:color="FFFFFF"/>
        </w:pBdr>
        <w:spacing w:line="560" w:lineRule="exact"/>
        <w:ind w:firstLineChars="150" w:firstLine="480"/>
        <w:rPr>
          <w:rFonts w:ascii="楷体_GB2312" w:eastAsia="楷体_GB2312"/>
          <w:sz w:val="32"/>
          <w:szCs w:val="32"/>
          <w:lang w:eastAsia="zh-Hans"/>
        </w:rPr>
      </w:pPr>
      <w:r>
        <w:rPr>
          <w:rFonts w:ascii="楷体_GB2312" w:eastAsia="楷体_GB2312"/>
          <w:sz w:val="32"/>
          <w:szCs w:val="32"/>
          <w:lang w:eastAsia="zh-Hans"/>
        </w:rPr>
        <w:t>2</w:t>
      </w:r>
      <w:r>
        <w:rPr>
          <w:rFonts w:ascii="楷体_GB2312" w:eastAsia="楷体_GB2312" w:hint="eastAsia"/>
          <w:sz w:val="32"/>
          <w:szCs w:val="32"/>
          <w:lang w:eastAsia="zh-Hans"/>
        </w:rPr>
        <w:t>、项目绩效指标的制定不够细致规范。</w:t>
      </w:r>
    </w:p>
    <w:p w:rsidR="00807E10" w:rsidRDefault="00DF7549">
      <w:pPr>
        <w:pBdr>
          <w:bottom w:val="single" w:sz="4" w:space="28" w:color="FFFFFF"/>
        </w:pBdr>
        <w:spacing w:line="560" w:lineRule="exact"/>
        <w:ind w:firstLineChars="200" w:firstLine="640"/>
        <w:rPr>
          <w:rFonts w:ascii="仿宋_GB2312" w:eastAsia="仿宋_GB2312"/>
          <w:sz w:val="32"/>
          <w:szCs w:val="32"/>
        </w:rPr>
      </w:pPr>
      <w:r>
        <w:rPr>
          <w:rFonts w:ascii="仿宋_GB2312" w:eastAsia="仿宋_GB2312" w:hint="eastAsia"/>
          <w:sz w:val="32"/>
          <w:szCs w:val="32"/>
        </w:rPr>
        <w:t>我院项目绩效指标存在未完全体现本年度主要工作任务和贡献情况，且细化量化不足，如：网络运维费项目效益指标都是定性指标，无法定量衡量，缺乏</w:t>
      </w:r>
      <w:r>
        <w:rPr>
          <w:rFonts w:ascii="仿宋_GB2312" w:eastAsia="仿宋_GB2312" w:hint="eastAsia"/>
          <w:sz w:val="32"/>
          <w:szCs w:val="32"/>
          <w:lang w:eastAsia="zh-Hans"/>
        </w:rPr>
        <w:t>一定得</w:t>
      </w:r>
      <w:r>
        <w:rPr>
          <w:rFonts w:ascii="仿宋_GB2312" w:eastAsia="仿宋_GB2312" w:hint="eastAsia"/>
          <w:sz w:val="32"/>
          <w:szCs w:val="32"/>
        </w:rPr>
        <w:t>客观性和说服力</w:t>
      </w:r>
      <w:r>
        <w:rPr>
          <w:rFonts w:ascii="仿宋_GB2312" w:eastAsia="仿宋_GB2312" w:hint="eastAsia"/>
          <w:sz w:val="32"/>
          <w:szCs w:val="32"/>
          <w:lang w:eastAsia="zh-Hans"/>
        </w:rPr>
        <w:t>。</w:t>
      </w:r>
    </w:p>
    <w:p w:rsidR="00807E10" w:rsidRDefault="00DF7549">
      <w:pPr>
        <w:numPr>
          <w:ilvl w:val="0"/>
          <w:numId w:val="1"/>
        </w:numPr>
        <w:pBdr>
          <w:bottom w:val="single" w:sz="4" w:space="28" w:color="FFFFFF"/>
        </w:pBdr>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措施建议</w:t>
      </w:r>
    </w:p>
    <w:p w:rsidR="00807E10" w:rsidRDefault="00DF7549">
      <w:pPr>
        <w:pBdr>
          <w:bottom w:val="single" w:sz="4" w:space="28" w:color="FFFFFF"/>
        </w:pBdr>
        <w:spacing w:line="560" w:lineRule="exact"/>
        <w:ind w:firstLineChars="200" w:firstLine="640"/>
        <w:rPr>
          <w:rFonts w:ascii="楷体_GB2312" w:eastAsia="楷体_GB2312"/>
          <w:sz w:val="32"/>
          <w:szCs w:val="32"/>
        </w:rPr>
      </w:pPr>
      <w:r>
        <w:rPr>
          <w:rFonts w:ascii="仿宋_GB2312" w:eastAsia="仿宋_GB2312" w:hint="eastAsia"/>
          <w:sz w:val="32"/>
          <w:szCs w:val="32"/>
        </w:rPr>
        <w:t>强化预算全流程管理，推动建立科学规范的绩效管理机制</w:t>
      </w:r>
      <w:r>
        <w:rPr>
          <w:rFonts w:ascii="仿宋_GB2312" w:eastAsia="仿宋_GB2312" w:hint="eastAsia"/>
          <w:sz w:val="32"/>
          <w:szCs w:val="32"/>
          <w:lang w:eastAsia="zh-Hans"/>
        </w:rPr>
        <w:t>。</w:t>
      </w:r>
      <w:r>
        <w:rPr>
          <w:rFonts w:ascii="仿宋_GB2312" w:eastAsia="仿宋_GB2312" w:hint="eastAsia"/>
          <w:b/>
          <w:bCs/>
          <w:sz w:val="32"/>
          <w:szCs w:val="32"/>
        </w:rPr>
        <w:t>一是</w:t>
      </w:r>
      <w:r>
        <w:rPr>
          <w:rFonts w:ascii="仿宋_GB2312" w:eastAsia="仿宋_GB2312" w:hint="eastAsia"/>
          <w:sz w:val="32"/>
          <w:szCs w:val="32"/>
        </w:rPr>
        <w:t>在预算编制阶段，明确财务部门及业务部门（项目责任部门）的工作职责，财务部门承担全面统筹、合理配置整体预算资金的责任，在严格执行财政政策的条件下，高效服务保障全院审执工作顺利开展；业务部门承担着科学合理测算资金需求，规范细化绩效目标设置的责任，充分提高预算的刚性约束。</w:t>
      </w:r>
      <w:r>
        <w:rPr>
          <w:rFonts w:ascii="仿宋_GB2312" w:eastAsia="仿宋_GB2312" w:hint="eastAsia"/>
          <w:b/>
          <w:bCs/>
          <w:sz w:val="32"/>
          <w:szCs w:val="32"/>
        </w:rPr>
        <w:t>二是</w:t>
      </w:r>
      <w:r>
        <w:rPr>
          <w:rFonts w:ascii="仿宋_GB2312" w:eastAsia="仿宋_GB2312" w:hint="eastAsia"/>
          <w:sz w:val="32"/>
          <w:szCs w:val="32"/>
        </w:rPr>
        <w:t>在预算执行阶段，要严格按照预算批复内容及相关财政政策管理使用预算资金，进一步加强对资金使用的跟踪和问效，尤其是涉及政府购买服务的项目资金。财务部门定期监测各项预算执行情况，及时提示督促相关责任部门加快支出进度，合规使用资金。</w:t>
      </w:r>
      <w:r>
        <w:rPr>
          <w:rFonts w:ascii="仿宋_GB2312" w:eastAsia="仿宋_GB2312" w:hint="eastAsia"/>
          <w:b/>
          <w:bCs/>
          <w:sz w:val="32"/>
          <w:szCs w:val="32"/>
        </w:rPr>
        <w:t>三是</w:t>
      </w:r>
      <w:r>
        <w:rPr>
          <w:rFonts w:ascii="仿宋_GB2312" w:eastAsia="仿宋_GB2312" w:hint="eastAsia"/>
          <w:sz w:val="32"/>
          <w:szCs w:val="32"/>
        </w:rPr>
        <w:t>在预算执行结束</w:t>
      </w:r>
      <w:r>
        <w:rPr>
          <w:rFonts w:ascii="仿宋_GB2312" w:eastAsia="仿宋_GB2312" w:hint="eastAsia"/>
          <w:sz w:val="32"/>
          <w:szCs w:val="32"/>
        </w:rPr>
        <w:lastRenderedPageBreak/>
        <w:t>后，强化预算绩效评价并纳入单位绩效考核指标。探索依托第三方机构、邀请人大代表或政协委员参与绩效评价，发挥第三方机构专业优势，提高绩效评价成效，确保绩效评价结果客观公正、全面有效，便于发现自身问题与不足，督促</w:t>
      </w:r>
      <w:r>
        <w:rPr>
          <w:rFonts w:ascii="仿宋_GB2312" w:eastAsia="仿宋_GB2312" w:hint="eastAsia"/>
          <w:sz w:val="32"/>
          <w:szCs w:val="32"/>
          <w:lang w:eastAsia="zh-Hans"/>
        </w:rPr>
        <w:t>我院</w:t>
      </w:r>
      <w:r>
        <w:rPr>
          <w:rFonts w:ascii="仿宋_GB2312" w:eastAsia="仿宋_GB2312" w:hint="eastAsia"/>
          <w:sz w:val="32"/>
          <w:szCs w:val="32"/>
        </w:rPr>
        <w:t>提升财政资金使用效益，实现社会效益与经济效益的有机统一。</w:t>
      </w:r>
    </w:p>
    <w:p w:rsidR="00807E10" w:rsidRDefault="00807E10">
      <w:pPr>
        <w:widowControl/>
        <w:spacing w:line="560" w:lineRule="exact"/>
        <w:rPr>
          <w:rFonts w:ascii="方正小标宋简体" w:eastAsia="方正小标宋简体" w:hAnsi="黑体" w:cs="宋体"/>
          <w:color w:val="000000"/>
          <w:kern w:val="0"/>
          <w:sz w:val="44"/>
          <w:szCs w:val="44"/>
        </w:rPr>
        <w:sectPr w:rsidR="00807E10">
          <w:footerReference w:type="default" r:id="rId8"/>
          <w:pgSz w:w="11906" w:h="16838"/>
          <w:pgMar w:top="1440" w:right="1800" w:bottom="1440" w:left="1800" w:header="851" w:footer="992" w:gutter="0"/>
          <w:pgNumType w:fmt="numberInDash"/>
          <w:cols w:space="425"/>
          <w:docGrid w:type="lines" w:linePitch="312"/>
        </w:sectPr>
      </w:pPr>
    </w:p>
    <w:tbl>
      <w:tblPr>
        <w:tblW w:w="5000" w:type="pct"/>
        <w:tblLayout w:type="fixed"/>
        <w:tblLook w:val="04A0" w:firstRow="1" w:lastRow="0" w:firstColumn="1" w:lastColumn="0" w:noHBand="0" w:noVBand="1"/>
      </w:tblPr>
      <w:tblGrid>
        <w:gridCol w:w="817"/>
        <w:gridCol w:w="819"/>
        <w:gridCol w:w="1117"/>
        <w:gridCol w:w="190"/>
        <w:gridCol w:w="927"/>
        <w:gridCol w:w="207"/>
        <w:gridCol w:w="799"/>
        <w:gridCol w:w="335"/>
        <w:gridCol w:w="281"/>
        <w:gridCol w:w="286"/>
        <w:gridCol w:w="556"/>
        <w:gridCol w:w="11"/>
        <w:gridCol w:w="3719"/>
        <w:gridCol w:w="4110"/>
      </w:tblGrid>
      <w:tr w:rsidR="00807E10">
        <w:trPr>
          <w:trHeight w:val="499"/>
        </w:trPr>
        <w:tc>
          <w:tcPr>
            <w:tcW w:w="5000" w:type="pct"/>
            <w:gridSpan w:val="14"/>
            <w:tcBorders>
              <w:top w:val="nil"/>
              <w:left w:val="nil"/>
              <w:bottom w:val="single" w:sz="4" w:space="0" w:color="auto"/>
              <w:right w:val="nil"/>
            </w:tcBorders>
            <w:noWrap/>
            <w:vAlign w:val="bottom"/>
          </w:tcPr>
          <w:p w:rsidR="00807E10" w:rsidRDefault="00DF7549">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lastRenderedPageBreak/>
              <w:t>2021年部门整体绩效评价指标体系评分表</w:t>
            </w:r>
          </w:p>
        </w:tc>
      </w:tr>
      <w:tr w:rsidR="00807E10">
        <w:trPr>
          <w:trHeight w:val="470"/>
        </w:trPr>
        <w:tc>
          <w:tcPr>
            <w:tcW w:w="5000" w:type="pct"/>
            <w:gridSpan w:val="14"/>
            <w:tcBorders>
              <w:top w:val="single" w:sz="4" w:space="0" w:color="auto"/>
              <w:left w:val="single" w:sz="4" w:space="0" w:color="auto"/>
              <w:bottom w:val="single" w:sz="4" w:space="0" w:color="000000"/>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807E10">
        <w:trPr>
          <w:trHeight w:val="660"/>
        </w:trPr>
        <w:tc>
          <w:tcPr>
            <w:tcW w:w="288"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289"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94"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394"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355"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217"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97"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316"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450" w:type="pct"/>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807E10">
        <w:trPr>
          <w:trHeight w:val="630"/>
        </w:trPr>
        <w:tc>
          <w:tcPr>
            <w:tcW w:w="288" w:type="pct"/>
            <w:vMerge w:val="restart"/>
            <w:tcBorders>
              <w:top w:val="nil"/>
              <w:left w:val="single" w:sz="4" w:space="0" w:color="auto"/>
              <w:bottom w:val="single" w:sz="4" w:space="0" w:color="000000"/>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289"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394"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right"/>
              <w:rPr>
                <w:rFonts w:ascii="宋体" w:hAnsi="宋体" w:cs="宋体"/>
                <w:color w:val="000000"/>
                <w:kern w:val="0"/>
                <w:sz w:val="18"/>
                <w:szCs w:val="18"/>
                <w:highlight w:val="yellow"/>
              </w:rPr>
            </w:pPr>
            <w:r>
              <w:rPr>
                <w:rFonts w:ascii="宋体" w:hAnsi="宋体" w:cs="宋体"/>
                <w:color w:val="000000"/>
                <w:kern w:val="0"/>
                <w:sz w:val="18"/>
                <w:szCs w:val="18"/>
              </w:rPr>
              <w:t>33,378.79</w:t>
            </w:r>
          </w:p>
        </w:tc>
        <w:tc>
          <w:tcPr>
            <w:tcW w:w="394"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right"/>
              <w:rPr>
                <w:rFonts w:ascii="宋体" w:hAnsi="宋体" w:cs="宋体"/>
                <w:color w:val="000000"/>
                <w:kern w:val="0"/>
                <w:sz w:val="18"/>
                <w:szCs w:val="18"/>
              </w:rPr>
            </w:pPr>
            <w:r>
              <w:rPr>
                <w:rFonts w:ascii="宋体" w:hAnsi="宋体" w:cs="宋体"/>
                <w:color w:val="000000"/>
                <w:kern w:val="0"/>
                <w:sz w:val="18"/>
                <w:szCs w:val="18"/>
              </w:rPr>
              <w:t>32,373.79</w:t>
            </w:r>
          </w:p>
        </w:tc>
        <w:tc>
          <w:tcPr>
            <w:tcW w:w="355"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18"/>
                <w:szCs w:val="18"/>
              </w:rPr>
              <w:t>96.99%</w:t>
            </w:r>
          </w:p>
        </w:tc>
        <w:tc>
          <w:tcPr>
            <w:tcW w:w="217" w:type="pct"/>
            <w:gridSpan w:val="2"/>
            <w:vMerge w:val="restart"/>
            <w:tcBorders>
              <w:top w:val="single" w:sz="4" w:space="0" w:color="auto"/>
              <w:left w:val="single" w:sz="4" w:space="0" w:color="auto"/>
              <w:bottom w:val="single" w:sz="4" w:space="0" w:color="auto"/>
              <w:right w:val="single" w:sz="4" w:space="0" w:color="auto"/>
            </w:tcBorders>
            <w:noWrap/>
            <w:vAlign w:val="center"/>
          </w:tcPr>
          <w:p w:rsidR="00807E10" w:rsidRDefault="00DF7549">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297" w:type="pct"/>
            <w:gridSpan w:val="2"/>
            <w:vMerge w:val="restart"/>
            <w:tcBorders>
              <w:top w:val="single" w:sz="4" w:space="0" w:color="auto"/>
              <w:left w:val="single" w:sz="4" w:space="0" w:color="auto"/>
              <w:bottom w:val="single" w:sz="4" w:space="0" w:color="auto"/>
              <w:right w:val="single" w:sz="4" w:space="0" w:color="auto"/>
            </w:tcBorders>
            <w:noWrap/>
            <w:vAlign w:val="center"/>
          </w:tcPr>
          <w:p w:rsidR="00807E10" w:rsidRDefault="00DF7549">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19.40　</w:t>
            </w:r>
          </w:p>
        </w:tc>
        <w:tc>
          <w:tcPr>
            <w:tcW w:w="1316" w:type="pct"/>
            <w:gridSpan w:val="2"/>
            <w:vMerge w:val="restar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1450" w:type="pct"/>
            <w:vMerge w:val="restart"/>
            <w:tcBorders>
              <w:top w:val="nil"/>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①得分一档最高不能超过该指标分值上限（20分）。</w:t>
            </w:r>
            <w:r>
              <w:rPr>
                <w:rFonts w:ascii="宋体" w:hAnsi="宋体" w:cs="宋体" w:hint="eastAsia"/>
                <w:color w:val="000000"/>
                <w:kern w:val="0"/>
                <w:sz w:val="18"/>
                <w:szCs w:val="18"/>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807E10">
        <w:trPr>
          <w:trHeight w:val="600"/>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tcBorders>
              <w:top w:val="single" w:sz="4" w:space="0" w:color="auto"/>
              <w:left w:val="single" w:sz="4" w:space="0" w:color="auto"/>
              <w:bottom w:val="single" w:sz="4" w:space="0" w:color="auto"/>
              <w:right w:val="nil"/>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394"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right"/>
              <w:rPr>
                <w:rFonts w:ascii="宋体" w:hAnsi="宋体" w:cs="宋体"/>
                <w:color w:val="000000"/>
                <w:kern w:val="0"/>
                <w:sz w:val="18"/>
                <w:szCs w:val="18"/>
              </w:rPr>
            </w:pPr>
            <w:r>
              <w:rPr>
                <w:rFonts w:ascii="宋体" w:hAnsi="宋体" w:cs="宋体"/>
                <w:color w:val="000000"/>
                <w:kern w:val="0"/>
                <w:sz w:val="18"/>
                <w:szCs w:val="18"/>
              </w:rPr>
              <w:t>25,187.79</w:t>
            </w:r>
            <w:r>
              <w:rPr>
                <w:rFonts w:ascii="宋体" w:hAnsi="宋体" w:cs="宋体" w:hint="eastAsia"/>
                <w:color w:val="000000"/>
                <w:kern w:val="0"/>
                <w:sz w:val="18"/>
                <w:szCs w:val="18"/>
              </w:rPr>
              <w:t xml:space="preserve">　</w:t>
            </w:r>
          </w:p>
        </w:tc>
        <w:tc>
          <w:tcPr>
            <w:tcW w:w="394" w:type="pct"/>
            <w:gridSpan w:val="2"/>
            <w:tcBorders>
              <w:top w:val="single" w:sz="4" w:space="0" w:color="auto"/>
              <w:left w:val="nil"/>
              <w:bottom w:val="single" w:sz="4" w:space="0" w:color="auto"/>
              <w:right w:val="single" w:sz="4" w:space="0" w:color="auto"/>
            </w:tcBorders>
            <w:vAlign w:val="center"/>
          </w:tcPr>
          <w:p w:rsidR="00807E10" w:rsidRDefault="00DF7549">
            <w:pPr>
              <w:widowControl/>
              <w:jc w:val="right"/>
              <w:rPr>
                <w:rFonts w:ascii="宋体" w:hAnsi="宋体" w:cs="宋体"/>
                <w:color w:val="000000"/>
                <w:kern w:val="0"/>
                <w:sz w:val="18"/>
                <w:szCs w:val="18"/>
              </w:rPr>
            </w:pPr>
            <w:r>
              <w:rPr>
                <w:rFonts w:ascii="宋体" w:hAnsi="宋体" w:cs="宋体"/>
                <w:color w:val="000000"/>
                <w:kern w:val="0"/>
                <w:sz w:val="18"/>
                <w:szCs w:val="18"/>
              </w:rPr>
              <w:t>24,716.40</w:t>
            </w:r>
          </w:p>
        </w:tc>
        <w:tc>
          <w:tcPr>
            <w:tcW w:w="355" w:type="pct"/>
            <w:gridSpan w:val="2"/>
            <w:vMerge w:val="restar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217" w:type="pct"/>
            <w:gridSpan w:val="2"/>
            <w:vMerge/>
            <w:tcBorders>
              <w:top w:val="single" w:sz="4" w:space="0" w:color="auto"/>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97" w:type="pct"/>
            <w:gridSpan w:val="2"/>
            <w:vMerge/>
            <w:tcBorders>
              <w:top w:val="single" w:sz="4" w:space="0" w:color="auto"/>
              <w:left w:val="nil"/>
              <w:bottom w:val="single" w:sz="4" w:space="0" w:color="auto"/>
              <w:right w:val="nil"/>
            </w:tcBorders>
            <w:vAlign w:val="center"/>
          </w:tcPr>
          <w:p w:rsidR="00807E10" w:rsidRDefault="00807E10">
            <w:pPr>
              <w:widowControl/>
              <w:jc w:val="left"/>
              <w:rPr>
                <w:rFonts w:ascii="宋体" w:hAnsi="宋体" w:cs="宋体"/>
                <w:color w:val="000000"/>
                <w:kern w:val="0"/>
                <w:sz w:val="20"/>
                <w:szCs w:val="20"/>
              </w:rPr>
            </w:pPr>
          </w:p>
        </w:tc>
        <w:tc>
          <w:tcPr>
            <w:tcW w:w="1316" w:type="pct"/>
            <w:gridSpan w:val="2"/>
            <w:vMerge/>
            <w:tcBorders>
              <w:top w:val="single" w:sz="4" w:space="0" w:color="auto"/>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593"/>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tcBorders>
              <w:top w:val="single" w:sz="4" w:space="0" w:color="auto"/>
              <w:left w:val="single" w:sz="4" w:space="0" w:color="auto"/>
              <w:bottom w:val="single" w:sz="4" w:space="0" w:color="auto"/>
              <w:right w:val="nil"/>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394"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right"/>
              <w:rPr>
                <w:rFonts w:ascii="宋体" w:hAnsi="宋体" w:cs="宋体"/>
                <w:color w:val="000000"/>
                <w:kern w:val="0"/>
                <w:sz w:val="18"/>
                <w:szCs w:val="18"/>
                <w:highlight w:val="yellow"/>
              </w:rPr>
            </w:pPr>
            <w:r>
              <w:rPr>
                <w:rFonts w:ascii="宋体" w:hAnsi="宋体" w:cs="宋体"/>
                <w:color w:val="000000"/>
                <w:kern w:val="0"/>
                <w:sz w:val="18"/>
                <w:szCs w:val="18"/>
              </w:rPr>
              <w:t>8,191.00</w:t>
            </w:r>
          </w:p>
        </w:tc>
        <w:tc>
          <w:tcPr>
            <w:tcW w:w="394" w:type="pct"/>
            <w:gridSpan w:val="2"/>
            <w:tcBorders>
              <w:top w:val="single" w:sz="4" w:space="0" w:color="auto"/>
              <w:left w:val="nil"/>
              <w:bottom w:val="single" w:sz="4" w:space="0" w:color="auto"/>
              <w:right w:val="single" w:sz="4" w:space="0" w:color="auto"/>
            </w:tcBorders>
            <w:vAlign w:val="center"/>
          </w:tcPr>
          <w:p w:rsidR="00807E10" w:rsidRDefault="00DF7549">
            <w:pPr>
              <w:widowControl/>
              <w:jc w:val="right"/>
              <w:rPr>
                <w:rFonts w:ascii="宋体" w:hAnsi="宋体" w:cs="宋体"/>
                <w:color w:val="000000"/>
                <w:kern w:val="0"/>
                <w:sz w:val="18"/>
                <w:szCs w:val="18"/>
                <w:highlight w:val="yellow"/>
              </w:rPr>
            </w:pPr>
            <w:r>
              <w:rPr>
                <w:rFonts w:ascii="宋体" w:hAnsi="宋体" w:cs="宋体"/>
                <w:color w:val="000000"/>
                <w:kern w:val="0"/>
                <w:sz w:val="18"/>
                <w:szCs w:val="18"/>
              </w:rPr>
              <w:t>7,657.39</w:t>
            </w:r>
          </w:p>
        </w:tc>
        <w:tc>
          <w:tcPr>
            <w:tcW w:w="355" w:type="pct"/>
            <w:gridSpan w:val="2"/>
            <w:vMerge/>
            <w:tcBorders>
              <w:top w:val="single" w:sz="4" w:space="0" w:color="auto"/>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17" w:type="pct"/>
            <w:gridSpan w:val="2"/>
            <w:vMerge/>
            <w:tcBorders>
              <w:top w:val="single" w:sz="4" w:space="0" w:color="auto"/>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97" w:type="pct"/>
            <w:gridSpan w:val="2"/>
            <w:vMerge/>
            <w:tcBorders>
              <w:top w:val="single" w:sz="4" w:space="0" w:color="auto"/>
              <w:left w:val="nil"/>
              <w:bottom w:val="single" w:sz="4" w:space="0" w:color="auto"/>
              <w:right w:val="nil"/>
            </w:tcBorders>
            <w:vAlign w:val="center"/>
          </w:tcPr>
          <w:p w:rsidR="00807E10" w:rsidRDefault="00807E10">
            <w:pPr>
              <w:widowControl/>
              <w:jc w:val="left"/>
              <w:rPr>
                <w:rFonts w:ascii="宋体" w:hAnsi="宋体" w:cs="宋体"/>
                <w:color w:val="000000"/>
                <w:kern w:val="0"/>
                <w:sz w:val="20"/>
                <w:szCs w:val="20"/>
              </w:rPr>
            </w:pPr>
          </w:p>
        </w:tc>
        <w:tc>
          <w:tcPr>
            <w:tcW w:w="1316" w:type="pct"/>
            <w:gridSpan w:val="2"/>
            <w:vMerge/>
            <w:tcBorders>
              <w:top w:val="single" w:sz="4" w:space="0" w:color="auto"/>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2136"/>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394" w:type="pct"/>
            <w:tcBorders>
              <w:top w:val="single" w:sz="4" w:space="0" w:color="auto"/>
              <w:left w:val="nil"/>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18"/>
                <w:szCs w:val="18"/>
                <w:highlight w:val="yellow"/>
              </w:rPr>
            </w:pPr>
          </w:p>
        </w:tc>
        <w:tc>
          <w:tcPr>
            <w:tcW w:w="394" w:type="pct"/>
            <w:gridSpan w:val="2"/>
            <w:tcBorders>
              <w:top w:val="single" w:sz="4" w:space="0" w:color="auto"/>
              <w:left w:val="nil"/>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18"/>
                <w:szCs w:val="18"/>
                <w:highlight w:val="yellow"/>
              </w:rPr>
            </w:pPr>
          </w:p>
        </w:tc>
        <w:tc>
          <w:tcPr>
            <w:tcW w:w="355" w:type="pct"/>
            <w:gridSpan w:val="2"/>
            <w:vMerge/>
            <w:tcBorders>
              <w:top w:val="single" w:sz="4" w:space="0" w:color="auto"/>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17" w:type="pct"/>
            <w:gridSpan w:val="2"/>
            <w:vMerge/>
            <w:tcBorders>
              <w:top w:val="single" w:sz="4" w:space="0" w:color="auto"/>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97" w:type="pct"/>
            <w:gridSpan w:val="2"/>
            <w:vMerge/>
            <w:tcBorders>
              <w:top w:val="single" w:sz="4" w:space="0" w:color="auto"/>
              <w:left w:val="nil"/>
              <w:bottom w:val="single" w:sz="4" w:space="0" w:color="auto"/>
              <w:right w:val="nil"/>
            </w:tcBorders>
            <w:vAlign w:val="center"/>
          </w:tcPr>
          <w:p w:rsidR="00807E10" w:rsidRDefault="00807E10">
            <w:pPr>
              <w:widowControl/>
              <w:jc w:val="left"/>
              <w:rPr>
                <w:rFonts w:ascii="宋体" w:hAnsi="宋体" w:cs="宋体"/>
                <w:color w:val="000000"/>
                <w:kern w:val="0"/>
                <w:sz w:val="20"/>
                <w:szCs w:val="20"/>
              </w:rPr>
            </w:pPr>
          </w:p>
        </w:tc>
        <w:tc>
          <w:tcPr>
            <w:tcW w:w="1316" w:type="pct"/>
            <w:gridSpan w:val="2"/>
            <w:vMerge/>
            <w:tcBorders>
              <w:top w:val="single" w:sz="4" w:space="0" w:color="auto"/>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569"/>
        </w:trPr>
        <w:tc>
          <w:tcPr>
            <w:tcW w:w="5000" w:type="pct"/>
            <w:gridSpan w:val="14"/>
            <w:tcBorders>
              <w:top w:val="nil"/>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807E10">
        <w:trPr>
          <w:trHeight w:val="499"/>
        </w:trPr>
        <w:tc>
          <w:tcPr>
            <w:tcW w:w="288"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289" w:type="pct"/>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461" w:type="pct"/>
            <w:gridSpan w:val="2"/>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400" w:type="pct"/>
            <w:gridSpan w:val="2"/>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200" w:type="pct"/>
            <w:gridSpan w:val="2"/>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00" w:type="pct"/>
            <w:gridSpan w:val="2"/>
            <w:tcBorders>
              <w:top w:val="single" w:sz="4" w:space="0" w:color="auto"/>
              <w:left w:val="nil"/>
              <w:bottom w:val="single" w:sz="4" w:space="0" w:color="auto"/>
              <w:right w:val="nil"/>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312"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450"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807E10">
        <w:trPr>
          <w:trHeight w:val="1196"/>
        </w:trPr>
        <w:tc>
          <w:tcPr>
            <w:tcW w:w="288" w:type="pct"/>
            <w:vMerge w:val="restar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整体绩效目标实现情况（60）</w:t>
            </w:r>
          </w:p>
        </w:tc>
        <w:tc>
          <w:tcPr>
            <w:tcW w:w="289" w:type="pct"/>
            <w:vMerge w:val="restart"/>
            <w:tcBorders>
              <w:top w:val="single" w:sz="4" w:space="0" w:color="auto"/>
              <w:left w:val="nil"/>
              <w:right w:val="single" w:sz="4" w:space="0" w:color="auto"/>
            </w:tcBorders>
            <w:vAlign w:val="center"/>
          </w:tcPr>
          <w:p w:rsidR="00807E10" w:rsidRDefault="00807E10">
            <w:pPr>
              <w:widowControl/>
              <w:jc w:val="center"/>
              <w:rPr>
                <w:rFonts w:ascii="宋体" w:hAnsi="宋体" w:cs="宋体"/>
                <w:color w:val="000000"/>
                <w:kern w:val="0"/>
                <w:sz w:val="20"/>
                <w:szCs w:val="20"/>
              </w:rPr>
            </w:pPr>
          </w:p>
          <w:p w:rsidR="00807E10" w:rsidRDefault="00DF7549">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461" w:type="pct"/>
            <w:gridSpan w:val="2"/>
            <w:tcBorders>
              <w:top w:val="single" w:sz="4" w:space="0" w:color="auto"/>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年初预计收结案量</w:t>
            </w:r>
          </w:p>
        </w:tc>
        <w:tc>
          <w:tcPr>
            <w:tcW w:w="400" w:type="pct"/>
            <w:gridSpan w:val="2"/>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70000</w:t>
            </w:r>
          </w:p>
        </w:tc>
        <w:tc>
          <w:tcPr>
            <w:tcW w:w="400" w:type="pct"/>
            <w:gridSpan w:val="2"/>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70759</w:t>
            </w:r>
          </w:p>
        </w:tc>
        <w:tc>
          <w:tcPr>
            <w:tcW w:w="200" w:type="pct"/>
            <w:gridSpan w:val="2"/>
            <w:vMerge w:val="restart"/>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kern w:val="0"/>
                <w:sz w:val="20"/>
                <w:szCs w:val="20"/>
              </w:rPr>
            </w:pPr>
            <w:r>
              <w:rPr>
                <w:rFonts w:ascii="宋体" w:hAnsi="宋体" w:cs="宋体" w:hint="eastAsia"/>
                <w:color w:val="000000"/>
                <w:kern w:val="0"/>
                <w:sz w:val="20"/>
                <w:szCs w:val="20"/>
              </w:rPr>
              <w:t>30</w:t>
            </w:r>
          </w:p>
        </w:tc>
        <w:tc>
          <w:tcPr>
            <w:tcW w:w="200" w:type="pct"/>
            <w:gridSpan w:val="2"/>
            <w:tcBorders>
              <w:top w:val="single" w:sz="4" w:space="0" w:color="auto"/>
              <w:left w:val="nil"/>
              <w:bottom w:val="single" w:sz="4" w:space="0" w:color="auto"/>
              <w:right w:val="nil"/>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val="restar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450" w:type="pct"/>
            <w:vMerge w:val="restar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rsidR="00807E10">
        <w:trPr>
          <w:trHeight w:val="1130"/>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left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single" w:sz="4" w:space="0" w:color="auto"/>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员额法官人均办案工作量</w:t>
            </w:r>
            <w:r>
              <w:rPr>
                <w:rFonts w:hint="eastAsia"/>
                <w:color w:val="000000"/>
              </w:rPr>
              <w:t xml:space="preserve"> </w:t>
            </w:r>
          </w:p>
        </w:tc>
        <w:tc>
          <w:tcPr>
            <w:tcW w:w="400" w:type="pct"/>
            <w:gridSpan w:val="2"/>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400</w:t>
            </w:r>
          </w:p>
        </w:tc>
        <w:tc>
          <w:tcPr>
            <w:tcW w:w="400" w:type="pct"/>
            <w:gridSpan w:val="2"/>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450.7</w:t>
            </w:r>
          </w:p>
        </w:tc>
        <w:tc>
          <w:tcPr>
            <w:tcW w:w="200" w:type="pct"/>
            <w:gridSpan w:val="2"/>
            <w:vMerge/>
            <w:tcBorders>
              <w:top w:val="single" w:sz="4" w:space="0" w:color="auto"/>
              <w:left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00" w:type="pct"/>
            <w:gridSpan w:val="2"/>
            <w:tcBorders>
              <w:top w:val="single" w:sz="4" w:space="0" w:color="auto"/>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1258"/>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left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全年审判执行文书数量（份）</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50000</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57328</w:t>
            </w:r>
          </w:p>
        </w:tc>
        <w:tc>
          <w:tcPr>
            <w:tcW w:w="200" w:type="pct"/>
            <w:gridSpan w:val="2"/>
            <w:vMerge/>
            <w:tcBorders>
              <w:left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97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数字化档案数量（卷）</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70000</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78472</w:t>
            </w:r>
          </w:p>
        </w:tc>
        <w:tc>
          <w:tcPr>
            <w:tcW w:w="200" w:type="pct"/>
            <w:gridSpan w:val="2"/>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97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一审判决案件改判发回重审率（瑕疵）</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0.50%</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0.45%</w:t>
            </w:r>
          </w:p>
        </w:tc>
        <w:tc>
          <w:tcPr>
            <w:tcW w:w="200" w:type="pct"/>
            <w:gridSpan w:val="2"/>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97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裁判文书上网率</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99.9%</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100.00%</w:t>
            </w:r>
          </w:p>
        </w:tc>
        <w:tc>
          <w:tcPr>
            <w:tcW w:w="200" w:type="pct"/>
            <w:gridSpan w:val="2"/>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97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投诉信访率</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0.2%</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0.1%</w:t>
            </w:r>
          </w:p>
        </w:tc>
        <w:tc>
          <w:tcPr>
            <w:tcW w:w="200" w:type="pct"/>
            <w:gridSpan w:val="2"/>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97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执行质效</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97.5%</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99.37%</w:t>
            </w:r>
          </w:p>
        </w:tc>
        <w:tc>
          <w:tcPr>
            <w:tcW w:w="200" w:type="pct"/>
            <w:gridSpan w:val="2"/>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97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当年案件结收比（当年已结案件数</w:t>
            </w:r>
            <w:r>
              <w:rPr>
                <w:rFonts w:hint="eastAsia"/>
                <w:color w:val="000000"/>
              </w:rPr>
              <w:t>/</w:t>
            </w:r>
            <w:r>
              <w:rPr>
                <w:rFonts w:hint="eastAsia"/>
                <w:color w:val="000000"/>
              </w:rPr>
              <w:t>新收案件数）</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90%</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90.17%</w:t>
            </w:r>
          </w:p>
        </w:tc>
        <w:tc>
          <w:tcPr>
            <w:tcW w:w="200" w:type="pct"/>
            <w:gridSpan w:val="2"/>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97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电子送达率（电子送达数</w:t>
            </w:r>
            <w:r>
              <w:rPr>
                <w:rFonts w:hint="eastAsia"/>
                <w:color w:val="000000"/>
              </w:rPr>
              <w:t>/</w:t>
            </w:r>
            <w:r>
              <w:rPr>
                <w:rFonts w:hint="eastAsia"/>
                <w:color w:val="000000"/>
              </w:rPr>
              <w:t>全部送达数）</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35%</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65.55%</w:t>
            </w:r>
          </w:p>
        </w:tc>
        <w:tc>
          <w:tcPr>
            <w:tcW w:w="200" w:type="pct"/>
            <w:gridSpan w:val="2"/>
            <w:vMerge/>
            <w:tcBorders>
              <w:left w:val="single" w:sz="4" w:space="0" w:color="auto"/>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67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网上预约立案数量（占全部收案数量的比重）</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25%</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53.73%</w:t>
            </w:r>
          </w:p>
        </w:tc>
        <w:tc>
          <w:tcPr>
            <w:tcW w:w="200" w:type="pct"/>
            <w:gridSpan w:val="2"/>
            <w:vMerge w:val="restart"/>
            <w:tcBorders>
              <w:top w:val="nil"/>
              <w:left w:val="single" w:sz="4" w:space="0" w:color="auto"/>
              <w:bottom w:val="single" w:sz="4" w:space="0" w:color="auto"/>
              <w:right w:val="single" w:sz="4" w:space="0" w:color="auto"/>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30</w:t>
            </w: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val="restart"/>
            <w:tcBorders>
              <w:top w:val="nil"/>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450" w:type="pct"/>
            <w:vMerge w:val="restart"/>
            <w:tcBorders>
              <w:top w:val="nil"/>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807E10">
        <w:trPr>
          <w:trHeight w:val="630"/>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保证首都经济运转和维护营商环境情况</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显著</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00" w:type="pct"/>
            <w:gridSpan w:val="2"/>
            <w:vMerge/>
            <w:tcBorders>
              <w:top w:val="nil"/>
              <w:left w:val="single" w:sz="4" w:space="0" w:color="auto"/>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690"/>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脱贫攻坚及营商环境（结案情况）</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显著</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00" w:type="pct"/>
            <w:gridSpan w:val="2"/>
            <w:vMerge/>
            <w:tcBorders>
              <w:top w:val="nil"/>
              <w:left w:val="single" w:sz="4" w:space="0" w:color="auto"/>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675"/>
        </w:trPr>
        <w:tc>
          <w:tcPr>
            <w:tcW w:w="288"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首都治安（结案情</w:t>
            </w:r>
            <w:r>
              <w:rPr>
                <w:rFonts w:hint="eastAsia"/>
                <w:color w:val="000000"/>
              </w:rPr>
              <w:lastRenderedPageBreak/>
              <w:t>况）</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lastRenderedPageBreak/>
              <w:t>显著</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00" w:type="pct"/>
            <w:gridSpan w:val="2"/>
            <w:vMerge/>
            <w:tcBorders>
              <w:top w:val="nil"/>
              <w:left w:val="single" w:sz="4" w:space="0" w:color="auto"/>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675"/>
        </w:trPr>
        <w:tc>
          <w:tcPr>
            <w:tcW w:w="288"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解决执行难（执结案件数）</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w:t>
            </w:r>
            <w:r>
              <w:rPr>
                <w:rFonts w:hint="eastAsia"/>
                <w:color w:val="000000"/>
                <w:sz w:val="22"/>
                <w:szCs w:val="22"/>
              </w:rPr>
              <w:t>20000</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27623</w:t>
            </w:r>
          </w:p>
        </w:tc>
        <w:tc>
          <w:tcPr>
            <w:tcW w:w="200" w:type="pct"/>
            <w:gridSpan w:val="2"/>
            <w:vMerge/>
            <w:tcBorders>
              <w:top w:val="nil"/>
              <w:left w:val="single" w:sz="4" w:space="0" w:color="auto"/>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675"/>
        </w:trPr>
        <w:tc>
          <w:tcPr>
            <w:tcW w:w="288"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司法为民、公正司法情况（文字）</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显著</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00" w:type="pct"/>
            <w:gridSpan w:val="2"/>
            <w:vMerge/>
            <w:tcBorders>
              <w:top w:val="nil"/>
              <w:left w:val="single" w:sz="4" w:space="0" w:color="auto"/>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675"/>
        </w:trPr>
        <w:tc>
          <w:tcPr>
            <w:tcW w:w="288"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人才培养</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显著</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00" w:type="pct"/>
            <w:gridSpan w:val="2"/>
            <w:vMerge/>
            <w:tcBorders>
              <w:top w:val="nil"/>
              <w:left w:val="single" w:sz="4" w:space="0" w:color="auto"/>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675"/>
        </w:trPr>
        <w:tc>
          <w:tcPr>
            <w:tcW w:w="288"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普法宣传</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显著</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00" w:type="pct"/>
            <w:gridSpan w:val="2"/>
            <w:vMerge/>
            <w:tcBorders>
              <w:top w:val="nil"/>
              <w:left w:val="single" w:sz="4" w:space="0" w:color="auto"/>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675"/>
        </w:trPr>
        <w:tc>
          <w:tcPr>
            <w:tcW w:w="288"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同级人民代表大会通过、赞成率</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4"/>
              </w:rPr>
            </w:pPr>
            <w:r>
              <w:rPr>
                <w:rFonts w:hint="eastAsia"/>
                <w:color w:val="000000"/>
              </w:rPr>
              <w:t>≥</w:t>
            </w:r>
            <w:r>
              <w:rPr>
                <w:rFonts w:hint="eastAsia"/>
                <w:color w:val="000000"/>
              </w:rPr>
              <w:t>95%</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4"/>
              </w:rPr>
            </w:pPr>
            <w:r>
              <w:rPr>
                <w:rFonts w:hint="eastAsia"/>
                <w:color w:val="000000"/>
              </w:rPr>
              <w:t>99.49%</w:t>
            </w:r>
          </w:p>
        </w:tc>
        <w:tc>
          <w:tcPr>
            <w:tcW w:w="200" w:type="pct"/>
            <w:gridSpan w:val="2"/>
            <w:vMerge/>
            <w:tcBorders>
              <w:top w:val="nil"/>
              <w:left w:val="single" w:sz="4" w:space="0" w:color="auto"/>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675"/>
        </w:trPr>
        <w:tc>
          <w:tcPr>
            <w:tcW w:w="288"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461" w:type="pct"/>
            <w:gridSpan w:val="2"/>
            <w:tcBorders>
              <w:top w:val="nil"/>
              <w:left w:val="nil"/>
              <w:bottom w:val="single" w:sz="4" w:space="0" w:color="auto"/>
              <w:right w:val="single" w:sz="4" w:space="0" w:color="auto"/>
            </w:tcBorders>
            <w:vAlign w:val="center"/>
          </w:tcPr>
          <w:p w:rsidR="00807E10" w:rsidRDefault="00DF7549">
            <w:pPr>
              <w:rPr>
                <w:rFonts w:ascii="宋体" w:hAnsi="宋体" w:cs="宋体"/>
                <w:color w:val="000000"/>
                <w:sz w:val="24"/>
              </w:rPr>
            </w:pPr>
            <w:r>
              <w:rPr>
                <w:rFonts w:hint="eastAsia"/>
                <w:color w:val="000000"/>
              </w:rPr>
              <w:t>群众满意度（文字）</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color w:val="000000"/>
                <w:sz w:val="22"/>
                <w:szCs w:val="22"/>
              </w:rPr>
            </w:pPr>
            <w:r>
              <w:rPr>
                <w:rFonts w:hint="eastAsia"/>
                <w:color w:val="000000"/>
                <w:sz w:val="22"/>
                <w:szCs w:val="22"/>
              </w:rPr>
              <w:t>满意</w:t>
            </w:r>
          </w:p>
        </w:tc>
        <w:tc>
          <w:tcPr>
            <w:tcW w:w="400" w:type="pct"/>
            <w:gridSpan w:val="2"/>
            <w:tcBorders>
              <w:top w:val="nil"/>
              <w:left w:val="nil"/>
              <w:bottom w:val="single" w:sz="4" w:space="0" w:color="auto"/>
              <w:right w:val="single" w:sz="4" w:space="0" w:color="auto"/>
            </w:tcBorders>
            <w:vAlign w:val="center"/>
          </w:tcPr>
          <w:p w:rsidR="00807E10" w:rsidRDefault="00DF7549">
            <w:pPr>
              <w:jc w:val="center"/>
              <w:rPr>
                <w:color w:val="000000"/>
                <w:sz w:val="22"/>
                <w:szCs w:val="22"/>
              </w:rPr>
            </w:pPr>
            <w:r>
              <w:rPr>
                <w:rFonts w:hint="eastAsia"/>
                <w:color w:val="000000"/>
                <w:sz w:val="22"/>
                <w:szCs w:val="22"/>
              </w:rPr>
              <w:t>基本达成预期目标</w:t>
            </w:r>
          </w:p>
        </w:tc>
        <w:tc>
          <w:tcPr>
            <w:tcW w:w="200" w:type="pct"/>
            <w:gridSpan w:val="2"/>
            <w:vMerge/>
            <w:tcBorders>
              <w:top w:val="nil"/>
              <w:left w:val="single" w:sz="4" w:space="0" w:color="auto"/>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tc>
        <w:tc>
          <w:tcPr>
            <w:tcW w:w="200"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12"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c>
          <w:tcPr>
            <w:tcW w:w="1450"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18"/>
                <w:szCs w:val="18"/>
              </w:rPr>
            </w:pPr>
          </w:p>
        </w:tc>
      </w:tr>
      <w:tr w:rsidR="00807E10">
        <w:trPr>
          <w:trHeight w:val="699"/>
        </w:trPr>
        <w:tc>
          <w:tcPr>
            <w:tcW w:w="5000" w:type="pct"/>
            <w:gridSpan w:val="14"/>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18"/>
                <w:szCs w:val="18"/>
              </w:rPr>
            </w:pPr>
            <w:r>
              <w:rPr>
                <w:rFonts w:ascii="宋体" w:hAnsi="宋体" w:cs="宋体" w:hint="eastAsia"/>
                <w:color w:val="000000"/>
                <w:kern w:val="0"/>
                <w:sz w:val="18"/>
                <w:szCs w:val="18"/>
              </w:rPr>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807E10">
        <w:trPr>
          <w:trHeight w:val="702"/>
        </w:trPr>
        <w:tc>
          <w:tcPr>
            <w:tcW w:w="288"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289"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394" w:type="pct"/>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394" w:type="pct"/>
            <w:gridSpan w:val="2"/>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355" w:type="pct"/>
            <w:gridSpan w:val="2"/>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217" w:type="pct"/>
            <w:gridSpan w:val="2"/>
            <w:tcBorders>
              <w:top w:val="single" w:sz="4" w:space="0" w:color="auto"/>
              <w:left w:val="nil"/>
              <w:bottom w:val="single" w:sz="4" w:space="0" w:color="auto"/>
              <w:right w:val="single" w:sz="4" w:space="0" w:color="auto"/>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297" w:type="pct"/>
            <w:gridSpan w:val="2"/>
            <w:tcBorders>
              <w:top w:val="single" w:sz="4" w:space="0" w:color="auto"/>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316"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450" w:type="pct"/>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807E10">
        <w:trPr>
          <w:trHeight w:val="1230"/>
        </w:trPr>
        <w:tc>
          <w:tcPr>
            <w:tcW w:w="288" w:type="pct"/>
            <w:vMerge w:val="restar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289" w:type="pct"/>
            <w:vMerge w:val="restar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394" w:type="pct"/>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394" w:type="pct"/>
            <w:gridSpan w:val="2"/>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显著</w:t>
            </w:r>
          </w:p>
        </w:tc>
        <w:tc>
          <w:tcPr>
            <w:tcW w:w="355" w:type="pct"/>
            <w:gridSpan w:val="2"/>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17" w:type="pct"/>
            <w:gridSpan w:val="2"/>
            <w:tcBorders>
              <w:top w:val="single" w:sz="4" w:space="0" w:color="auto"/>
              <w:left w:val="nil"/>
              <w:bottom w:val="single" w:sz="4" w:space="0" w:color="auto"/>
              <w:right w:val="single" w:sz="4" w:space="0" w:color="auto"/>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97" w:type="pct"/>
            <w:gridSpan w:val="2"/>
            <w:tcBorders>
              <w:top w:val="single" w:sz="4" w:space="0" w:color="auto"/>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316"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450" w:type="pct"/>
            <w:tcBorders>
              <w:top w:val="single" w:sz="4" w:space="0" w:color="auto"/>
              <w:left w:val="nil"/>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rsidR="00807E10">
        <w:trPr>
          <w:trHeight w:val="2220"/>
        </w:trPr>
        <w:tc>
          <w:tcPr>
            <w:tcW w:w="288" w:type="pct"/>
            <w:vMerge/>
            <w:tcBorders>
              <w:top w:val="single" w:sz="4" w:space="0" w:color="auto"/>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single" w:sz="4" w:space="0" w:color="auto"/>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394" w:type="pct"/>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394" w:type="pct"/>
            <w:gridSpan w:val="2"/>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显著</w:t>
            </w:r>
          </w:p>
        </w:tc>
        <w:tc>
          <w:tcPr>
            <w:tcW w:w="355" w:type="pct"/>
            <w:gridSpan w:val="2"/>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17" w:type="pct"/>
            <w:gridSpan w:val="2"/>
            <w:tcBorders>
              <w:top w:val="single" w:sz="4" w:space="0" w:color="auto"/>
              <w:left w:val="nil"/>
              <w:bottom w:val="single" w:sz="4" w:space="0" w:color="auto"/>
              <w:right w:val="single" w:sz="4" w:space="0" w:color="auto"/>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97" w:type="pct"/>
            <w:gridSpan w:val="2"/>
            <w:tcBorders>
              <w:top w:val="single" w:sz="4" w:space="0" w:color="auto"/>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2　</w:t>
            </w:r>
          </w:p>
        </w:tc>
        <w:tc>
          <w:tcPr>
            <w:tcW w:w="1316"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资金使用合规性和安全性: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450" w:type="pct"/>
            <w:tcBorders>
              <w:top w:val="single" w:sz="4" w:space="0" w:color="auto"/>
              <w:left w:val="nil"/>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807E10">
        <w:trPr>
          <w:trHeight w:val="103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394" w:type="pct"/>
            <w:tcBorders>
              <w:top w:val="nil"/>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394"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显著</w:t>
            </w:r>
          </w:p>
        </w:tc>
        <w:tc>
          <w:tcPr>
            <w:tcW w:w="355" w:type="pct"/>
            <w:gridSpan w:val="2"/>
            <w:tcBorders>
              <w:top w:val="nil"/>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17" w:type="pct"/>
            <w:gridSpan w:val="2"/>
            <w:tcBorders>
              <w:top w:val="nil"/>
              <w:left w:val="nil"/>
              <w:bottom w:val="single" w:sz="4" w:space="0" w:color="auto"/>
              <w:right w:val="single" w:sz="4" w:space="0" w:color="auto"/>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97" w:type="pct"/>
            <w:gridSpan w:val="2"/>
            <w:tcBorders>
              <w:top w:val="nil"/>
              <w:left w:val="nil"/>
              <w:bottom w:val="single" w:sz="4" w:space="0" w:color="auto"/>
              <w:right w:val="nil"/>
            </w:tcBorders>
            <w:noWrap/>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1　</w:t>
            </w:r>
          </w:p>
        </w:tc>
        <w:tc>
          <w:tcPr>
            <w:tcW w:w="1316" w:type="pct"/>
            <w:gridSpan w:val="2"/>
            <w:tcBorders>
              <w:top w:val="nil"/>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450" w:type="pct"/>
            <w:tcBorders>
              <w:top w:val="nil"/>
              <w:left w:val="nil"/>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807E10">
        <w:trPr>
          <w:trHeight w:val="2220"/>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394"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394"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显著</w:t>
            </w:r>
          </w:p>
        </w:tc>
        <w:tc>
          <w:tcPr>
            <w:tcW w:w="355"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17"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7"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316"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450" w:type="pct"/>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807E10">
        <w:trPr>
          <w:trHeight w:val="1750"/>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394" w:type="pct"/>
            <w:tcBorders>
              <w:top w:val="single" w:sz="4" w:space="0" w:color="auto"/>
              <w:left w:val="nil"/>
              <w:bottom w:val="single" w:sz="4" w:space="0" w:color="auto"/>
              <w:right w:val="single" w:sz="4" w:space="0" w:color="auto"/>
            </w:tcBorders>
            <w:vAlign w:val="center"/>
          </w:tcPr>
          <w:p w:rsidR="00807E10" w:rsidRDefault="00807E10">
            <w:pPr>
              <w:widowControl/>
              <w:jc w:val="center"/>
              <w:rPr>
                <w:rFonts w:ascii="宋体" w:hAnsi="宋体" w:cs="宋体"/>
                <w:color w:val="000000"/>
                <w:kern w:val="0"/>
                <w:sz w:val="20"/>
                <w:szCs w:val="20"/>
              </w:rPr>
            </w:pPr>
          </w:p>
          <w:p w:rsidR="00807E10" w:rsidRDefault="00807E10">
            <w:pPr>
              <w:widowControl/>
              <w:jc w:val="center"/>
              <w:rPr>
                <w:rFonts w:ascii="宋体" w:hAnsi="宋体" w:cs="宋体"/>
                <w:color w:val="000000"/>
                <w:kern w:val="0"/>
                <w:sz w:val="20"/>
                <w:szCs w:val="20"/>
              </w:rPr>
            </w:pPr>
          </w:p>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p w:rsidR="00807E10" w:rsidRDefault="00807E10">
            <w:pPr>
              <w:widowControl/>
              <w:jc w:val="center"/>
              <w:rPr>
                <w:rFonts w:ascii="宋体" w:hAnsi="宋体" w:cs="宋体"/>
                <w:color w:val="000000"/>
                <w:kern w:val="0"/>
                <w:sz w:val="20"/>
                <w:szCs w:val="20"/>
              </w:rPr>
            </w:pPr>
          </w:p>
          <w:p w:rsidR="00807E10" w:rsidRDefault="00807E10">
            <w:pPr>
              <w:widowControl/>
              <w:jc w:val="center"/>
              <w:rPr>
                <w:rFonts w:ascii="宋体" w:hAnsi="宋体" w:cs="宋体"/>
                <w:color w:val="000000"/>
                <w:kern w:val="0"/>
                <w:sz w:val="20"/>
                <w:szCs w:val="20"/>
              </w:rPr>
            </w:pPr>
          </w:p>
          <w:p w:rsidR="00807E10" w:rsidRDefault="00807E10">
            <w:pPr>
              <w:widowControl/>
              <w:jc w:val="center"/>
              <w:rPr>
                <w:rFonts w:ascii="宋体" w:hAnsi="宋体" w:cs="宋体"/>
                <w:color w:val="000000"/>
                <w:kern w:val="0"/>
                <w:sz w:val="20"/>
                <w:szCs w:val="20"/>
              </w:rPr>
            </w:pPr>
          </w:p>
        </w:tc>
        <w:tc>
          <w:tcPr>
            <w:tcW w:w="394" w:type="pct"/>
            <w:gridSpan w:val="2"/>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显著</w:t>
            </w:r>
          </w:p>
        </w:tc>
        <w:tc>
          <w:tcPr>
            <w:tcW w:w="355" w:type="pct"/>
            <w:gridSpan w:val="2"/>
            <w:tcBorders>
              <w:top w:val="single" w:sz="4" w:space="0" w:color="auto"/>
              <w:left w:val="nil"/>
              <w:bottom w:val="single" w:sz="4" w:space="0" w:color="auto"/>
              <w:right w:val="single" w:sz="4" w:space="0" w:color="auto"/>
            </w:tcBorders>
            <w:vAlign w:val="center"/>
          </w:tcPr>
          <w:p w:rsidR="00807E10" w:rsidRDefault="00DF7549">
            <w:pPr>
              <w:jc w:val="center"/>
              <w:rPr>
                <w:rFonts w:ascii="宋体" w:hAnsi="宋体" w:cs="宋体"/>
                <w:color w:val="000000"/>
                <w:sz w:val="22"/>
                <w:szCs w:val="22"/>
              </w:rPr>
            </w:pPr>
            <w:r>
              <w:rPr>
                <w:rFonts w:hint="eastAsia"/>
                <w:color w:val="000000"/>
                <w:sz w:val="22"/>
                <w:szCs w:val="22"/>
              </w:rPr>
              <w:t>基本达成预期目标</w:t>
            </w:r>
          </w:p>
        </w:tc>
        <w:tc>
          <w:tcPr>
            <w:tcW w:w="217" w:type="pct"/>
            <w:gridSpan w:val="2"/>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7" w:type="pct"/>
            <w:gridSpan w:val="2"/>
            <w:tcBorders>
              <w:top w:val="single" w:sz="4" w:space="0" w:color="auto"/>
              <w:left w:val="nil"/>
              <w:bottom w:val="single" w:sz="4" w:space="0" w:color="auto"/>
              <w:right w:val="nil"/>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4　</w:t>
            </w:r>
          </w:p>
        </w:tc>
        <w:tc>
          <w:tcPr>
            <w:tcW w:w="1316"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450" w:type="pct"/>
            <w:tcBorders>
              <w:top w:val="single" w:sz="4" w:space="0" w:color="auto"/>
              <w:left w:val="nil"/>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807E10">
        <w:trPr>
          <w:trHeight w:val="136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tcBorders>
              <w:top w:val="nil"/>
              <w:left w:val="nil"/>
              <w:bottom w:val="single" w:sz="4" w:space="0" w:color="auto"/>
              <w:right w:val="single" w:sz="4" w:space="0" w:color="auto"/>
            </w:tcBorders>
            <w:vAlign w:val="center"/>
          </w:tcPr>
          <w:p w:rsidR="00807E10" w:rsidRDefault="00DF7549">
            <w:pPr>
              <w:widowControl/>
              <w:jc w:val="center"/>
              <w:rPr>
                <w:rFonts w:asciiTheme="majorEastAsia" w:eastAsiaTheme="majorEastAsia" w:hAnsiTheme="majorEastAsia" w:cs="宋体"/>
                <w:color w:val="000000"/>
                <w:kern w:val="0"/>
                <w:sz w:val="20"/>
                <w:szCs w:val="20"/>
              </w:rPr>
            </w:pPr>
            <w:r>
              <w:rPr>
                <w:rFonts w:asciiTheme="majorEastAsia" w:eastAsiaTheme="majorEastAsia" w:hAnsiTheme="majorEastAsia" w:hint="eastAsia"/>
                <w:color w:val="000000"/>
                <w:sz w:val="20"/>
                <w:szCs w:val="20"/>
              </w:rPr>
              <w:t>指标</w:t>
            </w:r>
          </w:p>
        </w:tc>
        <w:tc>
          <w:tcPr>
            <w:tcW w:w="788" w:type="pct"/>
            <w:gridSpan w:val="3"/>
            <w:tcBorders>
              <w:top w:val="single" w:sz="4" w:space="0" w:color="auto"/>
              <w:left w:val="nil"/>
              <w:bottom w:val="single" w:sz="4" w:space="0" w:color="auto"/>
              <w:right w:val="single" w:sz="4" w:space="0" w:color="000000"/>
            </w:tcBorders>
            <w:vAlign w:val="center"/>
          </w:tcPr>
          <w:p w:rsidR="00807E10" w:rsidRDefault="00DF7549">
            <w:pPr>
              <w:widowControl/>
              <w:jc w:val="center"/>
              <w:rPr>
                <w:rFonts w:asciiTheme="majorEastAsia" w:eastAsiaTheme="majorEastAsia" w:hAnsiTheme="majorEastAsia" w:cs="宋体"/>
                <w:color w:val="000000"/>
                <w:kern w:val="0"/>
                <w:sz w:val="20"/>
                <w:szCs w:val="20"/>
              </w:rPr>
            </w:pPr>
            <w:r>
              <w:rPr>
                <w:rFonts w:asciiTheme="majorEastAsia" w:eastAsiaTheme="majorEastAsia" w:hAnsiTheme="majorEastAsia" w:hint="eastAsia"/>
                <w:color w:val="000000"/>
                <w:sz w:val="20"/>
                <w:szCs w:val="20"/>
              </w:rPr>
              <w:t>2020年</w:t>
            </w:r>
          </w:p>
        </w:tc>
        <w:tc>
          <w:tcPr>
            <w:tcW w:w="355" w:type="pct"/>
            <w:gridSpan w:val="2"/>
            <w:tcBorders>
              <w:top w:val="nil"/>
              <w:left w:val="nil"/>
              <w:bottom w:val="single" w:sz="4" w:space="0" w:color="auto"/>
              <w:right w:val="single" w:sz="4" w:space="0" w:color="auto"/>
            </w:tcBorders>
            <w:vAlign w:val="center"/>
          </w:tcPr>
          <w:p w:rsidR="00807E10" w:rsidRDefault="00DF7549">
            <w:pPr>
              <w:widowControl/>
              <w:jc w:val="center"/>
              <w:rPr>
                <w:rFonts w:asciiTheme="majorEastAsia" w:eastAsiaTheme="majorEastAsia" w:hAnsiTheme="majorEastAsia" w:cs="宋体"/>
                <w:color w:val="000000"/>
                <w:kern w:val="0"/>
                <w:sz w:val="20"/>
                <w:szCs w:val="20"/>
              </w:rPr>
            </w:pPr>
            <w:r>
              <w:rPr>
                <w:rFonts w:asciiTheme="majorEastAsia" w:eastAsiaTheme="majorEastAsia" w:hAnsiTheme="majorEastAsia" w:hint="eastAsia"/>
                <w:color w:val="000000"/>
                <w:sz w:val="20"/>
                <w:szCs w:val="20"/>
              </w:rPr>
              <w:t>2021年</w:t>
            </w:r>
          </w:p>
        </w:tc>
        <w:tc>
          <w:tcPr>
            <w:tcW w:w="217" w:type="pct"/>
            <w:gridSpan w:val="2"/>
            <w:tcBorders>
              <w:top w:val="nil"/>
              <w:left w:val="nil"/>
              <w:bottom w:val="single" w:sz="4" w:space="0" w:color="auto"/>
              <w:right w:val="single" w:sz="4" w:space="0" w:color="auto"/>
            </w:tcBorders>
            <w:vAlign w:val="center"/>
          </w:tcPr>
          <w:p w:rsidR="00807E10" w:rsidRDefault="00DF7549">
            <w:pPr>
              <w:widowControl/>
              <w:jc w:val="center"/>
              <w:rPr>
                <w:rFonts w:asciiTheme="majorEastAsia" w:eastAsiaTheme="majorEastAsia" w:hAnsiTheme="majorEastAsia" w:cs="宋体"/>
                <w:color w:val="000000"/>
                <w:kern w:val="0"/>
                <w:sz w:val="20"/>
                <w:szCs w:val="20"/>
              </w:rPr>
            </w:pPr>
            <w:r>
              <w:rPr>
                <w:rFonts w:asciiTheme="majorEastAsia" w:eastAsiaTheme="majorEastAsia" w:hAnsiTheme="majorEastAsia" w:hint="eastAsia"/>
                <w:color w:val="000000"/>
                <w:sz w:val="20"/>
                <w:szCs w:val="20"/>
              </w:rPr>
              <w:t>分值</w:t>
            </w:r>
          </w:p>
        </w:tc>
        <w:tc>
          <w:tcPr>
            <w:tcW w:w="297" w:type="pct"/>
            <w:gridSpan w:val="2"/>
            <w:tcBorders>
              <w:top w:val="nil"/>
              <w:left w:val="nil"/>
              <w:bottom w:val="single" w:sz="4" w:space="0" w:color="auto"/>
              <w:right w:val="nil"/>
            </w:tcBorders>
            <w:vAlign w:val="center"/>
          </w:tcPr>
          <w:p w:rsidR="00807E10" w:rsidRDefault="00DF7549">
            <w:pPr>
              <w:widowControl/>
              <w:jc w:val="center"/>
              <w:rPr>
                <w:rFonts w:asciiTheme="majorEastAsia" w:eastAsiaTheme="majorEastAsia" w:hAnsiTheme="majorEastAsia" w:cs="宋体"/>
                <w:color w:val="000000"/>
                <w:kern w:val="0"/>
                <w:sz w:val="20"/>
                <w:szCs w:val="20"/>
              </w:rPr>
            </w:pPr>
            <w:r>
              <w:rPr>
                <w:rFonts w:asciiTheme="majorEastAsia" w:eastAsiaTheme="majorEastAsia" w:hAnsiTheme="majorEastAsia" w:hint="eastAsia"/>
                <w:color w:val="000000"/>
                <w:sz w:val="20"/>
                <w:szCs w:val="20"/>
              </w:rPr>
              <w:t>得分</w:t>
            </w:r>
          </w:p>
        </w:tc>
        <w:tc>
          <w:tcPr>
            <w:tcW w:w="1316"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hint="eastAsia"/>
                <w:color w:val="000000"/>
                <w:sz w:val="18"/>
                <w:szCs w:val="18"/>
              </w:rPr>
              <w:t>指标解释</w:t>
            </w:r>
          </w:p>
        </w:tc>
        <w:tc>
          <w:tcPr>
            <w:tcW w:w="1450" w:type="pct"/>
            <w:tcBorders>
              <w:top w:val="single" w:sz="4" w:space="0" w:color="auto"/>
              <w:left w:val="nil"/>
              <w:bottom w:val="single" w:sz="4" w:space="0" w:color="auto"/>
              <w:right w:val="single" w:sz="4" w:space="0" w:color="auto"/>
            </w:tcBorders>
            <w:vAlign w:val="center"/>
          </w:tcPr>
          <w:p w:rsidR="00807E10" w:rsidRDefault="00DF7549">
            <w:pPr>
              <w:widowControl/>
              <w:jc w:val="center"/>
              <w:rPr>
                <w:rFonts w:asciiTheme="majorEastAsia" w:eastAsiaTheme="majorEastAsia" w:hAnsiTheme="majorEastAsia" w:cs="宋体"/>
                <w:color w:val="000000"/>
                <w:kern w:val="0"/>
                <w:sz w:val="18"/>
                <w:szCs w:val="18"/>
              </w:rPr>
            </w:pPr>
            <w:r>
              <w:rPr>
                <w:rFonts w:asciiTheme="majorEastAsia" w:eastAsiaTheme="majorEastAsia" w:hAnsiTheme="majorEastAsia" w:hint="eastAsia"/>
                <w:color w:val="000000"/>
                <w:sz w:val="18"/>
                <w:szCs w:val="18"/>
              </w:rPr>
              <w:t>评分标准</w:t>
            </w:r>
          </w:p>
        </w:tc>
      </w:tr>
      <w:tr w:rsidR="00807E10">
        <w:trPr>
          <w:trHeight w:val="1365"/>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tcBorders>
              <w:top w:val="nil"/>
              <w:left w:val="nil"/>
              <w:bottom w:val="single" w:sz="4" w:space="0" w:color="auto"/>
              <w:right w:val="single" w:sz="4" w:space="0" w:color="auto"/>
            </w:tcBorders>
            <w:vAlign w:val="center"/>
          </w:tcPr>
          <w:p w:rsidR="00807E10" w:rsidRDefault="00DF7549">
            <w:pPr>
              <w:widowControl/>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788" w:type="pct"/>
            <w:gridSpan w:val="3"/>
            <w:tcBorders>
              <w:top w:val="single" w:sz="4" w:space="0" w:color="auto"/>
              <w:left w:val="nil"/>
              <w:bottom w:val="single" w:sz="4" w:space="0" w:color="auto"/>
              <w:right w:val="single" w:sz="4" w:space="0" w:color="000000"/>
            </w:tcBorders>
            <w:vAlign w:val="center"/>
          </w:tcPr>
          <w:p w:rsidR="00807E10" w:rsidRDefault="00DF7549">
            <w:pPr>
              <w:widowControl/>
              <w:jc w:val="center"/>
              <w:rPr>
                <w:rFonts w:ascii="宋体" w:hAnsi="宋体" w:cs="宋体"/>
                <w:color w:val="000000"/>
                <w:kern w:val="0"/>
                <w:sz w:val="20"/>
                <w:szCs w:val="20"/>
                <w:highlight w:val="yellow"/>
              </w:rPr>
            </w:pPr>
            <w:r>
              <w:rPr>
                <w:rFonts w:ascii="宋体" w:hAnsi="宋体" w:cs="宋体"/>
                <w:color w:val="000000"/>
                <w:kern w:val="0"/>
                <w:sz w:val="20"/>
                <w:szCs w:val="20"/>
              </w:rPr>
              <w:t>0.93</w:t>
            </w:r>
            <w:r>
              <w:rPr>
                <w:rFonts w:ascii="宋体" w:hAnsi="宋体" w:cs="宋体" w:hint="eastAsia"/>
                <w:color w:val="000000"/>
                <w:kern w:val="0"/>
                <w:sz w:val="20"/>
                <w:szCs w:val="20"/>
              </w:rPr>
              <w:t>%</w:t>
            </w:r>
          </w:p>
        </w:tc>
        <w:tc>
          <w:tcPr>
            <w:tcW w:w="355" w:type="pct"/>
            <w:gridSpan w:val="2"/>
            <w:tcBorders>
              <w:top w:val="nil"/>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3.01%　</w:t>
            </w:r>
          </w:p>
        </w:tc>
        <w:tc>
          <w:tcPr>
            <w:tcW w:w="217" w:type="pct"/>
            <w:gridSpan w:val="2"/>
            <w:tcBorders>
              <w:top w:val="nil"/>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7" w:type="pct"/>
            <w:gridSpan w:val="2"/>
            <w:tcBorders>
              <w:top w:val="nil"/>
              <w:left w:val="nil"/>
              <w:bottom w:val="single" w:sz="4" w:space="0" w:color="auto"/>
              <w:right w:val="nil"/>
            </w:tcBorders>
            <w:vAlign w:val="center"/>
          </w:tcPr>
          <w:p w:rsidR="00807E10" w:rsidRDefault="00DF7549">
            <w:pPr>
              <w:widowControl/>
              <w:jc w:val="center"/>
              <w:rPr>
                <w:rFonts w:ascii="宋体" w:hAnsi="宋体" w:cs="宋体"/>
                <w:color w:val="000000"/>
                <w:kern w:val="0"/>
                <w:sz w:val="20"/>
                <w:szCs w:val="20"/>
              </w:rPr>
            </w:pPr>
            <w:r>
              <w:rPr>
                <w:rFonts w:ascii="宋体" w:hAnsi="宋体" w:cs="宋体"/>
                <w:color w:val="000000"/>
                <w:kern w:val="0"/>
                <w:sz w:val="20"/>
                <w:szCs w:val="20"/>
              </w:rPr>
              <w:t>2.8</w:t>
            </w:r>
            <w:r>
              <w:rPr>
                <w:rFonts w:ascii="宋体" w:hAnsi="宋体" w:cs="宋体" w:hint="eastAsia"/>
                <w:color w:val="000000"/>
                <w:kern w:val="0"/>
                <w:sz w:val="20"/>
                <w:szCs w:val="20"/>
              </w:rPr>
              <w:t xml:space="preserve">　</w:t>
            </w:r>
          </w:p>
        </w:tc>
        <w:tc>
          <w:tcPr>
            <w:tcW w:w="1316" w:type="pct"/>
            <w:gridSpan w:val="2"/>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结转结余总额：部门（单位）本年度的结转资金与结余资金之和。</w:t>
            </w:r>
          </w:p>
        </w:tc>
        <w:tc>
          <w:tcPr>
            <w:tcW w:w="1450" w:type="pct"/>
            <w:tcBorders>
              <w:top w:val="single" w:sz="4" w:space="0" w:color="auto"/>
              <w:left w:val="nil"/>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rsidR="00807E10">
        <w:trPr>
          <w:trHeight w:val="90"/>
        </w:trPr>
        <w:tc>
          <w:tcPr>
            <w:tcW w:w="288" w:type="pct"/>
            <w:vMerge/>
            <w:tcBorders>
              <w:top w:val="nil"/>
              <w:left w:val="single" w:sz="4" w:space="0" w:color="auto"/>
              <w:bottom w:val="single" w:sz="4" w:space="0" w:color="000000"/>
              <w:right w:val="single" w:sz="4" w:space="0" w:color="auto"/>
            </w:tcBorders>
            <w:vAlign w:val="center"/>
          </w:tcPr>
          <w:p w:rsidR="00807E10" w:rsidRDefault="00807E10">
            <w:pPr>
              <w:widowControl/>
              <w:jc w:val="left"/>
              <w:rPr>
                <w:rFonts w:ascii="宋体" w:hAnsi="宋体" w:cs="宋体"/>
                <w:color w:val="000000"/>
                <w:kern w:val="0"/>
                <w:sz w:val="20"/>
                <w:szCs w:val="20"/>
              </w:rPr>
            </w:pPr>
          </w:p>
        </w:tc>
        <w:tc>
          <w:tcPr>
            <w:tcW w:w="289" w:type="pct"/>
            <w:tcBorders>
              <w:top w:val="nil"/>
              <w:left w:val="nil"/>
              <w:bottom w:val="single" w:sz="4" w:space="0" w:color="auto"/>
              <w:right w:val="single" w:sz="4" w:space="0" w:color="auto"/>
            </w:tcBorders>
            <w:vAlign w:val="center"/>
          </w:tcPr>
          <w:p w:rsidR="00807E10" w:rsidRDefault="00DF7549">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788" w:type="pct"/>
            <w:gridSpan w:val="3"/>
            <w:tcBorders>
              <w:top w:val="single" w:sz="4" w:space="0" w:color="auto"/>
              <w:left w:val="nil"/>
              <w:bottom w:val="single" w:sz="4" w:space="0" w:color="auto"/>
              <w:right w:val="nil"/>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55" w:type="pct"/>
            <w:gridSpan w:val="2"/>
            <w:tcBorders>
              <w:top w:val="nil"/>
              <w:left w:val="single" w:sz="4" w:space="0" w:color="auto"/>
              <w:bottom w:val="single" w:sz="4" w:space="0" w:color="auto"/>
              <w:right w:val="single" w:sz="4" w:space="0" w:color="auto"/>
            </w:tcBorders>
            <w:vAlign w:val="center"/>
          </w:tcPr>
          <w:p w:rsidR="00807E10" w:rsidRDefault="00A459A3" w:rsidP="00A8051C">
            <w:pPr>
              <w:widowControl/>
              <w:jc w:val="center"/>
              <w:rPr>
                <w:rFonts w:ascii="宋体" w:hAnsi="宋体" w:cs="宋体"/>
                <w:color w:val="000000"/>
                <w:kern w:val="0"/>
                <w:sz w:val="20"/>
                <w:szCs w:val="20"/>
              </w:rPr>
            </w:pPr>
            <w:r w:rsidRPr="00A459A3">
              <w:rPr>
                <w:rFonts w:ascii="宋体" w:hAnsi="宋体" w:cs="宋体"/>
                <w:color w:val="000000"/>
                <w:kern w:val="0"/>
                <w:sz w:val="20"/>
                <w:szCs w:val="20"/>
              </w:rPr>
              <w:t>1.</w:t>
            </w:r>
            <w:r w:rsidR="00A8051C">
              <w:rPr>
                <w:rFonts w:ascii="宋体" w:hAnsi="宋体" w:cs="宋体"/>
                <w:color w:val="000000"/>
                <w:kern w:val="0"/>
                <w:sz w:val="20"/>
                <w:szCs w:val="20"/>
              </w:rPr>
              <w:t>67</w:t>
            </w:r>
            <w:r w:rsidRPr="00A459A3">
              <w:rPr>
                <w:rFonts w:ascii="宋体" w:hAnsi="宋体" w:cs="宋体"/>
                <w:color w:val="000000"/>
                <w:kern w:val="0"/>
                <w:sz w:val="20"/>
                <w:szCs w:val="20"/>
              </w:rPr>
              <w:t>%</w:t>
            </w:r>
          </w:p>
        </w:tc>
        <w:tc>
          <w:tcPr>
            <w:tcW w:w="217" w:type="pct"/>
            <w:gridSpan w:val="2"/>
            <w:tcBorders>
              <w:top w:val="nil"/>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7" w:type="pct"/>
            <w:gridSpan w:val="2"/>
            <w:tcBorders>
              <w:top w:val="nil"/>
              <w:left w:val="nil"/>
              <w:bottom w:val="single" w:sz="4" w:space="0" w:color="auto"/>
              <w:right w:val="nil"/>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316" w:type="pct"/>
            <w:gridSpan w:val="2"/>
            <w:tcBorders>
              <w:top w:val="nil"/>
              <w:left w:val="single" w:sz="4" w:space="0" w:color="auto"/>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450" w:type="pct"/>
            <w:tcBorders>
              <w:top w:val="nil"/>
              <w:left w:val="nil"/>
              <w:bottom w:val="single" w:sz="4" w:space="0" w:color="auto"/>
              <w:right w:val="single" w:sz="4" w:space="0" w:color="auto"/>
            </w:tcBorders>
            <w:vAlign w:val="center"/>
          </w:tcPr>
          <w:p w:rsidR="00807E10" w:rsidRDefault="00DF7549">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807E10">
        <w:trPr>
          <w:trHeight w:val="302"/>
        </w:trPr>
        <w:tc>
          <w:tcPr>
            <w:tcW w:w="1720" w:type="pct"/>
            <w:gridSpan w:val="7"/>
            <w:tcBorders>
              <w:top w:val="single" w:sz="4" w:space="0" w:color="auto"/>
              <w:left w:val="single" w:sz="4" w:space="0" w:color="auto"/>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217" w:type="pct"/>
            <w:gridSpan w:val="2"/>
            <w:tcBorders>
              <w:top w:val="nil"/>
              <w:left w:val="nil"/>
              <w:bottom w:val="single" w:sz="4" w:space="0" w:color="auto"/>
              <w:right w:val="single" w:sz="4" w:space="0" w:color="auto"/>
            </w:tcBorders>
            <w:vAlign w:val="center"/>
          </w:tcPr>
          <w:p w:rsidR="00807E10" w:rsidRDefault="00DF7549">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297" w:type="pct"/>
            <w:gridSpan w:val="2"/>
            <w:tcBorders>
              <w:top w:val="nil"/>
              <w:left w:val="nil"/>
              <w:bottom w:val="single" w:sz="4" w:space="0" w:color="auto"/>
              <w:right w:val="nil"/>
            </w:tcBorders>
            <w:vAlign w:val="center"/>
          </w:tcPr>
          <w:p w:rsidR="00807E10" w:rsidRDefault="00DF7549">
            <w:pPr>
              <w:widowControl/>
              <w:jc w:val="center"/>
              <w:rPr>
                <w:rFonts w:ascii="宋体" w:hAnsi="宋体" w:cs="宋体"/>
                <w:color w:val="000000"/>
                <w:kern w:val="0"/>
                <w:sz w:val="20"/>
                <w:szCs w:val="20"/>
                <w:highlight w:val="yellow"/>
              </w:rPr>
            </w:pPr>
            <w:r>
              <w:rPr>
                <w:rFonts w:ascii="宋体" w:hAnsi="宋体" w:cs="宋体" w:hint="eastAsia"/>
                <w:color w:val="000000"/>
                <w:kern w:val="0"/>
                <w:sz w:val="20"/>
                <w:szCs w:val="20"/>
              </w:rPr>
              <w:t>9</w:t>
            </w:r>
            <w:r>
              <w:rPr>
                <w:rFonts w:ascii="宋体" w:hAnsi="宋体" w:cs="宋体"/>
                <w:color w:val="000000"/>
                <w:kern w:val="0"/>
                <w:sz w:val="20"/>
                <w:szCs w:val="20"/>
              </w:rPr>
              <w:t>4.20</w:t>
            </w:r>
          </w:p>
        </w:tc>
        <w:tc>
          <w:tcPr>
            <w:tcW w:w="2766" w:type="pct"/>
            <w:gridSpan w:val="3"/>
            <w:tcBorders>
              <w:top w:val="single" w:sz="4" w:space="0" w:color="auto"/>
              <w:left w:val="single" w:sz="4" w:space="0" w:color="auto"/>
              <w:bottom w:val="single" w:sz="4" w:space="0" w:color="auto"/>
              <w:right w:val="single" w:sz="4" w:space="0" w:color="000000"/>
            </w:tcBorders>
            <w:vAlign w:val="center"/>
          </w:tcPr>
          <w:p w:rsidR="00807E10" w:rsidRDefault="00DF7549">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807E10" w:rsidRDefault="00807E10">
      <w:bookmarkStart w:id="0" w:name="_GoBack"/>
      <w:bookmarkEnd w:id="0"/>
    </w:p>
    <w:sectPr w:rsidR="00807E10">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951" w:rsidRDefault="00535951">
      <w:r>
        <w:separator/>
      </w:r>
    </w:p>
  </w:endnote>
  <w:endnote w:type="continuationSeparator" w:id="0">
    <w:p w:rsidR="00535951" w:rsidRDefault="0053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E10" w:rsidRDefault="00DF7549">
    <w:pPr>
      <w:pStyle w:val="a6"/>
      <w:jc w:val="right"/>
      <w:rPr>
        <w:rFonts w:ascii="宋体" w:hAnsi="宋体"/>
        <w:sz w:val="28"/>
        <w:szCs w:val="28"/>
      </w:rPr>
    </w:pPr>
    <w:r>
      <w:rPr>
        <w:noProof/>
        <w:sz w:val="28"/>
        <w:szCs w:val="20"/>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807E10" w:rsidRDefault="00DF7549">
                          <w:pPr>
                            <w:pStyle w:val="a6"/>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A8051C" w:rsidRPr="00A8051C">
                            <w:rPr>
                              <w:rFonts w:ascii="宋体" w:hAnsi="宋体"/>
                              <w:noProof/>
                              <w:sz w:val="28"/>
                              <w:szCs w:val="28"/>
                              <w:lang w:val="zh-CN"/>
                            </w:rPr>
                            <w:t>-</w:t>
                          </w:r>
                          <w:r w:rsidR="00A8051C">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rsidR="00807E10" w:rsidRDefault="00DF7549">
                    <w:pPr>
                      <w:pStyle w:val="a6"/>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A8051C" w:rsidRPr="00A8051C">
                      <w:rPr>
                        <w:rFonts w:ascii="宋体" w:hAnsi="宋体"/>
                        <w:noProof/>
                        <w:sz w:val="28"/>
                        <w:szCs w:val="28"/>
                        <w:lang w:val="zh-CN"/>
                      </w:rPr>
                      <w:t>-</w:t>
                    </w:r>
                    <w:r w:rsidR="00A8051C">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807E10" w:rsidRDefault="00807E1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951" w:rsidRDefault="00535951">
      <w:r>
        <w:separator/>
      </w:r>
    </w:p>
  </w:footnote>
  <w:footnote w:type="continuationSeparator" w:id="0">
    <w:p w:rsidR="00535951" w:rsidRDefault="005359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8F23C9"/>
    <w:multiLevelType w:val="singleLevel"/>
    <w:tmpl w:val="628F23C9"/>
    <w:lvl w:ilvl="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kOTIyNTAxZTUwZWFkMTJmMTM4OTMwMjg4N2U2MzMifQ=="/>
  </w:docVars>
  <w:rsids>
    <w:rsidRoot w:val="00BB1AC1"/>
    <w:rsid w:val="BAE37EA5"/>
    <w:rsid w:val="EDFB71D5"/>
    <w:rsid w:val="EFFC4F4B"/>
    <w:rsid w:val="F7F058C4"/>
    <w:rsid w:val="F9ED8527"/>
    <w:rsid w:val="FB7FBEA7"/>
    <w:rsid w:val="FE5EBF74"/>
    <w:rsid w:val="FFFFA7D2"/>
    <w:rsid w:val="00011ABA"/>
    <w:rsid w:val="000367BB"/>
    <w:rsid w:val="00040811"/>
    <w:rsid w:val="000B1217"/>
    <w:rsid w:val="000D0E65"/>
    <w:rsid w:val="00103F6E"/>
    <w:rsid w:val="0011306C"/>
    <w:rsid w:val="00166886"/>
    <w:rsid w:val="00186BF0"/>
    <w:rsid w:val="001A0139"/>
    <w:rsid w:val="001A245E"/>
    <w:rsid w:val="001D0CE1"/>
    <w:rsid w:val="001F2278"/>
    <w:rsid w:val="0022538D"/>
    <w:rsid w:val="00230F9D"/>
    <w:rsid w:val="0024129D"/>
    <w:rsid w:val="0025699F"/>
    <w:rsid w:val="00261200"/>
    <w:rsid w:val="0026436C"/>
    <w:rsid w:val="00270EE8"/>
    <w:rsid w:val="00276656"/>
    <w:rsid w:val="00283A07"/>
    <w:rsid w:val="00284629"/>
    <w:rsid w:val="00295C3A"/>
    <w:rsid w:val="002B2B5E"/>
    <w:rsid w:val="002B6C53"/>
    <w:rsid w:val="002C7AC1"/>
    <w:rsid w:val="002E33D0"/>
    <w:rsid w:val="002F3C58"/>
    <w:rsid w:val="002F58AF"/>
    <w:rsid w:val="00301262"/>
    <w:rsid w:val="00314FFD"/>
    <w:rsid w:val="00317834"/>
    <w:rsid w:val="0037736A"/>
    <w:rsid w:val="00386A8F"/>
    <w:rsid w:val="0039185C"/>
    <w:rsid w:val="003A6AE3"/>
    <w:rsid w:val="003B293A"/>
    <w:rsid w:val="003B2EED"/>
    <w:rsid w:val="003C4C35"/>
    <w:rsid w:val="003C73A3"/>
    <w:rsid w:val="003D4BA5"/>
    <w:rsid w:val="003D58BA"/>
    <w:rsid w:val="003F02F6"/>
    <w:rsid w:val="003F0B32"/>
    <w:rsid w:val="003F661F"/>
    <w:rsid w:val="003F73BD"/>
    <w:rsid w:val="003F7EAA"/>
    <w:rsid w:val="00416AAD"/>
    <w:rsid w:val="00433816"/>
    <w:rsid w:val="00436CA1"/>
    <w:rsid w:val="00454D9F"/>
    <w:rsid w:val="004576A7"/>
    <w:rsid w:val="00486CC4"/>
    <w:rsid w:val="0049118A"/>
    <w:rsid w:val="004921CB"/>
    <w:rsid w:val="004B3E05"/>
    <w:rsid w:val="004E0F9E"/>
    <w:rsid w:val="004E4C1D"/>
    <w:rsid w:val="004E562A"/>
    <w:rsid w:val="004E5957"/>
    <w:rsid w:val="004F4403"/>
    <w:rsid w:val="00514E16"/>
    <w:rsid w:val="00532AEC"/>
    <w:rsid w:val="00535951"/>
    <w:rsid w:val="005424D6"/>
    <w:rsid w:val="00563C76"/>
    <w:rsid w:val="00564FA2"/>
    <w:rsid w:val="005673F7"/>
    <w:rsid w:val="00573A36"/>
    <w:rsid w:val="005A59EF"/>
    <w:rsid w:val="005B77E2"/>
    <w:rsid w:val="005C7271"/>
    <w:rsid w:val="005F4F39"/>
    <w:rsid w:val="006054F0"/>
    <w:rsid w:val="00633583"/>
    <w:rsid w:val="00634D30"/>
    <w:rsid w:val="0068131D"/>
    <w:rsid w:val="0068526C"/>
    <w:rsid w:val="006B35CB"/>
    <w:rsid w:val="006B5775"/>
    <w:rsid w:val="006B6377"/>
    <w:rsid w:val="006D5CD0"/>
    <w:rsid w:val="006E5F4D"/>
    <w:rsid w:val="006F0837"/>
    <w:rsid w:val="006F5E00"/>
    <w:rsid w:val="00710A2D"/>
    <w:rsid w:val="007157EF"/>
    <w:rsid w:val="00720B44"/>
    <w:rsid w:val="00725090"/>
    <w:rsid w:val="00742ABB"/>
    <w:rsid w:val="007513AC"/>
    <w:rsid w:val="00766F74"/>
    <w:rsid w:val="00793F11"/>
    <w:rsid w:val="007B32A5"/>
    <w:rsid w:val="007B5EED"/>
    <w:rsid w:val="007C11B8"/>
    <w:rsid w:val="007C2247"/>
    <w:rsid w:val="007D5877"/>
    <w:rsid w:val="00801D85"/>
    <w:rsid w:val="00804FB1"/>
    <w:rsid w:val="008073DD"/>
    <w:rsid w:val="00807E10"/>
    <w:rsid w:val="008117AF"/>
    <w:rsid w:val="0083184B"/>
    <w:rsid w:val="008338F2"/>
    <w:rsid w:val="008423F4"/>
    <w:rsid w:val="00846618"/>
    <w:rsid w:val="0088741C"/>
    <w:rsid w:val="008B12C7"/>
    <w:rsid w:val="008C4850"/>
    <w:rsid w:val="008E1B1D"/>
    <w:rsid w:val="008F2A0A"/>
    <w:rsid w:val="00914947"/>
    <w:rsid w:val="00947686"/>
    <w:rsid w:val="00967618"/>
    <w:rsid w:val="00976264"/>
    <w:rsid w:val="009838E9"/>
    <w:rsid w:val="009847CA"/>
    <w:rsid w:val="00985416"/>
    <w:rsid w:val="009B0354"/>
    <w:rsid w:val="009B1C7F"/>
    <w:rsid w:val="009B1FC5"/>
    <w:rsid w:val="009C08A5"/>
    <w:rsid w:val="009C421B"/>
    <w:rsid w:val="009F2B69"/>
    <w:rsid w:val="00A03E0C"/>
    <w:rsid w:val="00A05F6D"/>
    <w:rsid w:val="00A13354"/>
    <w:rsid w:val="00A240CF"/>
    <w:rsid w:val="00A31084"/>
    <w:rsid w:val="00A37355"/>
    <w:rsid w:val="00A433AD"/>
    <w:rsid w:val="00A43EBC"/>
    <w:rsid w:val="00A459A3"/>
    <w:rsid w:val="00A55E5A"/>
    <w:rsid w:val="00A6059E"/>
    <w:rsid w:val="00A8051C"/>
    <w:rsid w:val="00A84C46"/>
    <w:rsid w:val="00A9424B"/>
    <w:rsid w:val="00AA56DE"/>
    <w:rsid w:val="00AB0D78"/>
    <w:rsid w:val="00AD0ABC"/>
    <w:rsid w:val="00AF4D8C"/>
    <w:rsid w:val="00B02D16"/>
    <w:rsid w:val="00B04763"/>
    <w:rsid w:val="00B343C1"/>
    <w:rsid w:val="00B416F1"/>
    <w:rsid w:val="00BA76E6"/>
    <w:rsid w:val="00BA7EA3"/>
    <w:rsid w:val="00BB1AC1"/>
    <w:rsid w:val="00BB3D9E"/>
    <w:rsid w:val="00BE203A"/>
    <w:rsid w:val="00BE4E27"/>
    <w:rsid w:val="00C02DD1"/>
    <w:rsid w:val="00C2780C"/>
    <w:rsid w:val="00C4413E"/>
    <w:rsid w:val="00C53380"/>
    <w:rsid w:val="00C556F8"/>
    <w:rsid w:val="00C57A0E"/>
    <w:rsid w:val="00C81D07"/>
    <w:rsid w:val="00C82EF9"/>
    <w:rsid w:val="00C914D2"/>
    <w:rsid w:val="00C9656B"/>
    <w:rsid w:val="00CA276C"/>
    <w:rsid w:val="00CC13CA"/>
    <w:rsid w:val="00CC49DF"/>
    <w:rsid w:val="00CD0FF5"/>
    <w:rsid w:val="00D00931"/>
    <w:rsid w:val="00D12565"/>
    <w:rsid w:val="00D1674F"/>
    <w:rsid w:val="00D23408"/>
    <w:rsid w:val="00D25F14"/>
    <w:rsid w:val="00D30D3A"/>
    <w:rsid w:val="00D410CF"/>
    <w:rsid w:val="00D45F4E"/>
    <w:rsid w:val="00D47136"/>
    <w:rsid w:val="00D50564"/>
    <w:rsid w:val="00D5083B"/>
    <w:rsid w:val="00DD6E17"/>
    <w:rsid w:val="00DF7549"/>
    <w:rsid w:val="00E00FFA"/>
    <w:rsid w:val="00E06B0B"/>
    <w:rsid w:val="00E24980"/>
    <w:rsid w:val="00E27E3F"/>
    <w:rsid w:val="00E9167A"/>
    <w:rsid w:val="00E95265"/>
    <w:rsid w:val="00EA0EC7"/>
    <w:rsid w:val="00EA40A2"/>
    <w:rsid w:val="00EA5012"/>
    <w:rsid w:val="00EB2474"/>
    <w:rsid w:val="00EC7794"/>
    <w:rsid w:val="00EF4AF4"/>
    <w:rsid w:val="00EF7A4E"/>
    <w:rsid w:val="00F04A74"/>
    <w:rsid w:val="00F11CF9"/>
    <w:rsid w:val="00F249EA"/>
    <w:rsid w:val="00F31229"/>
    <w:rsid w:val="00F34562"/>
    <w:rsid w:val="00F43139"/>
    <w:rsid w:val="00F47CA4"/>
    <w:rsid w:val="00F50E30"/>
    <w:rsid w:val="00F52DC6"/>
    <w:rsid w:val="00F615EF"/>
    <w:rsid w:val="00F8468C"/>
    <w:rsid w:val="00F849FC"/>
    <w:rsid w:val="00F905A8"/>
    <w:rsid w:val="00F92806"/>
    <w:rsid w:val="00F95978"/>
    <w:rsid w:val="00FB0BEB"/>
    <w:rsid w:val="00FB386C"/>
    <w:rsid w:val="00FB6770"/>
    <w:rsid w:val="00FC6B06"/>
    <w:rsid w:val="00FC78C8"/>
    <w:rsid w:val="03087393"/>
    <w:rsid w:val="0EEFAF59"/>
    <w:rsid w:val="13CF1953"/>
    <w:rsid w:val="172794BD"/>
    <w:rsid w:val="1BF900AC"/>
    <w:rsid w:val="23502079"/>
    <w:rsid w:val="3FC85150"/>
    <w:rsid w:val="4E69016F"/>
    <w:rsid w:val="543F5122"/>
    <w:rsid w:val="555B4518"/>
    <w:rsid w:val="57666F8F"/>
    <w:rsid w:val="57EE5ED1"/>
    <w:rsid w:val="5F3B193E"/>
    <w:rsid w:val="5FFF87CA"/>
    <w:rsid w:val="63065C6F"/>
    <w:rsid w:val="667B7D37"/>
    <w:rsid w:val="6DE42548"/>
    <w:rsid w:val="6E9B6E93"/>
    <w:rsid w:val="6F3B575C"/>
    <w:rsid w:val="6FDD6CC5"/>
    <w:rsid w:val="737727EC"/>
    <w:rsid w:val="76F5C39F"/>
    <w:rsid w:val="77FDD349"/>
    <w:rsid w:val="7B5F66F9"/>
    <w:rsid w:val="7E6FD341"/>
    <w:rsid w:val="7F7F8FE4"/>
    <w:rsid w:val="7FF3C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9C52C1-46F1-460F-8E48-11602498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link w:val="2Char"/>
    <w:uiPriority w:val="9"/>
    <w:unhideWhenUsed/>
    <w:qFormat/>
    <w:pPr>
      <w:keepNext/>
      <w:keepLines/>
      <w:spacing w:before="260" w:after="260" w:line="416" w:lineRule="auto"/>
      <w:jc w:val="center"/>
      <w:outlineLvl w:val="1"/>
    </w:pPr>
    <w:rPr>
      <w:rFonts w:ascii="Cambria" w:eastAsia="仿宋"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Document Map"/>
    <w:basedOn w:val="a"/>
    <w:link w:val="Char1"/>
    <w:uiPriority w:val="99"/>
    <w:unhideWhenUsed/>
    <w:qFormat/>
    <w:rPr>
      <w:rFonts w:ascii="宋体"/>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semiHidden/>
    <w:qFormat/>
    <w:rPr>
      <w:sz w:val="18"/>
      <w:szCs w:val="18"/>
    </w:rPr>
  </w:style>
  <w:style w:type="character" w:customStyle="1" w:styleId="Char1">
    <w:name w:val="文档结构图 Char"/>
    <w:basedOn w:val="a0"/>
    <w:link w:val="a5"/>
    <w:uiPriority w:val="99"/>
    <w:semiHidden/>
    <w:qFormat/>
    <w:rPr>
      <w:rFonts w:ascii="宋体" w:eastAsia="宋体" w:hAnsi="Times New Roman" w:cs="Times New Roman"/>
      <w:sz w:val="18"/>
      <w:szCs w:val="18"/>
    </w:rPr>
  </w:style>
  <w:style w:type="character" w:customStyle="1" w:styleId="2Char">
    <w:name w:val="标题 2 Char"/>
    <w:basedOn w:val="a0"/>
    <w:link w:val="2"/>
    <w:uiPriority w:val="9"/>
    <w:qFormat/>
    <w:rPr>
      <w:rFonts w:ascii="Cambria" w:eastAsia="仿宋" w:hAnsi="Cambria" w:cs="Times New Roman"/>
      <w:b/>
      <w:bCs/>
      <w:sz w:val="32"/>
      <w:szCs w:val="32"/>
    </w:rPr>
  </w:style>
  <w:style w:type="paragraph" w:customStyle="1" w:styleId="BIAR2">
    <w:name w:val="BIAR标题2"/>
    <w:basedOn w:val="a"/>
    <w:next w:val="a"/>
    <w:qFormat/>
    <w:pPr>
      <w:jc w:val="left"/>
      <w:outlineLvl w:val="1"/>
    </w:pPr>
    <w:rPr>
      <w:rFonts w:ascii="宋体" w:hAnsi="宋体"/>
      <w:b/>
      <w:sz w:val="30"/>
    </w:rPr>
  </w:style>
  <w:style w:type="paragraph" w:customStyle="1" w:styleId="1">
    <w:name w:val="列表段落1"/>
    <w:basedOn w:val="a"/>
    <w:uiPriority w:val="34"/>
    <w:qFormat/>
    <w:pPr>
      <w:ind w:firstLineChars="200" w:firstLine="420"/>
    </w:pPr>
  </w:style>
  <w:style w:type="character" w:customStyle="1" w:styleId="Char0">
    <w:name w:val="批注文字 Char"/>
    <w:basedOn w:val="a0"/>
    <w:link w:val="a4"/>
    <w:uiPriority w:val="99"/>
    <w:qFormat/>
    <w:rPr>
      <w:kern w:val="2"/>
      <w:sz w:val="21"/>
      <w:szCs w:val="24"/>
    </w:rPr>
  </w:style>
  <w:style w:type="character" w:customStyle="1" w:styleId="Char">
    <w:name w:val="批注主题 Char"/>
    <w:basedOn w:val="Char0"/>
    <w:link w:val="a3"/>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045400">
      <w:bodyDiv w:val="1"/>
      <w:marLeft w:val="0"/>
      <w:marRight w:val="0"/>
      <w:marTop w:val="0"/>
      <w:marBottom w:val="0"/>
      <w:divBdr>
        <w:top w:val="none" w:sz="0" w:space="0" w:color="auto"/>
        <w:left w:val="none" w:sz="0" w:space="0" w:color="auto"/>
        <w:bottom w:val="none" w:sz="0" w:space="0" w:color="auto"/>
        <w:right w:val="none" w:sz="0" w:space="0" w:color="auto"/>
      </w:divBdr>
    </w:div>
    <w:div w:id="1955206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1521</Words>
  <Characters>8670</Characters>
  <Application>Microsoft Office Word</Application>
  <DocSecurity>0</DocSecurity>
  <Lines>72</Lines>
  <Paragraphs>20</Paragraphs>
  <ScaleCrop>false</ScaleCrop>
  <Company>Microsoft</Company>
  <LinksUpToDate>false</LinksUpToDate>
  <CharactersWithSpaces>10171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wangjinling</cp:lastModifiedBy>
  <cp:revision>3</cp:revision>
  <cp:lastPrinted>2022-05-18T17:27:00Z</cp:lastPrinted>
  <dcterms:created xsi:type="dcterms:W3CDTF">2022-06-08T08:33:00Z</dcterms:created>
  <dcterms:modified xsi:type="dcterms:W3CDTF">2022-08-23T03:15:00Z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y fmtid="{D5CDD505-2E9C-101B-9397-08002B2CF9AE}" pid="3" name="ICV">
    <vt:lpwstr>B66B5FAEFD5443E190ADD0CC6338BF26</vt:lpwstr>
  </property>
</Properties>
</file>