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5F4" w:rsidRDefault="003635F4">
      <w:pPr>
        <w:pStyle w:val="a0"/>
        <w:jc w:val="center"/>
        <w:rPr>
          <w:rFonts w:ascii="黑体" w:eastAsia="黑体" w:hAnsi="宋体" w:cs="黑体"/>
          <w:bCs/>
          <w:sz w:val="40"/>
          <w:szCs w:val="36"/>
        </w:rPr>
      </w:pPr>
    </w:p>
    <w:p w:rsidR="003635F4" w:rsidRDefault="00CE7B18">
      <w:pPr>
        <w:pStyle w:val="a0"/>
        <w:jc w:val="center"/>
        <w:rPr>
          <w:rFonts w:ascii="方正小标宋简体" w:eastAsia="方正小标宋简体"/>
          <w:sz w:val="36"/>
          <w:szCs w:val="36"/>
        </w:rPr>
      </w:pPr>
      <w:r>
        <w:rPr>
          <w:rFonts w:ascii="方正小标宋简体" w:eastAsia="方正小标宋简体" w:hint="eastAsia"/>
          <w:sz w:val="36"/>
          <w:szCs w:val="36"/>
        </w:rPr>
        <w:t>卷宗全过程整理运维外包服务</w:t>
      </w:r>
    </w:p>
    <w:p w:rsidR="003635F4" w:rsidRDefault="00CE7B18">
      <w:pPr>
        <w:pStyle w:val="a0"/>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3635F4" w:rsidRDefault="00CE7B18">
      <w:pPr>
        <w:adjustRightInd w:val="0"/>
        <w:snapToGrid w:val="0"/>
        <w:spacing w:beforeLines="100" w:before="312" w:line="360" w:lineRule="auto"/>
        <w:ind w:firstLineChars="200" w:firstLine="640"/>
        <w:outlineLvl w:val="0"/>
        <w:rPr>
          <w:rFonts w:ascii="黑体" w:eastAsia="黑体" w:hAnsi="黑体" w:cs="黑体"/>
          <w:sz w:val="32"/>
          <w:szCs w:val="32"/>
        </w:rPr>
      </w:pPr>
      <w:bookmarkStart w:id="0" w:name="_Toc18557"/>
      <w:bookmarkStart w:id="1" w:name="_Toc16434"/>
      <w:r>
        <w:rPr>
          <w:rFonts w:ascii="黑体" w:eastAsia="黑体" w:hAnsi="黑体" w:cs="黑体" w:hint="eastAsia"/>
          <w:sz w:val="32"/>
          <w:szCs w:val="32"/>
        </w:rPr>
        <w:t>一、基本情况</w:t>
      </w:r>
      <w:bookmarkEnd w:id="0"/>
      <w:bookmarkEnd w:id="1"/>
    </w:p>
    <w:p w:rsidR="003635F4" w:rsidRDefault="00CE7B18">
      <w:pPr>
        <w:adjustRightInd w:val="0"/>
        <w:snapToGrid w:val="0"/>
        <w:spacing w:line="360" w:lineRule="auto"/>
        <w:ind w:firstLineChars="200" w:firstLine="643"/>
        <w:outlineLvl w:val="1"/>
        <w:rPr>
          <w:rFonts w:ascii="仿宋" w:eastAsia="仿宋" w:hAnsi="仿宋" w:cs="仿宋"/>
          <w:b/>
          <w:bCs/>
          <w:sz w:val="32"/>
          <w:szCs w:val="32"/>
        </w:rPr>
      </w:pPr>
      <w:bookmarkStart w:id="2" w:name="_Toc19870"/>
      <w:bookmarkStart w:id="3" w:name="_Toc24762"/>
      <w:r>
        <w:rPr>
          <w:rFonts w:ascii="仿宋" w:eastAsia="仿宋" w:hAnsi="仿宋" w:cs="仿宋" w:hint="eastAsia"/>
          <w:b/>
          <w:bCs/>
          <w:sz w:val="32"/>
          <w:szCs w:val="32"/>
        </w:rPr>
        <w:t>（一）项目概况</w:t>
      </w:r>
      <w:bookmarkEnd w:id="2"/>
      <w:bookmarkEnd w:id="3"/>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1、项目背景</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最高人民法院在《人民法院第四个五年改革纲要（2014-2018）》中提出了坚持以法官为中心、以服务审判工作为重心，建立分类科学、结构合理、分工明确、保障有力的法院人员管理制度。在司法改革的背景下，北京知识产权法院（以下简称“知产法院”）实行整建制改革运行模式，人员精简，机构压缩。该院设立时，依据建院前三年全市中院知识产权案件平均受理总量测算，预计年收案量约4500件，但建院后第一个完整年度（2015年）收案就比预期翻了一番，达9191件；此后，以年均30%的速度递增，2021年收案量达到27604件。加之知产案件的卷宗材料较之一般民事或行政案件呈现出内容专业、案情复杂、案卷量大的特点，整理一件案卷的平均时间约为其他案件的3-5倍，给法官团队带来了非常大的事务性工作压力，一定程度上制约了知产审判的发展。</w:t>
      </w:r>
    </w:p>
    <w:p w:rsidR="003635F4" w:rsidRDefault="00CE7B18">
      <w:pPr>
        <w:pStyle w:val="a0"/>
        <w:adjustRightInd w:val="0"/>
        <w:snapToGrid w:val="0"/>
        <w:spacing w:after="0" w:line="360" w:lineRule="auto"/>
        <w:ind w:firstLineChars="200" w:firstLine="640"/>
        <w:rPr>
          <w:rFonts w:ascii="仿宋" w:eastAsia="仿宋" w:hAnsi="仿宋" w:cs="仿宋"/>
          <w:sz w:val="32"/>
          <w:szCs w:val="32"/>
        </w:rPr>
      </w:pPr>
      <w:r>
        <w:rPr>
          <w:rFonts w:ascii="仿宋" w:eastAsia="仿宋" w:hAnsi="仿宋" w:cs="仿宋" w:hint="eastAsia"/>
          <w:sz w:val="32"/>
          <w:szCs w:val="32"/>
        </w:rPr>
        <w:t>因此，知产法院根据司法改革实际需要，依照上级部门相关精神进一步加大向社会购买服务力度，以社会化服务为</w:t>
      </w:r>
      <w:r>
        <w:rPr>
          <w:rFonts w:ascii="仿宋" w:eastAsia="仿宋" w:hAnsi="仿宋" w:cs="仿宋" w:hint="eastAsia"/>
          <w:sz w:val="32"/>
          <w:szCs w:val="32"/>
        </w:rPr>
        <w:lastRenderedPageBreak/>
        <w:t>抓手，开展卷宗全过程整理运维外包服务项目（以下简称“该项目”），解决卷宗整理事务性工作繁重的问题，提升审判效率。</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2、主要内容及实施情况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主要分为两部分，一部分是立案窗口接收卷宗的初步整理，包括对立案接收材料的整理排序，为每本卷宗添加电子标签，用羊角钉对卷宗进行初步装订，在卷皮上书写当事人信息，与送达小组完成交接，将整洁、完整的卷宗送达各庭室。另一部分则是案件审结后的归档整理工作。其中需要上诉的案件，在上诉登记簿中进行登记后优先处理，清点上诉案件的上诉手续材料并进行整理，填写好卷皮信息后，交接给立案庭诉服团队转入上诉程序。无需上诉的案件，及时与书记员交接确认后，按规定的流程进行归档整理。包括档案材料的页码编写、目录制作、卷皮打印、归档信息录入、备考表推送、扫描图处、整理装订、数据挂接、上架清点等工作。</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3、资金投入和使用情况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（1）资金投入情况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该项目预算资金为197.538000万元，全部为财政拨款。</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（2）资金使用情况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该项目由知产法院组织，通过公开招标方式进行购买服务，最后由北京影研创新科技发展有限公司中标，合同金额</w:t>
      </w:r>
      <w:r>
        <w:rPr>
          <w:rFonts w:ascii="仿宋" w:eastAsia="仿宋" w:hAnsi="仿宋" w:cs="仿宋" w:hint="eastAsia"/>
          <w:sz w:val="32"/>
          <w:szCs w:val="32"/>
        </w:rPr>
        <w:lastRenderedPageBreak/>
        <w:t>为197.400000万元。该项目预算年初批复金额为197.538000万元，截止2021年12月31日项目资金实际支出197.000000万元，结余资金0.538000万元，预算资金执行率为99.73%。</w:t>
      </w:r>
    </w:p>
    <w:p w:rsidR="003635F4" w:rsidRDefault="00CE7B18">
      <w:pPr>
        <w:adjustRightInd w:val="0"/>
        <w:snapToGrid w:val="0"/>
        <w:spacing w:line="360" w:lineRule="auto"/>
        <w:ind w:firstLineChars="200" w:firstLine="643"/>
        <w:outlineLvl w:val="1"/>
        <w:rPr>
          <w:rFonts w:ascii="仿宋" w:eastAsia="仿宋" w:hAnsi="仿宋" w:cs="仿宋"/>
          <w:b/>
          <w:bCs/>
          <w:sz w:val="32"/>
          <w:szCs w:val="32"/>
        </w:rPr>
      </w:pPr>
      <w:bookmarkStart w:id="4" w:name="_Toc28352"/>
      <w:bookmarkStart w:id="5" w:name="_Toc2622"/>
      <w:r>
        <w:rPr>
          <w:rFonts w:ascii="仿宋" w:eastAsia="仿宋" w:hAnsi="仿宋" w:cs="仿宋" w:hint="eastAsia"/>
          <w:b/>
          <w:bCs/>
          <w:sz w:val="32"/>
          <w:szCs w:val="32"/>
        </w:rPr>
        <w:t>（二）项目绩效目标</w:t>
      </w:r>
      <w:bookmarkEnd w:id="4"/>
      <w:bookmarkEnd w:id="5"/>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的绩效目标为：增强法院档案管理工作的制度化、规范化、科学化管理水平，努力强化服务意识。为人民法院诉讼审判业务减轻负担，提高审判质效。结合司法公开、司法为民、司法共享的终极目标，有效的推动档案信息化建设。</w:t>
      </w:r>
    </w:p>
    <w:p w:rsidR="003635F4" w:rsidRDefault="00CE7B18">
      <w:pPr>
        <w:adjustRightInd w:val="0"/>
        <w:snapToGrid w:val="0"/>
        <w:spacing w:line="360" w:lineRule="auto"/>
        <w:ind w:firstLineChars="200" w:firstLine="640"/>
        <w:outlineLvl w:val="0"/>
        <w:rPr>
          <w:rFonts w:ascii="黑体" w:eastAsia="黑体" w:hAnsi="黑体" w:cs="黑体"/>
          <w:sz w:val="32"/>
          <w:szCs w:val="32"/>
        </w:rPr>
      </w:pPr>
      <w:bookmarkStart w:id="6" w:name="_Toc10411"/>
      <w:bookmarkStart w:id="7" w:name="_Toc21791"/>
      <w:r>
        <w:rPr>
          <w:rFonts w:ascii="黑体" w:eastAsia="黑体" w:hAnsi="黑体" w:cs="黑体" w:hint="eastAsia"/>
          <w:sz w:val="32"/>
          <w:szCs w:val="32"/>
        </w:rPr>
        <w:t>二、绩效评价工作开展情况</w:t>
      </w:r>
      <w:bookmarkEnd w:id="6"/>
      <w:bookmarkEnd w:id="7"/>
    </w:p>
    <w:p w:rsidR="003635F4" w:rsidRDefault="00CE7B18">
      <w:pPr>
        <w:adjustRightInd w:val="0"/>
        <w:snapToGrid w:val="0"/>
        <w:spacing w:line="360" w:lineRule="auto"/>
        <w:ind w:firstLineChars="200" w:firstLine="643"/>
        <w:outlineLvl w:val="1"/>
        <w:rPr>
          <w:rFonts w:ascii="仿宋" w:eastAsia="仿宋" w:hAnsi="仿宋" w:cs="仿宋"/>
          <w:sz w:val="32"/>
          <w:szCs w:val="32"/>
        </w:rPr>
      </w:pPr>
      <w:bookmarkStart w:id="8" w:name="_Toc9195"/>
      <w:bookmarkStart w:id="9" w:name="_Toc22119"/>
      <w:r>
        <w:rPr>
          <w:rFonts w:ascii="仿宋" w:eastAsia="仿宋" w:hAnsi="仿宋" w:cs="仿宋" w:hint="eastAsia"/>
          <w:b/>
          <w:bCs/>
          <w:sz w:val="32"/>
          <w:szCs w:val="32"/>
        </w:rPr>
        <w:t>（一）绩效工作情况</w:t>
      </w:r>
      <w:bookmarkEnd w:id="8"/>
      <w:bookmarkEnd w:id="9"/>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1、评价目的</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（1）加强预算绩效管理，强化支出责任，提高财政资金使用效益。</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（2）通过检验财政资金使用管理是否规范、是否达到预期目标，考核财政支出效率和综合效果。</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（3）通过绩效评价，促进知产法院总结经验、发现问题、改进工作，进一步加强项目管理，提高财政资金使用效益。</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2、对象和范围</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（1）评价对象</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卷宗全过程整理运维外包服务项目，项目资金197.538000万元，全部为财政拨款。</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（2）评价范围</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该项目绩效评价的范围包括：2021年度项目支出绩效目标的设定情况；资金投入和预算执行管理情况；为实现项目支出绩效目标所制定的制度和采取的工作措施；绩效目标实现情况及效果等。</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3、绩效评价原则</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（1）科学公正。本次绩效评价工作运用科学合理的方法，按照规范的程序，对项目绩效进行客观、公正的反映。</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（2）统筹兼顾。本次绩效评价工作中单位自评和部门评价职责明确，各有侧重，相互衔接。单位自评由项目单位自主实施,即“谁支出,谁自评”。部门评价在单位自评的基础上开展。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（3）激励约束。本次绩效评价结果应用与预算安排、政策调整、改进管理实质性挂钩，突出奖优罚劣和激励相容导向，体现“花钱必问效、无效必问责”。</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（4）公开透明。本次绩效评价结果依法依规公开，并自觉接受社会监督。</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4、评价指标体系</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绩效评价工作小组、专家组结合该项目的特点和预期绩效目标，以资金使用结果为导向，细化了该项目的绩效评价指标体系，明确评价标准。按照“相关性、重要性、可比性、系统性”原则，确定了该项目绩效评价指标体系。该项目绩效评价指标体系分为决策、过程、产出和效益4个一级指标，</w:t>
      </w:r>
      <w:r>
        <w:rPr>
          <w:rFonts w:ascii="仿宋" w:eastAsia="仿宋" w:hAnsi="仿宋" w:cs="仿宋" w:hint="eastAsia"/>
          <w:sz w:val="32"/>
          <w:szCs w:val="32"/>
        </w:rPr>
        <w:lastRenderedPageBreak/>
        <w:t>其中：</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（1）决策指标下设项目立项、绩效目标和资金投入3个二级指标；</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（2）过程指标下设资金管理和组织实施2个二级指标；</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（3）产出指标下设产出数量、产出质量、产出时效和产出成本4个二级指标；</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（4）效益指标下设项目效益指标。</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同时，根据项目特点，分别设定了三级指标和四级指标，具体如下：</w:t>
      </w:r>
    </w:p>
    <w:p w:rsidR="003635F4" w:rsidRDefault="00CE7B18">
      <w:pPr>
        <w:adjustRightInd w:val="0"/>
        <w:snapToGrid w:val="0"/>
        <w:spacing w:line="360" w:lineRule="auto"/>
        <w:ind w:firstLineChars="200" w:firstLine="562"/>
        <w:jc w:val="center"/>
        <w:rPr>
          <w:rFonts w:ascii="仿宋" w:eastAsia="仿宋" w:hAnsi="仿宋" w:cs="仿宋"/>
          <w:b/>
          <w:bCs/>
          <w:sz w:val="28"/>
          <w:szCs w:val="28"/>
        </w:rPr>
      </w:pPr>
      <w:r>
        <w:rPr>
          <w:rFonts w:ascii="仿宋" w:eastAsia="仿宋" w:hAnsi="仿宋" w:cs="仿宋" w:hint="eastAsia"/>
          <w:b/>
          <w:bCs/>
          <w:sz w:val="28"/>
          <w:szCs w:val="28"/>
        </w:rPr>
        <w:t>卷宗全过程整理运维外包服务项目绩效评价指标体系</w:t>
      </w:r>
    </w:p>
    <w:tbl>
      <w:tblPr>
        <w:tblW w:w="8832" w:type="dxa"/>
        <w:jc w:val="center"/>
        <w:tblLook w:val="04A0" w:firstRow="1" w:lastRow="0" w:firstColumn="1" w:lastColumn="0" w:noHBand="0" w:noVBand="1"/>
      </w:tblPr>
      <w:tblGrid>
        <w:gridCol w:w="1185"/>
        <w:gridCol w:w="1335"/>
        <w:gridCol w:w="1212"/>
        <w:gridCol w:w="4155"/>
        <w:gridCol w:w="945"/>
      </w:tblGrid>
      <w:tr w:rsidR="003635F4">
        <w:trPr>
          <w:trHeight w:val="802"/>
          <w:tblHeader/>
          <w:jc w:val="center"/>
        </w:trPr>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一级指标</w:t>
            </w:r>
          </w:p>
        </w:tc>
        <w:tc>
          <w:tcPr>
            <w:tcW w:w="13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二级指标</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三级指标</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四级指标</w:t>
            </w:r>
          </w:p>
        </w:tc>
        <w:tc>
          <w:tcPr>
            <w:tcW w:w="9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分值</w:t>
            </w:r>
          </w:p>
        </w:tc>
      </w:tr>
      <w:tr w:rsidR="003635F4">
        <w:trPr>
          <w:trHeight w:val="734"/>
          <w:jc w:val="center"/>
        </w:trPr>
        <w:tc>
          <w:tcPr>
            <w:tcW w:w="118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决策</w:t>
            </w:r>
            <w:r>
              <w:rPr>
                <w:rFonts w:ascii="仿宋" w:eastAsia="仿宋" w:hAnsi="仿宋" w:cs="仿宋" w:hint="eastAsia"/>
                <w:b/>
                <w:bCs/>
                <w:kern w:val="0"/>
                <w:sz w:val="24"/>
              </w:rPr>
              <w:br/>
              <w:t xml:space="preserve">（15分）　</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项目立项</w:t>
            </w:r>
            <w:r>
              <w:rPr>
                <w:rFonts w:ascii="仿宋" w:eastAsia="仿宋" w:hAnsi="仿宋" w:cs="仿宋" w:hint="eastAsia"/>
                <w:kern w:val="0"/>
                <w:sz w:val="24"/>
              </w:rPr>
              <w:br/>
              <w:t xml:space="preserve">（5分）　</w:t>
            </w: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立项依据充分性</w:t>
            </w:r>
            <w:r>
              <w:rPr>
                <w:rFonts w:ascii="仿宋" w:eastAsia="仿宋" w:hAnsi="仿宋" w:cs="仿宋" w:hint="eastAsia"/>
                <w:kern w:val="0"/>
                <w:sz w:val="24"/>
              </w:rPr>
              <w:br/>
              <w:t>（3分）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项目立项符合国家法律法规、国民经济发展规划和相关政策</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0.6</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项目立项符合行业发展规划和政策要求</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0.6</w:t>
            </w:r>
          </w:p>
        </w:tc>
      </w:tr>
      <w:tr w:rsidR="003635F4">
        <w:trPr>
          <w:trHeight w:val="773"/>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项目立项与部门职责范围相符，属于部门履职所需</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0.6</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项目属于公共财政支持范围，符合中央、地方事权支出责任划分原则</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0.6</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项目不与相关部门同类项目或部门内部相关项目重复</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0.6</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立项程序规范性</w:t>
            </w:r>
            <w:r>
              <w:rPr>
                <w:rFonts w:ascii="仿宋" w:eastAsia="仿宋" w:hAnsi="仿宋" w:cs="仿宋" w:hint="eastAsia"/>
                <w:kern w:val="0"/>
                <w:sz w:val="24"/>
              </w:rPr>
              <w:br/>
              <w:t>（2分）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left"/>
              <w:rPr>
                <w:rFonts w:ascii="仿宋" w:eastAsia="仿宋" w:hAnsi="仿宋" w:cs="仿宋"/>
                <w:kern w:val="0"/>
                <w:sz w:val="24"/>
              </w:rPr>
            </w:pPr>
            <w:r>
              <w:rPr>
                <w:rFonts w:ascii="仿宋" w:eastAsia="仿宋" w:hAnsi="仿宋" w:cs="仿宋" w:hint="eastAsia"/>
                <w:kern w:val="0"/>
                <w:sz w:val="24"/>
              </w:rPr>
              <w:t>项目按照规定的程序申请设立</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0.5</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left"/>
              <w:rPr>
                <w:rFonts w:ascii="仿宋" w:eastAsia="仿宋" w:hAnsi="仿宋" w:cs="仿宋"/>
                <w:kern w:val="0"/>
                <w:sz w:val="24"/>
              </w:rPr>
            </w:pPr>
            <w:r>
              <w:rPr>
                <w:rFonts w:ascii="仿宋" w:eastAsia="仿宋" w:hAnsi="仿宋" w:cs="仿宋" w:hint="eastAsia"/>
                <w:kern w:val="0"/>
                <w:sz w:val="24"/>
              </w:rPr>
              <w:t>审批文件、材料符合相关要求</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0.5</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事前已经过必要的可行性研究、专家论证、风险评估、绩效评估、集体决策</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绩效目标</w:t>
            </w:r>
            <w:r>
              <w:rPr>
                <w:rFonts w:ascii="仿宋" w:eastAsia="仿宋" w:hAnsi="仿宋" w:cs="仿宋" w:hint="eastAsia"/>
                <w:kern w:val="0"/>
                <w:sz w:val="24"/>
              </w:rPr>
              <w:br/>
              <w:t xml:space="preserve">（6分）　</w:t>
            </w: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绩效目标合理性</w:t>
            </w:r>
            <w:r>
              <w:rPr>
                <w:rFonts w:ascii="仿宋" w:eastAsia="仿宋" w:hAnsi="仿宋" w:cs="仿宋" w:hint="eastAsia"/>
                <w:kern w:val="0"/>
                <w:sz w:val="24"/>
              </w:rPr>
              <w:br/>
              <w:t>（3分）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left"/>
              <w:rPr>
                <w:rFonts w:ascii="仿宋" w:eastAsia="仿宋" w:hAnsi="仿宋" w:cs="仿宋"/>
                <w:kern w:val="0"/>
                <w:sz w:val="24"/>
              </w:rPr>
            </w:pPr>
            <w:r>
              <w:rPr>
                <w:rFonts w:ascii="仿宋" w:eastAsia="仿宋" w:hAnsi="仿宋" w:cs="仿宋" w:hint="eastAsia"/>
                <w:kern w:val="0"/>
                <w:sz w:val="24"/>
              </w:rPr>
              <w:t>项目有绩效目标</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项目绩效目标与实际工作内容具有相关性</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项目预期产出效益和效果符合正常的业绩水平</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0.5</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与预算确定的项目投资额或资金量相匹配</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0.5</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绩效指标明确性</w:t>
            </w:r>
            <w:r>
              <w:rPr>
                <w:rFonts w:ascii="仿宋" w:eastAsia="仿宋" w:hAnsi="仿宋" w:cs="仿宋" w:hint="eastAsia"/>
                <w:kern w:val="0"/>
                <w:sz w:val="24"/>
              </w:rPr>
              <w:br/>
              <w:t>（3分）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将项目绩效目标细化分解为具体的绩效指标</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通过清晰、可衡量的指标值予以体现</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与项目目标任务数或计划数相对应</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资金投入</w:t>
            </w:r>
            <w:r>
              <w:rPr>
                <w:rFonts w:ascii="仿宋" w:eastAsia="仿宋" w:hAnsi="仿宋" w:cs="仿宋" w:hint="eastAsia"/>
                <w:kern w:val="0"/>
                <w:sz w:val="24"/>
              </w:rPr>
              <w:br/>
              <w:t>（4分）</w:t>
            </w: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预算编制科学性</w:t>
            </w:r>
            <w:r>
              <w:rPr>
                <w:rFonts w:ascii="仿宋" w:eastAsia="仿宋" w:hAnsi="仿宋" w:cs="仿宋" w:hint="eastAsia"/>
                <w:kern w:val="0"/>
                <w:sz w:val="24"/>
              </w:rPr>
              <w:br/>
              <w:t>（2分）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预算编制经过科学论证</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0.5</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预算内容与项目内容匹配</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0.5</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预算额度测算依据充分，按照标准编制</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0.5</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预算确定的项目投资额或资金量与工作任务相匹配</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0.5</w:t>
            </w:r>
          </w:p>
        </w:tc>
      </w:tr>
      <w:tr w:rsidR="003635F4">
        <w:trPr>
          <w:trHeight w:val="513"/>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资金分配合理性</w:t>
            </w:r>
            <w:r>
              <w:rPr>
                <w:rFonts w:ascii="仿宋" w:eastAsia="仿宋" w:hAnsi="仿宋" w:cs="仿宋" w:hint="eastAsia"/>
                <w:kern w:val="0"/>
                <w:sz w:val="24"/>
              </w:rPr>
              <w:br/>
              <w:t>（2分）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预算资金分配依据充分</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72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资金分配额度合理，与项目单位或地方实际相适应</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700"/>
          <w:jc w:val="center"/>
        </w:trPr>
        <w:tc>
          <w:tcPr>
            <w:tcW w:w="118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过程</w:t>
            </w:r>
            <w:r>
              <w:rPr>
                <w:rFonts w:ascii="仿宋" w:eastAsia="仿宋" w:hAnsi="仿宋" w:cs="仿宋" w:hint="eastAsia"/>
                <w:b/>
                <w:bCs/>
                <w:kern w:val="0"/>
                <w:sz w:val="24"/>
              </w:rPr>
              <w:br/>
              <w:t>（30分）</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资金管理</w:t>
            </w:r>
            <w:r>
              <w:rPr>
                <w:rFonts w:ascii="仿宋" w:eastAsia="仿宋" w:hAnsi="仿宋" w:cs="仿宋" w:hint="eastAsia"/>
                <w:kern w:val="0"/>
                <w:sz w:val="24"/>
              </w:rPr>
              <w:br/>
              <w:t>（15分）</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资金到位率</w:t>
            </w:r>
            <w:r>
              <w:rPr>
                <w:rFonts w:ascii="仿宋" w:eastAsia="仿宋" w:hAnsi="仿宋" w:cs="仿宋" w:hint="eastAsia"/>
                <w:kern w:val="0"/>
                <w:sz w:val="24"/>
              </w:rPr>
              <w:br/>
              <w:t>（5分）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资金到位率=（实际到位资金/预算资金）×100%。财政资金到位的足额性</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5</w:t>
            </w:r>
          </w:p>
        </w:tc>
      </w:tr>
      <w:tr w:rsidR="003635F4">
        <w:trPr>
          <w:trHeight w:val="1098"/>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预算执行率</w:t>
            </w:r>
            <w:r>
              <w:rPr>
                <w:rFonts w:ascii="仿宋" w:eastAsia="仿宋" w:hAnsi="仿宋" w:cs="仿宋" w:hint="eastAsia"/>
                <w:kern w:val="0"/>
                <w:sz w:val="24"/>
              </w:rPr>
              <w:br/>
              <w:t>（5分）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预算执行率=（实际支出资金/实际到位资金）×100%。项目预算资金按照计划执行</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5</w:t>
            </w:r>
          </w:p>
        </w:tc>
      </w:tr>
      <w:tr w:rsidR="003635F4">
        <w:trPr>
          <w:trHeight w:val="751"/>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资金使用合规性</w:t>
            </w:r>
            <w:r>
              <w:rPr>
                <w:rFonts w:ascii="仿宋" w:eastAsia="仿宋" w:hAnsi="仿宋" w:cs="仿宋" w:hint="eastAsia"/>
                <w:kern w:val="0"/>
                <w:sz w:val="24"/>
              </w:rPr>
              <w:br/>
              <w:t>（5分）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符合国家财经法规和财务管理制度以及有关专项资金管理办法的规定</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2</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资金的拨付有完整的审批程序和手续</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符合项目预算批复或合同规定的用途</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不存在截留、挤占、挪用、虚列支出等情况</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组织实施</w:t>
            </w:r>
            <w:r>
              <w:rPr>
                <w:rFonts w:ascii="仿宋" w:eastAsia="仿宋" w:hAnsi="仿宋" w:cs="仿宋" w:hint="eastAsia"/>
                <w:kern w:val="0"/>
                <w:sz w:val="24"/>
              </w:rPr>
              <w:br/>
              <w:t>（15分）</w:t>
            </w: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管理制度健全性</w:t>
            </w:r>
            <w:r>
              <w:rPr>
                <w:rFonts w:ascii="仿宋" w:eastAsia="仿宋" w:hAnsi="仿宋" w:cs="仿宋" w:hint="eastAsia"/>
                <w:kern w:val="0"/>
                <w:sz w:val="24"/>
              </w:rPr>
              <w:br/>
              <w:t>（7分）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已制定或具有相应的财务和业务管理制度</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3.5</w:t>
            </w:r>
          </w:p>
        </w:tc>
      </w:tr>
      <w:tr w:rsidR="003635F4">
        <w:trPr>
          <w:trHeight w:val="6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财务和业务管理制度合法、合规、完整</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3.5</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制度执行有效性</w:t>
            </w:r>
            <w:r>
              <w:rPr>
                <w:rFonts w:ascii="仿宋" w:eastAsia="仿宋" w:hAnsi="仿宋" w:cs="仿宋" w:hint="eastAsia"/>
                <w:kern w:val="0"/>
                <w:sz w:val="24"/>
              </w:rPr>
              <w:br/>
              <w:t>（8分）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遵守相关法律法规和相关管理规定</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2</w:t>
            </w:r>
          </w:p>
        </w:tc>
      </w:tr>
      <w:tr w:rsidR="003635F4">
        <w:trPr>
          <w:trHeight w:val="567"/>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rPr>
                <w:rFonts w:ascii="仿宋" w:eastAsia="仿宋" w:hAnsi="仿宋" w:cs="仿宋"/>
                <w:kern w:val="0"/>
                <w:sz w:val="24"/>
              </w:rPr>
            </w:pPr>
            <w:r>
              <w:rPr>
                <w:rFonts w:ascii="仿宋" w:eastAsia="仿宋" w:hAnsi="仿宋" w:cs="仿宋" w:hint="eastAsia"/>
                <w:kern w:val="0"/>
                <w:sz w:val="24"/>
              </w:rPr>
              <w:t>项目调整及支出调整手续完备</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2</w:t>
            </w:r>
          </w:p>
        </w:tc>
      </w:tr>
      <w:tr w:rsidR="003635F4">
        <w:trPr>
          <w:trHeight w:val="628"/>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项目合同书、验收报告、技术鉴定等资料齐全并及时归档</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2</w:t>
            </w:r>
          </w:p>
        </w:tc>
      </w:tr>
      <w:tr w:rsidR="003635F4">
        <w:trPr>
          <w:trHeight w:val="669"/>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项目实施的人员条件、场地设备、信息支撑等落实到位</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2</w:t>
            </w:r>
          </w:p>
        </w:tc>
      </w:tr>
      <w:tr w:rsidR="003635F4">
        <w:trPr>
          <w:trHeight w:val="660"/>
          <w:jc w:val="center"/>
        </w:trPr>
        <w:tc>
          <w:tcPr>
            <w:tcW w:w="118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产出</w:t>
            </w:r>
            <w:r>
              <w:rPr>
                <w:rFonts w:ascii="仿宋" w:eastAsia="仿宋" w:hAnsi="仿宋" w:cs="仿宋" w:hint="eastAsia"/>
                <w:b/>
                <w:bCs/>
                <w:kern w:val="0"/>
                <w:sz w:val="24"/>
              </w:rPr>
              <w:br/>
              <w:t>（30分）</w:t>
            </w:r>
          </w:p>
        </w:tc>
        <w:tc>
          <w:tcPr>
            <w:tcW w:w="13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产出数量</w:t>
            </w:r>
            <w:r>
              <w:rPr>
                <w:rFonts w:ascii="仿宋" w:eastAsia="仿宋" w:hAnsi="仿宋" w:cs="仿宋" w:hint="eastAsia"/>
                <w:kern w:val="0"/>
                <w:sz w:val="24"/>
              </w:rPr>
              <w:br/>
              <w:t>（9分）</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实际完成率</w:t>
            </w:r>
            <w:r>
              <w:rPr>
                <w:rFonts w:ascii="仿宋" w:eastAsia="仿宋" w:hAnsi="仿宋" w:cs="仿宋" w:hint="eastAsia"/>
                <w:kern w:val="0"/>
                <w:sz w:val="24"/>
              </w:rPr>
              <w:br/>
              <w:t>（9分）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实际完成率=（实际产出数/计划产出数）×100%</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9</w:t>
            </w:r>
          </w:p>
        </w:tc>
      </w:tr>
      <w:tr w:rsidR="003635F4">
        <w:trPr>
          <w:trHeight w:val="74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产出质量</w:t>
            </w:r>
            <w:r>
              <w:rPr>
                <w:rFonts w:ascii="仿宋" w:eastAsia="仿宋" w:hAnsi="仿宋" w:cs="仿宋" w:hint="eastAsia"/>
                <w:kern w:val="0"/>
                <w:sz w:val="24"/>
              </w:rPr>
              <w:br/>
              <w:t>（7分）</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质量达标率</w:t>
            </w:r>
            <w:r>
              <w:rPr>
                <w:rFonts w:ascii="仿宋" w:eastAsia="仿宋" w:hAnsi="仿宋" w:cs="仿宋" w:hint="eastAsia"/>
                <w:kern w:val="0"/>
                <w:sz w:val="24"/>
              </w:rPr>
              <w:br/>
              <w:t>（7分）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质量达标率=（质量达标产出数/实际产出数）×100%</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7</w:t>
            </w:r>
          </w:p>
        </w:tc>
      </w:tr>
      <w:tr w:rsidR="003635F4">
        <w:trPr>
          <w:trHeight w:val="78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产出时效</w:t>
            </w:r>
            <w:r>
              <w:rPr>
                <w:rFonts w:ascii="仿宋" w:eastAsia="仿宋" w:hAnsi="仿宋" w:cs="仿宋" w:hint="eastAsia"/>
                <w:kern w:val="0"/>
                <w:sz w:val="24"/>
              </w:rPr>
              <w:br/>
              <w:t>（7分）</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完成及时性</w:t>
            </w:r>
            <w:r>
              <w:rPr>
                <w:rFonts w:ascii="仿宋" w:eastAsia="仿宋" w:hAnsi="仿宋" w:cs="仿宋" w:hint="eastAsia"/>
                <w:kern w:val="0"/>
                <w:sz w:val="24"/>
              </w:rPr>
              <w:br/>
              <w:t>（7分）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left"/>
              <w:rPr>
                <w:rFonts w:ascii="仿宋" w:eastAsia="仿宋" w:hAnsi="仿宋" w:cs="仿宋"/>
                <w:kern w:val="0"/>
                <w:sz w:val="24"/>
              </w:rPr>
            </w:pPr>
            <w:r>
              <w:rPr>
                <w:rFonts w:ascii="仿宋" w:eastAsia="仿宋" w:hAnsi="仿宋" w:cs="仿宋" w:hint="eastAsia"/>
                <w:kern w:val="0"/>
                <w:sz w:val="24"/>
              </w:rPr>
              <w:t>项目产出按照实施方案及时完成</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7</w:t>
            </w:r>
          </w:p>
        </w:tc>
      </w:tr>
      <w:tr w:rsidR="003635F4">
        <w:trPr>
          <w:trHeight w:val="70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产出成本</w:t>
            </w:r>
            <w:r>
              <w:rPr>
                <w:rFonts w:ascii="仿宋" w:eastAsia="仿宋" w:hAnsi="仿宋" w:cs="仿宋" w:hint="eastAsia"/>
                <w:kern w:val="0"/>
                <w:sz w:val="24"/>
              </w:rPr>
              <w:br/>
              <w:t>（7分）</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成本节约率</w:t>
            </w:r>
            <w:r>
              <w:rPr>
                <w:rFonts w:ascii="仿宋" w:eastAsia="仿宋" w:hAnsi="仿宋" w:cs="仿宋" w:hint="eastAsia"/>
                <w:kern w:val="0"/>
                <w:sz w:val="24"/>
              </w:rPr>
              <w:br/>
              <w:t>（7分）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成本节约率=[（计划成本-实际成本）/计划成本]×100%</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7</w:t>
            </w:r>
          </w:p>
        </w:tc>
      </w:tr>
      <w:tr w:rsidR="003635F4">
        <w:trPr>
          <w:trHeight w:val="780"/>
          <w:jc w:val="center"/>
        </w:trPr>
        <w:tc>
          <w:tcPr>
            <w:tcW w:w="118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效益</w:t>
            </w:r>
            <w:r>
              <w:rPr>
                <w:rFonts w:ascii="仿宋" w:eastAsia="仿宋" w:hAnsi="仿宋" w:cs="仿宋" w:hint="eastAsia"/>
                <w:b/>
                <w:bCs/>
                <w:kern w:val="0"/>
                <w:sz w:val="24"/>
              </w:rPr>
              <w:br/>
              <w:t xml:space="preserve">（25分）　</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项目效益</w:t>
            </w:r>
            <w:r>
              <w:rPr>
                <w:rFonts w:ascii="仿宋" w:eastAsia="仿宋" w:hAnsi="仿宋" w:cs="仿宋" w:hint="eastAsia"/>
                <w:kern w:val="0"/>
                <w:sz w:val="24"/>
              </w:rPr>
              <w:br/>
              <w:t xml:space="preserve">（25分）　</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社会效益</w:t>
            </w:r>
            <w:r>
              <w:rPr>
                <w:rFonts w:ascii="仿宋" w:eastAsia="仿宋" w:hAnsi="仿宋" w:cs="仿宋" w:hint="eastAsia"/>
                <w:kern w:val="0"/>
                <w:sz w:val="24"/>
              </w:rPr>
              <w:br/>
              <w:t>（10分）</w:t>
            </w:r>
          </w:p>
        </w:tc>
        <w:tc>
          <w:tcPr>
            <w:tcW w:w="415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sz w:val="24"/>
              </w:rPr>
              <w:t>项目实施对社会或者单位带来的直接或者</w:t>
            </w:r>
            <w:r>
              <w:rPr>
                <w:rFonts w:ascii="仿宋" w:eastAsia="仿宋" w:hAnsi="仿宋" w:cs="仿宋" w:hint="eastAsia"/>
                <w:kern w:val="0"/>
                <w:sz w:val="24"/>
              </w:rPr>
              <w:t>间接</w:t>
            </w:r>
            <w:r>
              <w:rPr>
                <w:rFonts w:ascii="仿宋" w:eastAsia="仿宋" w:hAnsi="仿宋" w:cs="仿宋" w:hint="eastAsia"/>
                <w:sz w:val="24"/>
              </w:rPr>
              <w:t>的效益</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10</w:t>
            </w:r>
          </w:p>
        </w:tc>
      </w:tr>
      <w:tr w:rsidR="003635F4">
        <w:trPr>
          <w:trHeight w:val="74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经济效益（5分）</w:t>
            </w:r>
          </w:p>
        </w:tc>
        <w:tc>
          <w:tcPr>
            <w:tcW w:w="415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240" w:lineRule="atLeast"/>
              <w:jc w:val="left"/>
              <w:rPr>
                <w:rFonts w:ascii="仿宋" w:eastAsia="仿宋" w:hAnsi="仿宋" w:cs="仿宋"/>
                <w:kern w:val="0"/>
                <w:sz w:val="24"/>
              </w:rPr>
            </w:pPr>
            <w:r>
              <w:rPr>
                <w:rFonts w:ascii="仿宋" w:eastAsia="仿宋" w:hAnsi="仿宋" w:cs="仿宋" w:hint="eastAsia"/>
                <w:kern w:val="0"/>
                <w:sz w:val="24"/>
              </w:rPr>
              <w:t>在项目执行过程中除传统加工外，加入新的技术服务应用至项目中，对部分调取无法记录精确位置的批次案卷进行查找定位，30分钟调取变为10分钟完成库房调取，节省时间，降低人工成本</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5</w:t>
            </w:r>
          </w:p>
        </w:tc>
      </w:tr>
      <w:tr w:rsidR="003635F4">
        <w:trPr>
          <w:trHeight w:val="74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可持续影响（5分）</w:t>
            </w:r>
          </w:p>
        </w:tc>
        <w:tc>
          <w:tcPr>
            <w:tcW w:w="415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left"/>
              <w:rPr>
                <w:rFonts w:ascii="仿宋" w:eastAsia="仿宋" w:hAnsi="仿宋" w:cs="仿宋"/>
                <w:kern w:val="0"/>
                <w:sz w:val="24"/>
              </w:rPr>
            </w:pPr>
            <w:r>
              <w:rPr>
                <w:rFonts w:ascii="仿宋" w:eastAsia="仿宋" w:hAnsi="仿宋" w:cs="仿宋" w:hint="eastAsia"/>
                <w:kern w:val="0"/>
                <w:sz w:val="24"/>
              </w:rPr>
              <w:t>可持续影响及其程度</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5</w:t>
            </w:r>
          </w:p>
        </w:tc>
      </w:tr>
      <w:tr w:rsidR="003635F4">
        <w:trPr>
          <w:trHeight w:val="740"/>
          <w:jc w:val="center"/>
        </w:trPr>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b/>
                <w:bCs/>
                <w:kern w:val="0"/>
                <w:sz w:val="24"/>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35F4" w:rsidRDefault="003635F4">
            <w:pPr>
              <w:widowControl/>
              <w:spacing w:line="360" w:lineRule="auto"/>
              <w:jc w:val="left"/>
              <w:rPr>
                <w:rFonts w:ascii="仿宋" w:eastAsia="仿宋" w:hAnsi="仿宋" w:cs="仿宋"/>
                <w:kern w:val="0"/>
                <w:sz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240" w:lineRule="atLeast"/>
              <w:jc w:val="center"/>
              <w:rPr>
                <w:rFonts w:ascii="仿宋" w:eastAsia="仿宋" w:hAnsi="仿宋" w:cs="仿宋"/>
                <w:kern w:val="0"/>
                <w:sz w:val="24"/>
              </w:rPr>
            </w:pPr>
            <w:r>
              <w:rPr>
                <w:rFonts w:ascii="仿宋" w:eastAsia="仿宋" w:hAnsi="仿宋" w:cs="仿宋" w:hint="eastAsia"/>
                <w:kern w:val="0"/>
                <w:sz w:val="24"/>
              </w:rPr>
              <w:t>满意度</w:t>
            </w:r>
            <w:r>
              <w:rPr>
                <w:rFonts w:ascii="仿宋" w:eastAsia="仿宋" w:hAnsi="仿宋" w:cs="仿宋" w:hint="eastAsia"/>
                <w:kern w:val="0"/>
                <w:sz w:val="24"/>
              </w:rPr>
              <w:br/>
              <w:t>（5分）</w:t>
            </w:r>
          </w:p>
        </w:tc>
        <w:tc>
          <w:tcPr>
            <w:tcW w:w="4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left"/>
              <w:rPr>
                <w:rFonts w:ascii="仿宋" w:eastAsia="仿宋" w:hAnsi="仿宋" w:cs="仿宋"/>
                <w:kern w:val="0"/>
                <w:sz w:val="24"/>
                <w:highlight w:val="green"/>
              </w:rPr>
            </w:pPr>
            <w:r>
              <w:rPr>
                <w:rFonts w:ascii="仿宋" w:eastAsia="仿宋" w:hAnsi="仿宋" w:cs="仿宋" w:hint="eastAsia"/>
                <w:kern w:val="0"/>
                <w:sz w:val="24"/>
              </w:rPr>
              <w:t>预期服务对象对项目实施的满意度</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kern w:val="0"/>
                <w:sz w:val="24"/>
              </w:rPr>
            </w:pPr>
            <w:r>
              <w:rPr>
                <w:rFonts w:ascii="仿宋" w:eastAsia="仿宋" w:hAnsi="仿宋" w:cs="仿宋" w:hint="eastAsia"/>
                <w:kern w:val="0"/>
                <w:sz w:val="24"/>
              </w:rPr>
              <w:t>5</w:t>
            </w:r>
          </w:p>
        </w:tc>
      </w:tr>
      <w:tr w:rsidR="003635F4" w:rsidTr="00CC5172">
        <w:trPr>
          <w:trHeight w:val="519"/>
          <w:jc w:val="center"/>
        </w:trPr>
        <w:tc>
          <w:tcPr>
            <w:tcW w:w="788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合计</w:t>
            </w:r>
          </w:p>
        </w:tc>
        <w:tc>
          <w:tcPr>
            <w:tcW w:w="945" w:type="dxa"/>
            <w:tcBorders>
              <w:top w:val="single" w:sz="4" w:space="0" w:color="000000"/>
              <w:left w:val="single" w:sz="4" w:space="0" w:color="000000"/>
              <w:bottom w:val="single" w:sz="4" w:space="0" w:color="000000"/>
              <w:right w:val="single" w:sz="4" w:space="0" w:color="000000"/>
            </w:tcBorders>
            <w:vAlign w:val="center"/>
          </w:tcPr>
          <w:p w:rsidR="003635F4" w:rsidRDefault="00CE7B18">
            <w:pPr>
              <w:widowControl/>
              <w:spacing w:line="360" w:lineRule="auto"/>
              <w:jc w:val="center"/>
              <w:rPr>
                <w:rFonts w:ascii="仿宋" w:eastAsia="仿宋" w:hAnsi="仿宋" w:cs="仿宋"/>
                <w:b/>
                <w:bCs/>
                <w:kern w:val="0"/>
                <w:sz w:val="24"/>
              </w:rPr>
            </w:pPr>
            <w:r>
              <w:rPr>
                <w:rFonts w:ascii="仿宋" w:eastAsia="仿宋" w:hAnsi="仿宋" w:cs="仿宋" w:hint="eastAsia"/>
                <w:b/>
                <w:bCs/>
                <w:kern w:val="0"/>
                <w:sz w:val="24"/>
              </w:rPr>
              <w:t>100</w:t>
            </w:r>
          </w:p>
        </w:tc>
      </w:tr>
    </w:tbl>
    <w:p w:rsidR="003635F4" w:rsidRDefault="003635F4">
      <w:pPr>
        <w:adjustRightInd w:val="0"/>
        <w:snapToGrid w:val="0"/>
        <w:spacing w:line="360" w:lineRule="auto"/>
        <w:ind w:firstLineChars="200" w:firstLine="640"/>
        <w:rPr>
          <w:rFonts w:ascii="仿宋" w:eastAsia="仿宋" w:hAnsi="仿宋" w:cs="仿宋"/>
          <w:sz w:val="32"/>
          <w:szCs w:val="32"/>
        </w:rPr>
      </w:pP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5、评价方法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本次绩效评价主要采用综合评价与现场勘查相结合的</w:t>
      </w:r>
      <w:r>
        <w:rPr>
          <w:rFonts w:ascii="仿宋" w:eastAsia="仿宋" w:hAnsi="仿宋" w:cs="仿宋" w:hint="eastAsia"/>
          <w:sz w:val="32"/>
          <w:szCs w:val="32"/>
        </w:rPr>
        <w:lastRenderedPageBreak/>
        <w:t>评价方式，采取成本效益分析法、比较法、因素分析法、最低成本法、公众评判法、标杆管理法等绩效评价方法。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（1）成本效益分析法。是指将投入与产出、效益进行关联性分析的方法。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（2）比较法。是指将实施情况与绩效目标、历史情况、不同部门和地区同类支出情况进行比较的方法。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（3）因素分析法。是指综合分析影响绩效目标实现、实施效果的内外部因素的方法。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（4）最低成本法。是指在绩效目标确定的前提下，成本最小者为优的方法。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（5）公众评判法。是指通过专家评估、公众问卷及抽样调查的方式进行评判的方法。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（6）标杆管理法。是指以国内外同行业中较高的绩效水平为标杆进行评判的方法。</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6、评价标准</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绩效评价标准采取评分和评级相结合的方式，总分设置为100分，等级划分为4个等级：</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90（含）-100分为优；</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80（含）-90分为良；</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60（含）-80分为中；</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60分以下为差。</w:t>
      </w:r>
    </w:p>
    <w:p w:rsidR="003635F4" w:rsidRDefault="00CE7B18">
      <w:pPr>
        <w:adjustRightInd w:val="0"/>
        <w:snapToGrid w:val="0"/>
        <w:spacing w:line="360" w:lineRule="auto"/>
        <w:ind w:firstLineChars="200" w:firstLine="643"/>
        <w:outlineLvl w:val="1"/>
        <w:rPr>
          <w:rFonts w:ascii="仿宋" w:eastAsia="仿宋" w:hAnsi="仿宋" w:cs="仿宋"/>
          <w:b/>
          <w:bCs/>
          <w:sz w:val="32"/>
          <w:szCs w:val="32"/>
        </w:rPr>
      </w:pPr>
      <w:bookmarkStart w:id="10" w:name="_Toc25703"/>
      <w:bookmarkStart w:id="11" w:name="_Toc21549"/>
      <w:r>
        <w:rPr>
          <w:rFonts w:ascii="仿宋" w:eastAsia="仿宋" w:hAnsi="仿宋" w:cs="仿宋" w:hint="eastAsia"/>
          <w:b/>
          <w:bCs/>
          <w:sz w:val="32"/>
          <w:szCs w:val="32"/>
        </w:rPr>
        <w:t>（二）绩效评价工作过程</w:t>
      </w:r>
      <w:bookmarkEnd w:id="10"/>
      <w:bookmarkEnd w:id="11"/>
    </w:p>
    <w:p w:rsidR="003635F4" w:rsidRDefault="00CE7B18">
      <w:pPr>
        <w:adjustRightInd w:val="0"/>
        <w:snapToGrid w:val="0"/>
        <w:spacing w:line="360" w:lineRule="auto"/>
        <w:ind w:firstLineChars="200" w:firstLine="640"/>
        <w:rPr>
          <w:rFonts w:ascii="仿宋" w:eastAsia="仿宋" w:hAnsi="仿宋" w:cs="仿宋"/>
          <w:sz w:val="32"/>
          <w:szCs w:val="32"/>
        </w:rPr>
      </w:pPr>
      <w:bookmarkStart w:id="12" w:name="_Hlk66890838"/>
      <w:r>
        <w:rPr>
          <w:rFonts w:ascii="仿宋" w:eastAsia="仿宋" w:hAnsi="仿宋" w:cs="仿宋" w:hint="eastAsia"/>
          <w:sz w:val="32"/>
          <w:szCs w:val="32"/>
        </w:rPr>
        <w:lastRenderedPageBreak/>
        <w:t>绩效评价工作程序主要分为前期准备阶段、评价实施阶段、总结阶段三个阶段。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1、前期准备阶段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北京知识产权法院与北京中玉天晟会计师事务所有限责任公司共同组建绩效评价工作小组。绩效评价工作小组明确每名成员的职责及分工，并对绩效评价工作小组进行了业务培训。</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2、评价实施阶段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（1）组建专家组。绩效评价工作小组依据客观、公正的原则，结合项目特点，遴选 2 名管理专家、1 名财务专家和2名业务专家，组建专家组，并对专家进行了绩效评价培训工作。</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收集并复核项目资料。绩效评价工作小组结合项目绩效评价资料准备清单，收集了与该项目相关的决策、过程、产出和效益等方面的资料，再按照项目支出绩效目标实现情况，对资料的完整性、准确性等进行逐一复核。</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专家评价会。绩效评价工作小组组织专家召开专家评价会。会议主要内容包括：项目单位对2021年支出绩效情况进行汇报；专家组就汇报中的问题进行提问；专家组查阅补充资料文件；专家组组长组织专家进行充分讨论，形成最终的专家评价书和专家意见汇总书。</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 xml:space="preserve">3、评价总结阶段 </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绩效评价工作小组根据综合评价会出具的专家意见和专家组意见，结合收集的资料等，撰写信息化系统运行维护服务项目《北京市市级预算项目支出绩效评价专家意见汇总书》和《2021年度项目支出绩效评价报告》，并提交知产法院；同时，协助做好此次评价的后续工作。</w:t>
      </w:r>
    </w:p>
    <w:p w:rsidR="003635F4" w:rsidRDefault="00CE7B18">
      <w:pPr>
        <w:numPr>
          <w:ilvl w:val="0"/>
          <w:numId w:val="1"/>
        </w:numPr>
        <w:adjustRightInd w:val="0"/>
        <w:snapToGrid w:val="0"/>
        <w:spacing w:line="360" w:lineRule="auto"/>
        <w:ind w:firstLineChars="200" w:firstLine="643"/>
        <w:outlineLvl w:val="0"/>
        <w:rPr>
          <w:rFonts w:ascii="黑体" w:eastAsia="黑体" w:hAnsi="黑体" w:cs="黑体"/>
          <w:b/>
          <w:bCs/>
          <w:sz w:val="32"/>
          <w:szCs w:val="32"/>
        </w:rPr>
      </w:pPr>
      <w:bookmarkStart w:id="13" w:name="_Toc11429"/>
      <w:bookmarkStart w:id="14" w:name="_Toc14267"/>
      <w:bookmarkEnd w:id="12"/>
      <w:r>
        <w:rPr>
          <w:rFonts w:ascii="黑体" w:eastAsia="黑体" w:hAnsi="黑体" w:cs="黑体" w:hint="eastAsia"/>
          <w:b/>
          <w:bCs/>
          <w:sz w:val="32"/>
          <w:szCs w:val="32"/>
        </w:rPr>
        <w:t>综合评价情况及评价结论</w:t>
      </w:r>
      <w:bookmarkEnd w:id="13"/>
      <w:bookmarkEnd w:id="14"/>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该项目实施符合单位职能，组织较为明确，但在绩效指标细化量化、绩效资料归集、服务对象满意度调查等方面还有可提升的空间。</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该项目支出绩效评价得分85.70分，其中项目决策13.70分，项目过程28.10分，项目产出25.20分，项目效益18.70分，绩效评定结论为“良”，具体情况见下表：</w:t>
      </w:r>
    </w:p>
    <w:p w:rsidR="003635F4" w:rsidRDefault="00CE7B18">
      <w:pPr>
        <w:adjustRightInd w:val="0"/>
        <w:snapToGrid w:val="0"/>
        <w:spacing w:line="360" w:lineRule="auto"/>
        <w:ind w:firstLineChars="200" w:firstLine="562"/>
        <w:jc w:val="center"/>
        <w:rPr>
          <w:rFonts w:ascii="仿宋" w:eastAsia="仿宋" w:hAnsi="仿宋" w:cs="仿宋"/>
          <w:sz w:val="28"/>
          <w:szCs w:val="28"/>
        </w:rPr>
      </w:pPr>
      <w:r>
        <w:rPr>
          <w:rFonts w:ascii="仿宋" w:eastAsia="仿宋" w:hAnsi="仿宋" w:hint="eastAsia"/>
          <w:b/>
          <w:kern w:val="0"/>
          <w:sz w:val="28"/>
          <w:szCs w:val="28"/>
        </w:rPr>
        <w:t>卷宗全过程整理运维外包服务项目支出绩效评价结论表</w:t>
      </w:r>
    </w:p>
    <w:tbl>
      <w:tblPr>
        <w:tblW w:w="8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1"/>
        <w:gridCol w:w="2657"/>
        <w:gridCol w:w="2657"/>
      </w:tblGrid>
      <w:tr w:rsidR="003635F4">
        <w:trPr>
          <w:trHeight w:val="635"/>
          <w:tblHeader/>
        </w:trPr>
        <w:tc>
          <w:tcPr>
            <w:tcW w:w="2861" w:type="dxa"/>
            <w:vAlign w:val="center"/>
          </w:tcPr>
          <w:p w:rsidR="003635F4" w:rsidRDefault="00CE7B18">
            <w:pPr>
              <w:spacing w:line="360" w:lineRule="auto"/>
              <w:jc w:val="center"/>
              <w:rPr>
                <w:rFonts w:ascii="仿宋" w:eastAsia="仿宋" w:hAnsi="仿宋" w:cs="仿宋"/>
                <w:b/>
                <w:bCs/>
                <w:sz w:val="24"/>
              </w:rPr>
            </w:pPr>
            <w:r>
              <w:rPr>
                <w:rFonts w:ascii="仿宋" w:eastAsia="仿宋" w:hAnsi="仿宋" w:cs="仿宋" w:hint="eastAsia"/>
                <w:b/>
                <w:bCs/>
                <w:sz w:val="24"/>
              </w:rPr>
              <w:t>评价内容</w:t>
            </w:r>
          </w:p>
        </w:tc>
        <w:tc>
          <w:tcPr>
            <w:tcW w:w="2268" w:type="dxa"/>
            <w:vAlign w:val="center"/>
          </w:tcPr>
          <w:p w:rsidR="003635F4" w:rsidRDefault="00CE7B18">
            <w:pPr>
              <w:spacing w:line="360" w:lineRule="auto"/>
              <w:jc w:val="center"/>
              <w:rPr>
                <w:rFonts w:ascii="仿宋" w:eastAsia="仿宋" w:hAnsi="仿宋" w:cs="仿宋"/>
                <w:b/>
                <w:bCs/>
                <w:sz w:val="24"/>
              </w:rPr>
            </w:pPr>
            <w:r>
              <w:rPr>
                <w:rFonts w:ascii="仿宋" w:eastAsia="仿宋" w:hAnsi="仿宋" w:cs="仿宋" w:hint="eastAsia"/>
                <w:b/>
                <w:bCs/>
                <w:sz w:val="24"/>
              </w:rPr>
              <w:t>分值</w:t>
            </w:r>
          </w:p>
        </w:tc>
        <w:tc>
          <w:tcPr>
            <w:tcW w:w="2268" w:type="dxa"/>
            <w:vAlign w:val="center"/>
          </w:tcPr>
          <w:p w:rsidR="003635F4" w:rsidRDefault="00CE7B18">
            <w:pPr>
              <w:spacing w:line="360" w:lineRule="auto"/>
              <w:jc w:val="center"/>
              <w:rPr>
                <w:rFonts w:ascii="仿宋" w:eastAsia="仿宋" w:hAnsi="仿宋" w:cs="仿宋"/>
                <w:b/>
                <w:bCs/>
                <w:sz w:val="24"/>
              </w:rPr>
            </w:pPr>
            <w:r>
              <w:rPr>
                <w:rFonts w:ascii="仿宋" w:eastAsia="仿宋" w:hAnsi="仿宋" w:cs="仿宋" w:hint="eastAsia"/>
                <w:b/>
                <w:bCs/>
                <w:sz w:val="24"/>
              </w:rPr>
              <w:t>评价得分</w:t>
            </w:r>
          </w:p>
        </w:tc>
      </w:tr>
      <w:tr w:rsidR="003635F4">
        <w:trPr>
          <w:trHeight w:val="616"/>
        </w:trPr>
        <w:tc>
          <w:tcPr>
            <w:tcW w:w="2861"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项目决策</w:t>
            </w:r>
          </w:p>
        </w:tc>
        <w:tc>
          <w:tcPr>
            <w:tcW w:w="2268"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15</w:t>
            </w:r>
          </w:p>
        </w:tc>
        <w:tc>
          <w:tcPr>
            <w:tcW w:w="2268"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13.7</w:t>
            </w:r>
            <w:r>
              <w:rPr>
                <w:rFonts w:ascii="仿宋" w:eastAsia="仿宋" w:hAnsi="仿宋" w:cs="仿宋"/>
                <w:sz w:val="24"/>
              </w:rPr>
              <w:t>0</w:t>
            </w:r>
          </w:p>
        </w:tc>
      </w:tr>
      <w:tr w:rsidR="003635F4">
        <w:trPr>
          <w:trHeight w:val="636"/>
        </w:trPr>
        <w:tc>
          <w:tcPr>
            <w:tcW w:w="2861"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项目过程</w:t>
            </w:r>
          </w:p>
        </w:tc>
        <w:tc>
          <w:tcPr>
            <w:tcW w:w="2268"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30</w:t>
            </w:r>
          </w:p>
        </w:tc>
        <w:tc>
          <w:tcPr>
            <w:tcW w:w="2268"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28.1</w:t>
            </w:r>
            <w:r>
              <w:rPr>
                <w:rFonts w:ascii="仿宋" w:eastAsia="仿宋" w:hAnsi="仿宋" w:cs="仿宋"/>
                <w:sz w:val="24"/>
              </w:rPr>
              <w:t>0</w:t>
            </w:r>
          </w:p>
        </w:tc>
      </w:tr>
      <w:tr w:rsidR="003635F4">
        <w:trPr>
          <w:trHeight w:val="636"/>
        </w:trPr>
        <w:tc>
          <w:tcPr>
            <w:tcW w:w="2861"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项目产出</w:t>
            </w:r>
          </w:p>
        </w:tc>
        <w:tc>
          <w:tcPr>
            <w:tcW w:w="2268"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30</w:t>
            </w:r>
          </w:p>
        </w:tc>
        <w:tc>
          <w:tcPr>
            <w:tcW w:w="2268"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25.2</w:t>
            </w:r>
            <w:r>
              <w:rPr>
                <w:rFonts w:ascii="仿宋" w:eastAsia="仿宋" w:hAnsi="仿宋" w:cs="仿宋"/>
                <w:sz w:val="24"/>
              </w:rPr>
              <w:t>0</w:t>
            </w:r>
          </w:p>
        </w:tc>
      </w:tr>
      <w:tr w:rsidR="003635F4">
        <w:trPr>
          <w:trHeight w:val="636"/>
        </w:trPr>
        <w:tc>
          <w:tcPr>
            <w:tcW w:w="2861"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项目效益</w:t>
            </w:r>
          </w:p>
        </w:tc>
        <w:tc>
          <w:tcPr>
            <w:tcW w:w="2268"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25</w:t>
            </w:r>
          </w:p>
        </w:tc>
        <w:tc>
          <w:tcPr>
            <w:tcW w:w="2268" w:type="dxa"/>
            <w:vAlign w:val="center"/>
          </w:tcPr>
          <w:p w:rsidR="003635F4" w:rsidRDefault="00CE7B18">
            <w:pPr>
              <w:spacing w:line="360" w:lineRule="auto"/>
              <w:jc w:val="center"/>
              <w:rPr>
                <w:rFonts w:ascii="仿宋" w:eastAsia="仿宋" w:hAnsi="仿宋" w:cs="仿宋"/>
                <w:sz w:val="24"/>
              </w:rPr>
            </w:pPr>
            <w:r>
              <w:rPr>
                <w:rFonts w:ascii="仿宋" w:eastAsia="仿宋" w:hAnsi="仿宋" w:cs="仿宋" w:hint="eastAsia"/>
                <w:sz w:val="24"/>
              </w:rPr>
              <w:t>18.7</w:t>
            </w:r>
            <w:r>
              <w:rPr>
                <w:rFonts w:ascii="仿宋" w:eastAsia="仿宋" w:hAnsi="仿宋" w:cs="仿宋"/>
                <w:sz w:val="24"/>
              </w:rPr>
              <w:t>0</w:t>
            </w:r>
          </w:p>
        </w:tc>
      </w:tr>
      <w:tr w:rsidR="003635F4">
        <w:trPr>
          <w:trHeight w:val="636"/>
        </w:trPr>
        <w:tc>
          <w:tcPr>
            <w:tcW w:w="2861" w:type="dxa"/>
            <w:vAlign w:val="center"/>
          </w:tcPr>
          <w:p w:rsidR="003635F4" w:rsidRDefault="00CE7B18">
            <w:pPr>
              <w:spacing w:line="360" w:lineRule="auto"/>
              <w:jc w:val="center"/>
              <w:rPr>
                <w:rFonts w:ascii="仿宋" w:eastAsia="仿宋" w:hAnsi="仿宋" w:cs="仿宋"/>
                <w:b/>
                <w:bCs/>
                <w:sz w:val="24"/>
              </w:rPr>
            </w:pPr>
            <w:r>
              <w:rPr>
                <w:rFonts w:ascii="仿宋" w:eastAsia="仿宋" w:hAnsi="仿宋" w:cs="仿宋" w:hint="eastAsia"/>
                <w:b/>
                <w:bCs/>
                <w:sz w:val="24"/>
              </w:rPr>
              <w:t>综合得分</w:t>
            </w:r>
          </w:p>
        </w:tc>
        <w:tc>
          <w:tcPr>
            <w:tcW w:w="2268" w:type="dxa"/>
            <w:vAlign w:val="center"/>
          </w:tcPr>
          <w:p w:rsidR="003635F4" w:rsidRDefault="00CE7B18">
            <w:pPr>
              <w:spacing w:line="360" w:lineRule="auto"/>
              <w:jc w:val="center"/>
              <w:rPr>
                <w:rFonts w:ascii="仿宋" w:eastAsia="仿宋" w:hAnsi="仿宋" w:cs="仿宋"/>
                <w:b/>
                <w:bCs/>
                <w:sz w:val="24"/>
              </w:rPr>
            </w:pPr>
            <w:r>
              <w:rPr>
                <w:rFonts w:ascii="仿宋" w:eastAsia="仿宋" w:hAnsi="仿宋" w:cs="仿宋" w:hint="eastAsia"/>
                <w:b/>
                <w:bCs/>
                <w:sz w:val="24"/>
              </w:rPr>
              <w:t>100</w:t>
            </w:r>
          </w:p>
        </w:tc>
        <w:tc>
          <w:tcPr>
            <w:tcW w:w="2268" w:type="dxa"/>
            <w:vAlign w:val="center"/>
          </w:tcPr>
          <w:p w:rsidR="003635F4" w:rsidRDefault="00CE7B18">
            <w:pPr>
              <w:spacing w:line="360" w:lineRule="auto"/>
              <w:jc w:val="center"/>
              <w:rPr>
                <w:rFonts w:ascii="仿宋" w:eastAsia="仿宋" w:hAnsi="仿宋" w:cs="仿宋"/>
                <w:b/>
                <w:sz w:val="24"/>
              </w:rPr>
            </w:pPr>
            <w:r>
              <w:rPr>
                <w:rFonts w:ascii="仿宋" w:eastAsia="仿宋" w:hAnsi="仿宋" w:cs="仿宋" w:hint="eastAsia"/>
                <w:b/>
                <w:sz w:val="24"/>
              </w:rPr>
              <w:t>85.7</w:t>
            </w:r>
            <w:r>
              <w:rPr>
                <w:rFonts w:ascii="仿宋" w:eastAsia="仿宋" w:hAnsi="仿宋" w:cs="仿宋"/>
                <w:b/>
                <w:sz w:val="24"/>
              </w:rPr>
              <w:t>0</w:t>
            </w:r>
          </w:p>
        </w:tc>
      </w:tr>
    </w:tbl>
    <w:p w:rsidR="003635F4" w:rsidRDefault="003635F4">
      <w:bookmarkStart w:id="15" w:name="_Toc15605"/>
      <w:bookmarkStart w:id="16" w:name="_Toc27125"/>
    </w:p>
    <w:p w:rsidR="003635F4" w:rsidRDefault="00CE7B18">
      <w:pPr>
        <w:adjustRightInd w:val="0"/>
        <w:snapToGrid w:val="0"/>
        <w:spacing w:line="360" w:lineRule="auto"/>
        <w:ind w:firstLineChars="200" w:firstLine="640"/>
        <w:outlineLvl w:val="0"/>
        <w:rPr>
          <w:rFonts w:ascii="黑体" w:eastAsia="黑体" w:hAnsi="黑体" w:cs="黑体"/>
          <w:sz w:val="32"/>
          <w:szCs w:val="32"/>
        </w:rPr>
      </w:pPr>
      <w:r>
        <w:rPr>
          <w:rFonts w:ascii="黑体" w:eastAsia="黑体" w:hAnsi="黑体" w:cs="黑体" w:hint="eastAsia"/>
          <w:sz w:val="32"/>
          <w:szCs w:val="32"/>
        </w:rPr>
        <w:t>四、绩效评价指标分析</w:t>
      </w:r>
      <w:bookmarkEnd w:id="15"/>
      <w:bookmarkEnd w:id="16"/>
    </w:p>
    <w:p w:rsidR="003635F4" w:rsidRDefault="00CE7B18">
      <w:pPr>
        <w:adjustRightInd w:val="0"/>
        <w:snapToGrid w:val="0"/>
        <w:spacing w:line="360" w:lineRule="auto"/>
        <w:ind w:firstLineChars="200" w:firstLine="643"/>
        <w:outlineLvl w:val="1"/>
        <w:rPr>
          <w:rFonts w:ascii="仿宋" w:eastAsia="仿宋" w:hAnsi="仿宋" w:cs="仿宋"/>
          <w:b/>
          <w:bCs/>
          <w:sz w:val="32"/>
          <w:szCs w:val="32"/>
        </w:rPr>
      </w:pPr>
      <w:bookmarkStart w:id="17" w:name="_Toc2586"/>
      <w:bookmarkStart w:id="18" w:name="_Toc5778"/>
      <w:r>
        <w:rPr>
          <w:rFonts w:ascii="仿宋" w:eastAsia="仿宋" w:hAnsi="仿宋" w:cs="仿宋" w:hint="eastAsia"/>
          <w:b/>
          <w:bCs/>
          <w:sz w:val="32"/>
          <w:szCs w:val="32"/>
        </w:rPr>
        <w:t>（一）项目决策情况</w:t>
      </w:r>
      <w:bookmarkEnd w:id="17"/>
      <w:bookmarkEnd w:id="18"/>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1、项目立项情况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根据中办、国办6号文件《关于加强知识产权审判领域改革创新若干问题的意见》、最高人民法院《人民法院诉讼档案管理办法》《关于推进人民法院档案数字化的通知》（法办发〔2015〕161号）及《关于印发全市法院检察院财务统一管理改革专项工作组第四次会议会议纪要的通知》（京财公检法〔2018〕362号）等政策指导，从知产法院工作实际出发，完善经费保障机制，明确知产法院购买社会服务依据的要求，在市高级法院和市财政的悉心指导和大力支持下，经全市法院检察院财务统管改革专项工作组第四次会议研究决定，开展《卷宗全过程整理运维服务外包项目》审判程序性辅助服务外包试点项目。</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评价分析认为，该项目立项依据较充分，但事前专家论证、风险评估、绩效评估等决策过程资料还有待完善，且年度计划不够全面和具体，建议进一步加强项目决策过程资料的收集，制定项目中长期发展规划，在立项前开展可行性研究及项目经费评审，以明确项目立项的必要性及预算合理性。</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2、绩效目标情况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（1）目标合理性分析</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该项目为延续性项目，根据知产法院2021年度工作目标，为人民法院诉讼审判业务减轻负担，提高审判质效。</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评价分析认为，该项目设定的绩效目标较为合理，基本符合有关政策和单位职责，目标具有可实现性和可操作性。</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（2）目标明确性分析</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绩效目标为：增强法院档案管理工作的制度化、规范化、科学化管理水平，努力强化服务意识。为人民法院诉讼审判业务减轻负担，提高审判质效。结合司法公开、司法为民、司法共享的终极目标，有效的推动档案信息化建设。</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评价分析认为，该项目目标设定较为明确，符合项目建设单位需求。</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（3）目标细化程度分析</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设置了数量指标（安检卷宗整理数量1.2万件）、质量指标（卷宗整理规范化达到规定标准、归档上架率达到98%、卷宗安全性显著提高）、进度指标（按照计划执行进度、成本指标（总成本控制在197.538万元）、效益指标（书记员工作压力显著下降、结案数量得到提升、审判团队满意度达到90%以上）。</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评价分析认为，整体目标明确，但效益指标值设定的不够细化量化，个别指标可衡量性不足。如减轻书记员工作量指标设定为“显著降低”没有量化，无法考核其合理性。</w:t>
      </w:r>
    </w:p>
    <w:p w:rsidR="003635F4" w:rsidRDefault="00CE7B18">
      <w:pPr>
        <w:adjustRightInd w:val="0"/>
        <w:snapToGrid w:val="0"/>
        <w:spacing w:line="360" w:lineRule="auto"/>
        <w:ind w:firstLineChars="200" w:firstLine="643"/>
        <w:outlineLvl w:val="1"/>
        <w:rPr>
          <w:rFonts w:ascii="仿宋" w:eastAsia="仿宋" w:hAnsi="仿宋" w:cs="仿宋"/>
          <w:b/>
          <w:bCs/>
          <w:sz w:val="32"/>
          <w:szCs w:val="32"/>
        </w:rPr>
      </w:pPr>
      <w:bookmarkStart w:id="19" w:name="_Toc30980"/>
      <w:bookmarkStart w:id="20" w:name="_Toc15582"/>
      <w:r>
        <w:rPr>
          <w:rFonts w:ascii="仿宋" w:eastAsia="仿宋" w:hAnsi="仿宋" w:cs="仿宋" w:hint="eastAsia"/>
          <w:b/>
          <w:bCs/>
          <w:sz w:val="32"/>
          <w:szCs w:val="32"/>
        </w:rPr>
        <w:t>（二）项目过程情况</w:t>
      </w:r>
      <w:bookmarkEnd w:id="19"/>
      <w:bookmarkEnd w:id="20"/>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1、项目资金管理情况分析</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为了进一步规范和加强项目经费的管理，保障资金安全、高效运行，提高资金使用效益，知产法院制定了《大额资金支出管理制度》《北京知识产权法院财务管理办法》《北京</w:t>
      </w:r>
      <w:r>
        <w:rPr>
          <w:rFonts w:ascii="仿宋" w:eastAsia="仿宋" w:hAnsi="仿宋" w:cs="仿宋" w:hint="eastAsia"/>
          <w:sz w:val="32"/>
          <w:szCs w:val="32"/>
        </w:rPr>
        <w:lastRenderedPageBreak/>
        <w:t>知识产权法院内部控制手册》等管理制度，加强资金使用的过程管理。</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评价分析认为，该项目资金管理制度较为完善，财务记账较为规范，支出凭单、发票等附件较为齐全。未发现资金挪用、截留等严重违规情况。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2、项目组织实施情况分析</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（1）组织机构建设情况</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组织管理部门为知产法院，项目责任主管部门为综合办公室，项目资金管理部门为知产法院财务科,其他部门配合相关工作。项目单位中标后，项目实施单位设定档案交接初步审查3人，归档信息登记1人，档案编页3人，卷皮书写2人，目录制作2人，数字化扫描3人，图像数量2人，数据挂接2人，档案装订2人，档案上架1人，卷宗质量复检及托管3人，项目驻场经理（负责现场项目管理及机动应急工作）1人。</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（2）项目组织实施程序</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该项目于2021年初拟定该项目的预算为197.538万元，并在财政应用支撑平台系统上申报预算。北京市财政局在《北京市财政局关于批复北京知识产权法院2021年预算的函》（京财公检法指〔2021〕935号）中对该项目预算全额批复。</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2020年12月4日，知产法院委托中承国际咨询（北京）</w:t>
      </w:r>
      <w:r>
        <w:rPr>
          <w:rFonts w:ascii="仿宋" w:eastAsia="仿宋" w:hAnsi="仿宋" w:cs="仿宋" w:hint="eastAsia"/>
          <w:sz w:val="32"/>
          <w:szCs w:val="32"/>
        </w:rPr>
        <w:lastRenderedPageBreak/>
        <w:t xml:space="preserve">有限公司对该项目进行公开招标，并在中国政府采购网上发出招标公告，邀请合格的供应商前来投标。 </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2020年12月29日，北京汉王影研科技有限公司中标该项目，知产法院向其发送《中标通知书》，并在中国政府采购网上发出中标公告。</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2021年1月28日，知产法院与北京汉王影研科技有限公司签订卷宗全过程整理运维服务合同。合同中明确约定了该项目的服务内容及服务目标。</w:t>
      </w:r>
    </w:p>
    <w:p w:rsidR="003635F4" w:rsidRDefault="00CE7B1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知产法院在该项目执行过程中，积极配合项目供应商开展相关工作，并对其工作进行实时地检查与监督，确保该项目保质保量地进行，以达到档案整理规范运行、提升档案信息化的建设、切实达到为审判部门减负，提升审判质效的项目绩效目标。</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cs="仿宋" w:hint="eastAsia"/>
          <w:sz w:val="32"/>
          <w:szCs w:val="32"/>
        </w:rPr>
        <w:t>评价分析认为，该项目按照招投标法进行公开招投标，组织机构较为健全，分工较为明确。</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3、项目管理情况分析</w:t>
      </w:r>
    </w:p>
    <w:p w:rsidR="003635F4" w:rsidRPr="00C60164" w:rsidRDefault="00CE7B18">
      <w:pPr>
        <w:adjustRightInd w:val="0"/>
        <w:snapToGrid w:val="0"/>
        <w:spacing w:line="360" w:lineRule="auto"/>
        <w:ind w:firstLineChars="200" w:firstLine="640"/>
        <w:rPr>
          <w:rFonts w:ascii="仿宋" w:eastAsia="仿宋" w:hAnsi="仿宋" w:cs="仿宋"/>
          <w:sz w:val="32"/>
          <w:szCs w:val="32"/>
        </w:rPr>
      </w:pPr>
      <w:r w:rsidRPr="00C60164">
        <w:rPr>
          <w:rFonts w:ascii="仿宋" w:eastAsia="仿宋" w:hAnsi="仿宋" w:cs="仿宋" w:hint="eastAsia"/>
          <w:sz w:val="32"/>
          <w:szCs w:val="32"/>
        </w:rPr>
        <w:t>（1）项目管理制度建设情况</w:t>
      </w:r>
    </w:p>
    <w:p w:rsidR="003635F4" w:rsidRPr="00C60164" w:rsidRDefault="00CE7B18">
      <w:pPr>
        <w:adjustRightInd w:val="0"/>
        <w:snapToGrid w:val="0"/>
        <w:spacing w:line="360" w:lineRule="auto"/>
        <w:ind w:firstLineChars="200" w:firstLine="640"/>
        <w:rPr>
          <w:rFonts w:ascii="仿宋" w:eastAsia="仿宋" w:hAnsi="仿宋" w:cs="仿宋"/>
          <w:sz w:val="32"/>
          <w:szCs w:val="32"/>
        </w:rPr>
      </w:pPr>
      <w:r w:rsidRPr="00C60164">
        <w:rPr>
          <w:rFonts w:ascii="仿宋" w:eastAsia="仿宋" w:hAnsi="仿宋" w:cs="仿宋" w:hint="eastAsia"/>
          <w:sz w:val="32"/>
          <w:szCs w:val="32"/>
        </w:rPr>
        <w:t>该项目按照招投标程序与中标方签订合同，知产法院指定专人负责对该项目的实施进行日常监督检查，确保该项目按照绩效目标稳步推进。项目供应商在知产法院的监督下，依据合同约定服务内容，制定了项目管理规范，包含人员管理、设备管理、作业标准流程、管理职能规范、岗位等级评</w:t>
      </w:r>
      <w:r w:rsidRPr="00C60164">
        <w:rPr>
          <w:rFonts w:ascii="仿宋" w:eastAsia="仿宋" w:hAnsi="仿宋" w:cs="仿宋" w:hint="eastAsia"/>
          <w:sz w:val="32"/>
          <w:szCs w:val="32"/>
        </w:rPr>
        <w:lastRenderedPageBreak/>
        <w:t>定、管培生培养方案、培训方案、巡检制度等。在项目实施期间，项目供应商按照进度计划、质量计划组织实施，并制订相应的管理策略和应对措施，确保项目风险可控。按照制订的验收标准进行验收，定期检查档案质量，确保完成初步目标，提高项目绩效。</w:t>
      </w:r>
    </w:p>
    <w:p w:rsidR="003635F4" w:rsidRPr="00C60164" w:rsidRDefault="00CE7B18">
      <w:pPr>
        <w:adjustRightInd w:val="0"/>
        <w:snapToGrid w:val="0"/>
        <w:spacing w:line="360" w:lineRule="auto"/>
        <w:ind w:firstLineChars="200" w:firstLine="640"/>
        <w:rPr>
          <w:rFonts w:ascii="仿宋" w:eastAsia="仿宋" w:hAnsi="仿宋" w:cs="仿宋"/>
          <w:sz w:val="32"/>
          <w:szCs w:val="32"/>
        </w:rPr>
      </w:pPr>
      <w:r w:rsidRPr="00C60164">
        <w:rPr>
          <w:rFonts w:ascii="仿宋" w:eastAsia="仿宋" w:hAnsi="仿宋" w:cs="仿宋" w:hint="eastAsia"/>
          <w:sz w:val="32"/>
          <w:szCs w:val="32"/>
        </w:rPr>
        <w:t>知产法院为一步规范和加强项目管理，制定了《北京知识产权法院试点外包服务项目管理通则》《北京司法业务线现场管理行为规范》，明确了外包服务人员录用标准及操作流程、保密管理制度、劳动纪律、考勤制度及考核管理等，确保项目的顺利实施；</w:t>
      </w:r>
      <w:r w:rsidRPr="00C60164">
        <w:rPr>
          <w:rFonts w:ascii="仿宋" w:eastAsia="仿宋" w:hAnsi="仿宋" w:cs="仿宋"/>
          <w:sz w:val="32"/>
          <w:szCs w:val="32"/>
        </w:rPr>
        <w:t>从</w:t>
      </w:r>
      <w:r w:rsidRPr="00C60164">
        <w:rPr>
          <w:rFonts w:ascii="仿宋" w:eastAsia="仿宋" w:hAnsi="仿宋" w:cs="仿宋" w:hint="eastAsia"/>
          <w:sz w:val="32"/>
          <w:szCs w:val="32"/>
        </w:rPr>
        <w:t>组织</w:t>
      </w:r>
      <w:r w:rsidRPr="00C60164">
        <w:rPr>
          <w:rFonts w:ascii="仿宋" w:eastAsia="仿宋" w:hAnsi="仿宋" w:cs="仿宋"/>
          <w:sz w:val="32"/>
          <w:szCs w:val="32"/>
        </w:rPr>
        <w:t>机构、</w:t>
      </w:r>
      <w:r w:rsidRPr="00C60164">
        <w:rPr>
          <w:rFonts w:ascii="仿宋" w:eastAsia="仿宋" w:hAnsi="仿宋" w:cs="仿宋" w:hint="eastAsia"/>
          <w:sz w:val="32"/>
          <w:szCs w:val="32"/>
        </w:rPr>
        <w:t>考核机制</w:t>
      </w:r>
      <w:r w:rsidRPr="00C60164">
        <w:rPr>
          <w:rFonts w:ascii="仿宋" w:eastAsia="仿宋" w:hAnsi="仿宋" w:cs="仿宋"/>
          <w:sz w:val="32"/>
          <w:szCs w:val="32"/>
        </w:rPr>
        <w:t>、应急预案等</w:t>
      </w:r>
      <w:r w:rsidRPr="00C60164">
        <w:rPr>
          <w:rFonts w:ascii="仿宋" w:eastAsia="仿宋" w:hAnsi="仿宋" w:cs="仿宋" w:hint="eastAsia"/>
          <w:sz w:val="32"/>
          <w:szCs w:val="32"/>
        </w:rPr>
        <w:t>几</w:t>
      </w:r>
      <w:r w:rsidRPr="00C60164">
        <w:rPr>
          <w:rFonts w:ascii="仿宋" w:eastAsia="仿宋" w:hAnsi="仿宋" w:cs="仿宋"/>
          <w:sz w:val="32"/>
          <w:szCs w:val="32"/>
        </w:rPr>
        <w:t>个方面</w:t>
      </w:r>
      <w:r w:rsidRPr="00C60164">
        <w:rPr>
          <w:rFonts w:ascii="仿宋" w:eastAsia="仿宋" w:hAnsi="仿宋" w:cs="仿宋" w:hint="eastAsia"/>
          <w:sz w:val="32"/>
          <w:szCs w:val="32"/>
        </w:rPr>
        <w:t>做出</w:t>
      </w:r>
      <w:r w:rsidRPr="00C60164">
        <w:rPr>
          <w:rFonts w:ascii="仿宋" w:eastAsia="仿宋" w:hAnsi="仿宋" w:cs="仿宋"/>
          <w:sz w:val="32"/>
          <w:szCs w:val="32"/>
        </w:rPr>
        <w:t>了详细规定</w:t>
      </w:r>
      <w:r w:rsidRPr="00C60164">
        <w:rPr>
          <w:rFonts w:ascii="仿宋" w:eastAsia="仿宋" w:hAnsi="仿宋" w:cs="仿宋" w:hint="eastAsia"/>
          <w:sz w:val="32"/>
          <w:szCs w:val="32"/>
        </w:rPr>
        <w:t>，保证了项目</w:t>
      </w:r>
      <w:r w:rsidRPr="00C60164">
        <w:rPr>
          <w:rFonts w:ascii="仿宋" w:eastAsia="仿宋" w:hAnsi="仿宋" w:cs="仿宋"/>
          <w:sz w:val="32"/>
          <w:szCs w:val="32"/>
        </w:rPr>
        <w:t>运行的高效、</w:t>
      </w:r>
      <w:r w:rsidRPr="00C60164">
        <w:rPr>
          <w:rFonts w:ascii="仿宋" w:eastAsia="仿宋" w:hAnsi="仿宋" w:cs="仿宋" w:hint="eastAsia"/>
          <w:sz w:val="32"/>
          <w:szCs w:val="32"/>
        </w:rPr>
        <w:t>优化。</w:t>
      </w:r>
    </w:p>
    <w:p w:rsidR="003635F4" w:rsidRPr="00C60164" w:rsidRDefault="00CE7B18">
      <w:pPr>
        <w:adjustRightInd w:val="0"/>
        <w:snapToGrid w:val="0"/>
        <w:spacing w:line="360" w:lineRule="auto"/>
        <w:ind w:firstLineChars="200" w:firstLine="640"/>
        <w:rPr>
          <w:rFonts w:ascii="仿宋" w:eastAsia="仿宋" w:hAnsi="仿宋" w:cs="仿宋"/>
          <w:sz w:val="32"/>
          <w:szCs w:val="32"/>
        </w:rPr>
      </w:pPr>
      <w:r w:rsidRPr="00C60164">
        <w:rPr>
          <w:rFonts w:ascii="仿宋" w:eastAsia="仿宋" w:hAnsi="仿宋" w:cs="仿宋" w:hint="eastAsia"/>
          <w:sz w:val="32"/>
          <w:szCs w:val="32"/>
        </w:rPr>
        <w:t>（2）项目管理制度执行情况</w:t>
      </w:r>
    </w:p>
    <w:p w:rsidR="003635F4" w:rsidRPr="00C60164" w:rsidRDefault="00CE7B18">
      <w:pPr>
        <w:adjustRightInd w:val="0"/>
        <w:snapToGrid w:val="0"/>
        <w:spacing w:line="360" w:lineRule="auto"/>
        <w:ind w:firstLineChars="200" w:firstLine="640"/>
        <w:rPr>
          <w:rFonts w:ascii="仿宋" w:eastAsia="仿宋" w:hAnsi="仿宋" w:cs="仿宋"/>
          <w:sz w:val="32"/>
          <w:szCs w:val="32"/>
        </w:rPr>
      </w:pPr>
      <w:r w:rsidRPr="00C60164">
        <w:rPr>
          <w:rFonts w:ascii="仿宋" w:eastAsia="仿宋" w:hAnsi="仿宋" w:cs="仿宋" w:hint="eastAsia"/>
          <w:sz w:val="32"/>
          <w:szCs w:val="32"/>
        </w:rPr>
        <w:t>为保障外包团队的生产能力，团队专业素质提升，项目供应方定期培训，针对安全生产、质量提升及现场加工秩序定期进行培训。同时建立开放互通的建言献策交流平台。将工作沟通机制落实到日常工作当中，做到工作提前谋划、问题即时沟通；定期开展例会，每日开展早会，创新工作新路子、新方法，不断拓展服务领域，提升服务层次，强化服务能力。</w:t>
      </w:r>
    </w:p>
    <w:p w:rsidR="003635F4" w:rsidRPr="00C60164" w:rsidRDefault="00CE7B18">
      <w:pPr>
        <w:adjustRightInd w:val="0"/>
        <w:snapToGrid w:val="0"/>
        <w:spacing w:line="360" w:lineRule="auto"/>
        <w:ind w:firstLineChars="200" w:firstLine="640"/>
        <w:rPr>
          <w:rFonts w:ascii="仿宋" w:eastAsia="仿宋" w:hAnsi="仿宋" w:cs="仿宋"/>
          <w:sz w:val="32"/>
          <w:szCs w:val="32"/>
        </w:rPr>
      </w:pPr>
      <w:r w:rsidRPr="00C60164">
        <w:rPr>
          <w:rFonts w:ascii="仿宋" w:eastAsia="仿宋" w:hAnsi="仿宋" w:cs="仿宋" w:hint="eastAsia"/>
          <w:sz w:val="32"/>
          <w:szCs w:val="32"/>
        </w:rPr>
        <w:t>在项目执行过程中除传统加工外，外包团队加入新的技术服务应用至项目中，新增档案识别枪：充分利用RFID感应码，手持扫码枪，卷宗示踪系统的应用，对部分调取无法记</w:t>
      </w:r>
      <w:r w:rsidRPr="00C60164">
        <w:rPr>
          <w:rFonts w:ascii="仿宋" w:eastAsia="仿宋" w:hAnsi="仿宋" w:cs="仿宋" w:hint="eastAsia"/>
          <w:sz w:val="32"/>
          <w:szCs w:val="32"/>
        </w:rPr>
        <w:lastRenderedPageBreak/>
        <w:t>录精确位置的批次案卷进行查找定位，30分钟调取变为10分钟完成库房调取，针对单卷更加节省人力，时间。</w:t>
      </w:r>
    </w:p>
    <w:p w:rsidR="003635F4" w:rsidRPr="00C60164" w:rsidRDefault="00CE7B18">
      <w:pPr>
        <w:adjustRightInd w:val="0"/>
        <w:snapToGrid w:val="0"/>
        <w:spacing w:line="360" w:lineRule="auto"/>
        <w:ind w:firstLineChars="200" w:firstLine="640"/>
        <w:rPr>
          <w:rFonts w:ascii="仿宋" w:eastAsia="仿宋" w:hAnsi="仿宋" w:cs="仿宋"/>
          <w:sz w:val="32"/>
          <w:szCs w:val="32"/>
        </w:rPr>
      </w:pPr>
      <w:r w:rsidRPr="00C60164">
        <w:rPr>
          <w:rFonts w:ascii="仿宋" w:eastAsia="仿宋" w:hAnsi="仿宋" w:cs="仿宋" w:hint="eastAsia"/>
          <w:sz w:val="32"/>
          <w:szCs w:val="32"/>
        </w:rPr>
        <w:t>评价分析认为，该项目管理制度较为完善，但项目资金支付未完全按照合同约定执行，也未提供资金滞后支付的相关说明，项目制度有待进一步加强。</w:t>
      </w:r>
    </w:p>
    <w:p w:rsidR="003635F4" w:rsidRDefault="00CE7B18">
      <w:pPr>
        <w:adjustRightInd w:val="0"/>
        <w:snapToGrid w:val="0"/>
        <w:spacing w:line="360" w:lineRule="auto"/>
        <w:ind w:firstLineChars="200" w:firstLine="643"/>
        <w:outlineLvl w:val="1"/>
        <w:rPr>
          <w:rFonts w:ascii="仿宋" w:eastAsia="仿宋" w:hAnsi="仿宋" w:cs="仿宋"/>
          <w:b/>
          <w:bCs/>
          <w:sz w:val="32"/>
          <w:szCs w:val="32"/>
        </w:rPr>
      </w:pPr>
      <w:bookmarkStart w:id="21" w:name="_Toc5887"/>
      <w:bookmarkStart w:id="22" w:name="_Toc1003"/>
      <w:r>
        <w:rPr>
          <w:rFonts w:ascii="仿宋" w:eastAsia="仿宋" w:hAnsi="仿宋" w:cs="仿宋" w:hint="eastAsia"/>
          <w:b/>
          <w:bCs/>
          <w:sz w:val="32"/>
          <w:szCs w:val="32"/>
        </w:rPr>
        <w:t>（三）项目产出情况</w:t>
      </w:r>
      <w:bookmarkEnd w:id="21"/>
      <w:bookmarkEnd w:id="22"/>
    </w:p>
    <w:p w:rsidR="003635F4" w:rsidRDefault="00CE7B18">
      <w:pPr>
        <w:adjustRightInd w:val="0"/>
        <w:snapToGrid w:val="0"/>
        <w:spacing w:line="360" w:lineRule="auto"/>
        <w:ind w:firstLineChars="200" w:firstLine="640"/>
        <w:rPr>
          <w:rFonts w:ascii="仿宋" w:eastAsia="仿宋" w:hAnsi="仿宋"/>
          <w:sz w:val="32"/>
        </w:rPr>
      </w:pPr>
      <w:r>
        <w:rPr>
          <w:rFonts w:ascii="仿宋" w:eastAsia="仿宋" w:hAnsi="仿宋" w:hint="eastAsia"/>
          <w:sz w:val="32"/>
        </w:rPr>
        <w:t>1、项目预期目标完成情况</w:t>
      </w:r>
    </w:p>
    <w:p w:rsidR="003635F4" w:rsidRDefault="00CE7B18">
      <w:pPr>
        <w:adjustRightInd w:val="0"/>
        <w:snapToGrid w:val="0"/>
        <w:spacing w:line="360" w:lineRule="auto"/>
        <w:ind w:firstLineChars="200" w:firstLine="640"/>
        <w:rPr>
          <w:rFonts w:ascii="仿宋" w:eastAsia="仿宋" w:hAnsi="仿宋" w:cs="宋体"/>
          <w:sz w:val="32"/>
          <w:szCs w:val="32"/>
        </w:rPr>
      </w:pPr>
      <w:r>
        <w:rPr>
          <w:rFonts w:ascii="仿宋" w:eastAsia="仿宋" w:hAnsi="仿宋" w:cs="宋体" w:hint="eastAsia"/>
          <w:sz w:val="32"/>
          <w:szCs w:val="32"/>
        </w:rPr>
        <w:t>2021年，项目共完成立案环节卷宗整理2.7万余卷，上诉环节卷宗</w:t>
      </w:r>
      <w:r>
        <w:rPr>
          <w:rFonts w:ascii="仿宋_GB2312" w:eastAsia="仿宋_GB2312" w:hAnsi="宋体" w:cs="仿宋_GB2312" w:hint="eastAsia"/>
          <w:sz w:val="32"/>
          <w:szCs w:val="32"/>
        </w:rPr>
        <w:t>整理</w:t>
      </w:r>
      <w:r>
        <w:rPr>
          <w:rFonts w:ascii="仿宋" w:eastAsia="仿宋" w:hAnsi="仿宋" w:cs="宋体" w:hint="eastAsia"/>
          <w:sz w:val="32"/>
          <w:szCs w:val="32"/>
        </w:rPr>
        <w:t>6千余卷，归档环节卷宗整理1.8万余卷。全年，知产法院累计结案24890件，累计收案27604件。实行全过程外包服务后，原先由书记员处理的工序（卷宗整理、页码编写、目录制作、书写/打印卷皮）改由外包团队集中处理，由于项目化管理的集约高效优势，项目的运行初步实现了为法官团队减负的目标，促进了一线审判质效。</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cs="宋体" w:hint="eastAsia"/>
          <w:sz w:val="32"/>
          <w:szCs w:val="32"/>
        </w:rPr>
        <w:t>评价分析认为</w:t>
      </w:r>
      <w:r>
        <w:rPr>
          <w:rFonts w:ascii="仿宋" w:eastAsia="仿宋" w:hAnsi="仿宋" w:hint="eastAsia"/>
          <w:sz w:val="32"/>
          <w:szCs w:val="32"/>
        </w:rPr>
        <w:t>，</w:t>
      </w:r>
      <w:r>
        <w:rPr>
          <w:rFonts w:ascii="仿宋_GB2312" w:eastAsia="仿宋_GB2312" w:hAnsi="宋体" w:cs="仿宋_GB2312" w:hint="eastAsia"/>
          <w:sz w:val="32"/>
          <w:szCs w:val="32"/>
        </w:rPr>
        <w:t>项目</w:t>
      </w:r>
      <w:r>
        <w:rPr>
          <w:rFonts w:ascii="仿宋" w:eastAsia="仿宋" w:hAnsi="仿宋" w:hint="eastAsia"/>
          <w:sz w:val="32"/>
          <w:szCs w:val="32"/>
        </w:rPr>
        <w:t>预期目标完成较好,但在年初的绩效目标申报表中未充分量化质量指标和效益指标，建议在下一年度申报的项目中，根据实施项目的特点细化、量化。</w:t>
      </w:r>
    </w:p>
    <w:p w:rsidR="003635F4" w:rsidRDefault="00CE7B18">
      <w:pPr>
        <w:adjustRightInd w:val="0"/>
        <w:snapToGrid w:val="0"/>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2、项目质量完成情况</w:t>
      </w:r>
    </w:p>
    <w:p w:rsidR="003635F4" w:rsidRPr="00CC5172" w:rsidRDefault="00CE7B18">
      <w:pPr>
        <w:adjustRightInd w:val="0"/>
        <w:snapToGrid w:val="0"/>
        <w:spacing w:line="360" w:lineRule="auto"/>
        <w:ind w:firstLineChars="200" w:firstLine="640"/>
        <w:rPr>
          <w:rFonts w:ascii="仿宋" w:eastAsia="仿宋" w:hAnsi="仿宋"/>
          <w:sz w:val="32"/>
          <w:szCs w:val="32"/>
        </w:rPr>
      </w:pPr>
      <w:r w:rsidRPr="00CC5172">
        <w:rPr>
          <w:rFonts w:ascii="仿宋" w:eastAsia="仿宋" w:hAnsi="仿宋" w:hint="eastAsia"/>
          <w:sz w:val="32"/>
          <w:szCs w:val="32"/>
        </w:rPr>
        <w:t>该项目各项工作以及运维工作人员，能够按照知产法院制定的各项规章制度执行，并在执行过程中按照季度进行绩效考核，及时纠偏整改，最终按照既定目标通过了项目验收。</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cs="宋体" w:hint="eastAsia"/>
          <w:sz w:val="32"/>
          <w:szCs w:val="32"/>
        </w:rPr>
        <w:t>评价分析认为</w:t>
      </w:r>
      <w:r>
        <w:rPr>
          <w:rFonts w:ascii="仿宋" w:eastAsia="仿宋" w:hAnsi="仿宋" w:hint="eastAsia"/>
          <w:sz w:val="32"/>
          <w:szCs w:val="32"/>
        </w:rPr>
        <w:t>，该项目注重过程控制，严格按照内控管</w:t>
      </w:r>
      <w:r>
        <w:rPr>
          <w:rFonts w:ascii="仿宋" w:eastAsia="仿宋" w:hAnsi="仿宋" w:hint="eastAsia"/>
          <w:sz w:val="32"/>
          <w:szCs w:val="32"/>
        </w:rPr>
        <w:lastRenderedPageBreak/>
        <w:t>理程序执行，及时掌握运维质量水平。建议在设定项目质量指标时，尽量量化相关指标，以便于年末对该项目质量进行考核。</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cs="仿宋_GB2312" w:hint="eastAsia"/>
          <w:sz w:val="32"/>
          <w:szCs w:val="32"/>
        </w:rPr>
        <w:t>3、项目实施进度情况</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根据年度工作安排，该项目于2021年12月31日全部实施完毕。</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评价分析认为，项目实施符合年度进度计划，</w:t>
      </w:r>
      <w:r w:rsidRPr="00CC5172">
        <w:rPr>
          <w:rFonts w:ascii="仿宋" w:eastAsia="仿宋" w:hAnsi="仿宋" w:hint="eastAsia"/>
          <w:sz w:val="32"/>
          <w:szCs w:val="32"/>
        </w:rPr>
        <w:t>并在2021年底完成了项目预期目标</w:t>
      </w:r>
      <w:r>
        <w:rPr>
          <w:rFonts w:ascii="仿宋" w:eastAsia="仿宋" w:hAnsi="仿宋" w:hint="eastAsia"/>
          <w:sz w:val="32"/>
          <w:szCs w:val="32"/>
        </w:rPr>
        <w:t>。</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4、项目经济性情况</w:t>
      </w:r>
    </w:p>
    <w:p w:rsidR="003635F4" w:rsidRDefault="00CE7B18">
      <w:pPr>
        <w:adjustRightInd w:val="0"/>
        <w:snapToGrid w:val="0"/>
        <w:spacing w:line="360" w:lineRule="auto"/>
        <w:ind w:firstLineChars="200" w:firstLine="640"/>
        <w:rPr>
          <w:rFonts w:ascii="仿宋" w:eastAsia="仿宋" w:hAnsi="仿宋" w:cs="宋体"/>
          <w:sz w:val="32"/>
          <w:szCs w:val="32"/>
        </w:rPr>
      </w:pPr>
      <w:r>
        <w:rPr>
          <w:rFonts w:ascii="仿宋" w:eastAsia="仿宋" w:hAnsi="仿宋" w:cs="宋体" w:hint="eastAsia"/>
          <w:sz w:val="32"/>
          <w:szCs w:val="32"/>
        </w:rPr>
        <w:t>该项目预算</w:t>
      </w:r>
      <w:r>
        <w:rPr>
          <w:rFonts w:ascii="仿宋" w:eastAsia="仿宋" w:hAnsi="仿宋" w:hint="eastAsia"/>
          <w:sz w:val="32"/>
          <w:szCs w:val="32"/>
        </w:rPr>
        <w:t>申报</w:t>
      </w:r>
      <w:r>
        <w:rPr>
          <w:rFonts w:ascii="仿宋" w:eastAsia="仿宋" w:hAnsi="仿宋" w:cs="宋体" w:hint="eastAsia"/>
          <w:sz w:val="32"/>
          <w:szCs w:val="32"/>
        </w:rPr>
        <w:t>较为细化量化，并经财政审批获得财政规划拨款，采取公开招投标形式选取供应商，中标价格符合市场价格标准，不存在超支现象。</w:t>
      </w:r>
    </w:p>
    <w:p w:rsidR="003635F4" w:rsidRDefault="00CE7B18">
      <w:pPr>
        <w:adjustRightInd w:val="0"/>
        <w:snapToGrid w:val="0"/>
        <w:spacing w:line="360" w:lineRule="auto"/>
        <w:ind w:firstLineChars="200" w:firstLine="640"/>
      </w:pPr>
      <w:r>
        <w:rPr>
          <w:rFonts w:ascii="仿宋" w:eastAsia="仿宋" w:hAnsi="仿宋" w:cs="宋体" w:hint="eastAsia"/>
          <w:sz w:val="32"/>
          <w:szCs w:val="32"/>
        </w:rPr>
        <w:t>评价分析</w:t>
      </w:r>
      <w:r>
        <w:rPr>
          <w:rFonts w:ascii="仿宋" w:eastAsia="仿宋" w:hAnsi="仿宋" w:hint="eastAsia"/>
          <w:sz w:val="32"/>
          <w:szCs w:val="32"/>
        </w:rPr>
        <w:t>认为，项目经济性良好，但应加强成本管理，制定详细的成本控制措施。</w:t>
      </w:r>
    </w:p>
    <w:p w:rsidR="003635F4" w:rsidRDefault="00CE7B18">
      <w:pPr>
        <w:adjustRightInd w:val="0"/>
        <w:snapToGrid w:val="0"/>
        <w:spacing w:line="360" w:lineRule="auto"/>
        <w:ind w:firstLineChars="200" w:firstLine="643"/>
        <w:outlineLvl w:val="1"/>
        <w:rPr>
          <w:rFonts w:ascii="仿宋" w:eastAsia="仿宋" w:hAnsi="仿宋" w:cs="仿宋"/>
          <w:b/>
          <w:bCs/>
          <w:sz w:val="32"/>
          <w:szCs w:val="32"/>
        </w:rPr>
      </w:pPr>
      <w:bookmarkStart w:id="23" w:name="_Toc12935"/>
      <w:bookmarkStart w:id="24" w:name="_Toc18155"/>
      <w:r>
        <w:rPr>
          <w:rFonts w:ascii="仿宋" w:eastAsia="仿宋" w:hAnsi="仿宋" w:cs="仿宋" w:hint="eastAsia"/>
          <w:b/>
          <w:bCs/>
          <w:sz w:val="32"/>
          <w:szCs w:val="32"/>
        </w:rPr>
        <w:t>（四）项目效益情况</w:t>
      </w:r>
      <w:bookmarkEnd w:id="23"/>
      <w:bookmarkEnd w:id="24"/>
    </w:p>
    <w:p w:rsidR="003635F4" w:rsidRDefault="00CE7B18">
      <w:pPr>
        <w:adjustRightInd w:val="0"/>
        <w:snapToGrid w:val="0"/>
        <w:spacing w:line="360" w:lineRule="auto"/>
        <w:ind w:firstLineChars="200" w:firstLine="640"/>
        <w:rPr>
          <w:rFonts w:ascii="仿宋" w:eastAsia="仿宋" w:hAnsi="仿宋"/>
          <w:sz w:val="32"/>
        </w:rPr>
      </w:pPr>
      <w:r>
        <w:rPr>
          <w:rFonts w:ascii="仿宋" w:eastAsia="仿宋" w:hAnsi="仿宋" w:hint="eastAsia"/>
          <w:sz w:val="32"/>
        </w:rPr>
        <w:t>1、项目社会效益</w:t>
      </w:r>
    </w:p>
    <w:p w:rsidR="003635F4" w:rsidRDefault="00CE7B18">
      <w:pPr>
        <w:adjustRightInd w:val="0"/>
        <w:snapToGrid w:val="0"/>
        <w:spacing w:line="360" w:lineRule="auto"/>
        <w:ind w:firstLineChars="200" w:firstLine="640"/>
        <w:rPr>
          <w:rFonts w:ascii="仿宋" w:eastAsia="仿宋" w:hAnsi="仿宋" w:cs="宋体"/>
          <w:sz w:val="32"/>
          <w:szCs w:val="32"/>
        </w:rPr>
      </w:pPr>
      <w:r>
        <w:rPr>
          <w:rFonts w:ascii="仿宋" w:eastAsia="仿宋" w:hAnsi="仿宋" w:cs="宋体" w:hint="eastAsia"/>
          <w:sz w:val="32"/>
          <w:szCs w:val="32"/>
        </w:rPr>
        <w:t>北京知识产权法院案件本身事实复杂、程序繁琐是该院案件的特点之一。一审案件比重大，行政案件比重高，程序复杂；涉外案件</w:t>
      </w:r>
      <w:r>
        <w:rPr>
          <w:rFonts w:ascii="仿宋" w:eastAsia="仿宋" w:hAnsi="仿宋" w:hint="eastAsia"/>
          <w:sz w:val="32"/>
          <w:szCs w:val="32"/>
        </w:rPr>
        <w:t>比重</w:t>
      </w:r>
      <w:r>
        <w:rPr>
          <w:rFonts w:ascii="仿宋" w:eastAsia="仿宋" w:hAnsi="仿宋" w:cs="宋体" w:hint="eastAsia"/>
          <w:sz w:val="32"/>
          <w:szCs w:val="32"/>
        </w:rPr>
        <w:t>大；技术类案件比例高，这些特点往往需要占用审判团队大量时间和精力。在此背景下，知产法院试点推行了“卷宗全过程整理”审判辅助外包项目，很大程度上缓解了审判团队的工作压力，把法官助理、书记员从纷</w:t>
      </w:r>
      <w:r>
        <w:rPr>
          <w:rFonts w:ascii="仿宋" w:eastAsia="仿宋" w:hAnsi="仿宋" w:cs="宋体" w:hint="eastAsia"/>
          <w:sz w:val="32"/>
          <w:szCs w:val="32"/>
        </w:rPr>
        <w:lastRenderedPageBreak/>
        <w:t>繁复杂的程序和事务性工作中解脱出来，充分体现法律专业人才的专业优势，确保审判核心职能作用的最大限度发挥。</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cs="宋体" w:hint="eastAsia"/>
          <w:sz w:val="32"/>
          <w:szCs w:val="32"/>
        </w:rPr>
        <w:t>评价分析认为</w:t>
      </w:r>
      <w:r>
        <w:rPr>
          <w:rFonts w:ascii="仿宋" w:eastAsia="仿宋" w:hAnsi="仿宋" w:hint="eastAsia"/>
          <w:sz w:val="32"/>
          <w:szCs w:val="32"/>
        </w:rPr>
        <w:t>，该项目绩效总体完成较好，缓解了审判人员的工作压力，但在绩效资料的呈现上，有待进一步加强。并通过对该项目绩效资料的整理，更好的反应该项目完成的情况。</w:t>
      </w:r>
    </w:p>
    <w:p w:rsidR="003635F4" w:rsidRDefault="00CE7B18">
      <w:pPr>
        <w:pStyle w:val="a0"/>
        <w:adjustRightInd w:val="0"/>
        <w:snapToGrid w:val="0"/>
        <w:spacing w:after="0" w:line="360" w:lineRule="auto"/>
        <w:ind w:firstLineChars="200" w:firstLine="640"/>
        <w:rPr>
          <w:rFonts w:ascii="仿宋" w:eastAsia="仿宋" w:hAnsi="仿宋"/>
          <w:sz w:val="32"/>
          <w:szCs w:val="32"/>
        </w:rPr>
      </w:pPr>
      <w:r>
        <w:rPr>
          <w:rFonts w:ascii="仿宋" w:eastAsia="仿宋" w:hAnsi="仿宋" w:hint="eastAsia"/>
          <w:sz w:val="32"/>
          <w:szCs w:val="32"/>
        </w:rPr>
        <w:t>2、项目可持续影响</w:t>
      </w:r>
    </w:p>
    <w:p w:rsidR="003635F4" w:rsidRPr="00CC5172"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该项目为持续性项目，通过项目供应商的专业化特点与人才优势，保障了知产法院目前的收案数量已相当于建院时预估量的4倍，与同期建院的上海和广州知产法院相比，总收案量是上海的近7倍、广州的近2倍的收案数量。并</w:t>
      </w:r>
      <w:r w:rsidRPr="00CC5172">
        <w:rPr>
          <w:rFonts w:ascii="仿宋" w:eastAsia="仿宋" w:hAnsi="仿宋"/>
          <w:sz w:val="32"/>
          <w:szCs w:val="32"/>
        </w:rPr>
        <w:t>结合</w:t>
      </w:r>
      <w:r w:rsidRPr="00CC5172">
        <w:rPr>
          <w:rFonts w:ascii="仿宋" w:eastAsia="仿宋" w:hAnsi="仿宋" w:hint="eastAsia"/>
          <w:sz w:val="32"/>
          <w:szCs w:val="32"/>
        </w:rPr>
        <w:t>司法</w:t>
      </w:r>
      <w:r w:rsidRPr="00CC5172">
        <w:rPr>
          <w:rFonts w:ascii="仿宋" w:eastAsia="仿宋" w:hAnsi="仿宋"/>
          <w:sz w:val="32"/>
          <w:szCs w:val="32"/>
        </w:rPr>
        <w:t>公开、司法为民、司法共享的终极目标，有效的推动档案信息化建设</w:t>
      </w:r>
      <w:r w:rsidRPr="00CC5172">
        <w:rPr>
          <w:rFonts w:ascii="仿宋" w:eastAsia="仿宋" w:hAnsi="仿宋" w:hint="eastAsia"/>
          <w:sz w:val="32"/>
          <w:szCs w:val="32"/>
        </w:rPr>
        <w:t>。从而使得项目实施对社会产生良好的持续性影响。</w:t>
      </w:r>
    </w:p>
    <w:p w:rsidR="003635F4" w:rsidRDefault="00CE7B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评价分析认为，该项目作为延续项目，长期保障了知识产权法院的档案全过程整理工作，保障各项工作正常开展，同时为人民法院诉讼审判业务减轻负担，提高审判质效，产生了一定的可持续影响。</w:t>
      </w:r>
    </w:p>
    <w:p w:rsidR="003635F4" w:rsidRDefault="00CE7B18">
      <w:pPr>
        <w:adjustRightInd w:val="0"/>
        <w:snapToGrid w:val="0"/>
        <w:spacing w:line="360" w:lineRule="auto"/>
        <w:ind w:firstLineChars="200" w:firstLine="640"/>
        <w:rPr>
          <w:rFonts w:ascii="仿宋" w:eastAsia="仿宋" w:hAnsi="仿宋"/>
          <w:sz w:val="32"/>
        </w:rPr>
      </w:pPr>
      <w:r>
        <w:rPr>
          <w:rFonts w:ascii="仿宋" w:eastAsia="仿宋" w:hAnsi="仿宋" w:hint="eastAsia"/>
          <w:sz w:val="32"/>
        </w:rPr>
        <w:t>2、服务对象满意度</w:t>
      </w:r>
    </w:p>
    <w:p w:rsidR="003635F4" w:rsidRDefault="00CE7B18">
      <w:pPr>
        <w:adjustRightInd w:val="0"/>
        <w:snapToGrid w:val="0"/>
        <w:spacing w:line="360" w:lineRule="auto"/>
        <w:ind w:firstLineChars="200" w:firstLine="640"/>
        <w:rPr>
          <w:rFonts w:ascii="仿宋" w:eastAsia="仿宋" w:hAnsi="仿宋" w:cs="宋体"/>
          <w:sz w:val="32"/>
          <w:szCs w:val="32"/>
        </w:rPr>
      </w:pPr>
      <w:r>
        <w:rPr>
          <w:rFonts w:ascii="仿宋" w:eastAsia="仿宋" w:hAnsi="仿宋" w:cs="宋体" w:hint="eastAsia"/>
          <w:sz w:val="32"/>
          <w:szCs w:val="32"/>
        </w:rPr>
        <w:t>通过该项目的实施，对知产法院开展卷宗归档接收、归档检查、档案条码标识、系统登记归档状态、页码标识清点、卷宗封面目录制作、</w:t>
      </w:r>
      <w:r>
        <w:rPr>
          <w:rFonts w:ascii="仿宋" w:eastAsia="仿宋" w:hAnsi="仿宋" w:hint="eastAsia"/>
          <w:sz w:val="32"/>
          <w:szCs w:val="32"/>
        </w:rPr>
        <w:t>扫描</w:t>
      </w:r>
      <w:r>
        <w:rPr>
          <w:rFonts w:ascii="仿宋" w:eastAsia="仿宋" w:hAnsi="仿宋" w:cs="宋体" w:hint="eastAsia"/>
          <w:sz w:val="32"/>
          <w:szCs w:val="32"/>
        </w:rPr>
        <w:t>装订、档案上架、成品数据挂接、</w:t>
      </w:r>
      <w:r>
        <w:rPr>
          <w:rFonts w:ascii="仿宋" w:eastAsia="仿宋" w:hAnsi="仿宋" w:cs="宋体" w:hint="eastAsia"/>
          <w:sz w:val="32"/>
          <w:szCs w:val="32"/>
        </w:rPr>
        <w:lastRenderedPageBreak/>
        <w:t>辅助上诉案件移送、卷宗档案入库等工作。达到了卷宗扫描图像清晰、数据完整、符合阅读还原要求，卷宗索引与图像挂接正确率100%，卷宗整理装订按照知产法院要求完成，用户满意度达到98%以上。</w:t>
      </w:r>
    </w:p>
    <w:p w:rsidR="003635F4" w:rsidRDefault="00CE7B18">
      <w:pPr>
        <w:adjustRightInd w:val="0"/>
        <w:snapToGrid w:val="0"/>
        <w:spacing w:line="360" w:lineRule="auto"/>
        <w:ind w:firstLineChars="200" w:firstLine="640"/>
        <w:outlineLvl w:val="0"/>
        <w:rPr>
          <w:rFonts w:ascii="仿宋" w:eastAsia="仿宋" w:hAnsi="仿宋"/>
          <w:sz w:val="32"/>
          <w:szCs w:val="32"/>
        </w:rPr>
      </w:pPr>
      <w:r>
        <w:rPr>
          <w:rFonts w:ascii="仿宋" w:eastAsia="仿宋" w:hAnsi="仿宋" w:cs="宋体" w:hint="eastAsia"/>
          <w:sz w:val="32"/>
          <w:szCs w:val="32"/>
        </w:rPr>
        <w:t>评价分析认为</w:t>
      </w:r>
      <w:r>
        <w:rPr>
          <w:rFonts w:ascii="仿宋" w:eastAsia="仿宋" w:hAnsi="仿宋" w:hint="eastAsia"/>
          <w:sz w:val="32"/>
          <w:szCs w:val="32"/>
        </w:rPr>
        <w:t>，该项目年初制定了满意度指标，并且按照相关要求进行满意度调查，最终用户满意度不小于90%。但受调查群体数量与层次还不够充分，满意度指标的调查资料样本数不详，应通过对项目服务对象的细分,更好的利用服务对象满意度调查的方式不断提高项目执行质量与效益。</w:t>
      </w:r>
    </w:p>
    <w:p w:rsidR="003635F4" w:rsidRDefault="00CE7B18">
      <w:pPr>
        <w:adjustRightInd w:val="0"/>
        <w:snapToGrid w:val="0"/>
        <w:spacing w:line="360" w:lineRule="auto"/>
        <w:ind w:firstLineChars="200" w:firstLine="643"/>
        <w:outlineLvl w:val="0"/>
        <w:rPr>
          <w:rFonts w:ascii="黑体" w:eastAsia="黑体" w:hAnsi="黑体" w:cs="黑体"/>
          <w:b/>
          <w:bCs/>
          <w:sz w:val="32"/>
          <w:szCs w:val="32"/>
        </w:rPr>
      </w:pPr>
      <w:bookmarkStart w:id="25" w:name="_Toc28471"/>
      <w:bookmarkStart w:id="26" w:name="_Toc21216"/>
      <w:r>
        <w:rPr>
          <w:rFonts w:ascii="黑体" w:eastAsia="黑体" w:hAnsi="黑体" w:cs="黑体" w:hint="eastAsia"/>
          <w:b/>
          <w:bCs/>
          <w:sz w:val="32"/>
          <w:szCs w:val="32"/>
        </w:rPr>
        <w:t>五、主要经验及做法、存在的问题及原因分析</w:t>
      </w:r>
      <w:bookmarkEnd w:id="25"/>
      <w:bookmarkEnd w:id="26"/>
    </w:p>
    <w:p w:rsidR="003635F4" w:rsidRDefault="00CE7B18">
      <w:pPr>
        <w:adjustRightInd w:val="0"/>
        <w:snapToGrid w:val="0"/>
        <w:spacing w:line="360" w:lineRule="auto"/>
        <w:ind w:firstLineChars="200" w:firstLine="643"/>
        <w:outlineLvl w:val="1"/>
        <w:rPr>
          <w:rFonts w:ascii="仿宋" w:eastAsia="仿宋" w:hAnsi="仿宋" w:cs="仿宋"/>
          <w:b/>
          <w:bCs/>
          <w:sz w:val="32"/>
          <w:szCs w:val="32"/>
        </w:rPr>
      </w:pPr>
      <w:r>
        <w:rPr>
          <w:rFonts w:ascii="仿宋" w:eastAsia="仿宋" w:hAnsi="仿宋" w:cs="仿宋" w:hint="eastAsia"/>
          <w:b/>
          <w:bCs/>
          <w:sz w:val="32"/>
          <w:szCs w:val="32"/>
        </w:rPr>
        <w:t>（一）项目主要经验及做法</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项目的实施，使北京知识产权法院的档案管理的质效取得一定提升。项目实施前，该院卷宗归档率在多次催归的情况下，月均维持在80%左右，存在一定的返检情况，并且卷皮书写不统一、不标准。目前通过专业化团队的运作，该院的归档率提升到95%，通过流程化操作，实现了案卷整理的规范有序，通过RFID射频技术的应用，实现了卷宗的全流程监控。</w:t>
      </w:r>
    </w:p>
    <w:p w:rsidR="003635F4" w:rsidRDefault="00CE7B18">
      <w:pPr>
        <w:numPr>
          <w:ilvl w:val="0"/>
          <w:numId w:val="2"/>
        </w:numPr>
        <w:adjustRightInd w:val="0"/>
        <w:snapToGrid w:val="0"/>
        <w:spacing w:line="360" w:lineRule="auto"/>
        <w:ind w:firstLineChars="200" w:firstLine="643"/>
        <w:outlineLvl w:val="1"/>
        <w:rPr>
          <w:rFonts w:ascii="仿宋" w:eastAsia="仿宋" w:hAnsi="仿宋" w:cs="仿宋"/>
          <w:b/>
          <w:bCs/>
          <w:sz w:val="32"/>
          <w:szCs w:val="32"/>
        </w:rPr>
      </w:pPr>
      <w:r>
        <w:rPr>
          <w:rFonts w:ascii="仿宋" w:eastAsia="仿宋" w:hAnsi="仿宋" w:cs="仿宋" w:hint="eastAsia"/>
          <w:b/>
          <w:bCs/>
          <w:sz w:val="32"/>
          <w:szCs w:val="32"/>
        </w:rPr>
        <w:t>存在的问题及原因分析</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1、项目决策方面</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（1）项目立项依据较为充分,立项程序整体较为规范, 但事前专家论证、风险评估、绩效评估等决策过程资料还有</w:t>
      </w:r>
      <w:r>
        <w:rPr>
          <w:rFonts w:ascii="仿宋" w:eastAsia="仿宋" w:hAnsi="仿宋" w:cs="宋体" w:hint="eastAsia"/>
          <w:sz w:val="32"/>
          <w:szCs w:val="32"/>
        </w:rPr>
        <w:lastRenderedPageBreak/>
        <w:t>待完善，且年度计划不够全面和具体。</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（2）项目绩效指标的设置不够清晰,项目实施后的预期绩效成果体现有待提升，有些指标缺少量化或量化指标偏低,不便于后期考核与监督。</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2、项目过程方面</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（1）项目资金管理整体较为规范,但预算测算依据和标准等支撑材料有待进一步整理、完善。</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（2）项目实施方案的内容相对简单,甲乙双方的组织管理与职责、工作计划不够清晰明确,尤其是对项目实施单位工作的考核监督机制以及风险控制和应急预案等有待进一步完善。</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（3）未完全按照合同约定支付费用，第一、二季度支出均有滞后。</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3、项目产出方面</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（1）项目预期目标完成较好,但部分指标细化、量化程度有待进一步提高，特别是质量指标和效益指标，在设定时，尽量量化，以便年末进行考核。</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（2）预算执行过程中的成本管控手段与成本管控措施不够明确，需进一步提高成本控制手段，完善成本控制制定，严格执行成本控制措施，达到财政资金利益最大化。</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4、项目效益方面</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（1）项目绩效总体完成较好，但在绩效资料的呈现上，</w:t>
      </w:r>
      <w:r>
        <w:rPr>
          <w:rFonts w:ascii="仿宋" w:eastAsia="仿宋" w:hAnsi="仿宋" w:cs="宋体" w:hint="eastAsia"/>
          <w:sz w:val="32"/>
          <w:szCs w:val="32"/>
        </w:rPr>
        <w:lastRenderedPageBreak/>
        <w:t>有待进一步加强。需通过对该项目绩效资料的整理，更好的反应该项目完成的情况。</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（2）项目开展了满意度调查,但受调查群体数量与层次还不够充分，满意度指标的调查资料呈现有待进一步加强，满意度分析报告的深度有待进一步加深。</w:t>
      </w:r>
    </w:p>
    <w:p w:rsidR="003635F4" w:rsidRDefault="00CE7B18">
      <w:pPr>
        <w:numPr>
          <w:ilvl w:val="0"/>
          <w:numId w:val="3"/>
        </w:numPr>
        <w:adjustRightInd w:val="0"/>
        <w:snapToGrid w:val="0"/>
        <w:spacing w:line="360" w:lineRule="auto"/>
        <w:ind w:firstLineChars="200" w:firstLine="643"/>
        <w:outlineLvl w:val="0"/>
        <w:rPr>
          <w:rFonts w:ascii="黑体" w:eastAsia="黑体" w:hAnsi="黑体" w:cs="黑体"/>
          <w:b/>
          <w:bCs/>
          <w:sz w:val="32"/>
          <w:szCs w:val="32"/>
        </w:rPr>
      </w:pPr>
      <w:bookmarkStart w:id="27" w:name="_Toc31808"/>
      <w:bookmarkStart w:id="28" w:name="_Toc6096"/>
      <w:r>
        <w:rPr>
          <w:rFonts w:ascii="黑体" w:eastAsia="黑体" w:hAnsi="黑体" w:cs="黑体" w:hint="eastAsia"/>
          <w:b/>
          <w:bCs/>
          <w:sz w:val="32"/>
          <w:szCs w:val="32"/>
        </w:rPr>
        <w:t>有关建议</w:t>
      </w:r>
      <w:bookmarkEnd w:id="27"/>
      <w:bookmarkEnd w:id="28"/>
    </w:p>
    <w:p w:rsidR="003635F4" w:rsidRDefault="00CE7B18">
      <w:pPr>
        <w:pStyle w:val="a0"/>
        <w:adjustRightInd w:val="0"/>
        <w:snapToGrid w:val="0"/>
        <w:spacing w:after="0" w:line="360" w:lineRule="auto"/>
        <w:ind w:firstLineChars="100" w:firstLine="321"/>
        <w:outlineLvl w:val="1"/>
        <w:rPr>
          <w:rFonts w:ascii="仿宋" w:eastAsia="仿宋" w:hAnsi="仿宋" w:cs="仿宋"/>
          <w:b/>
          <w:bCs/>
          <w:sz w:val="32"/>
          <w:szCs w:val="32"/>
        </w:rPr>
      </w:pPr>
      <w:r>
        <w:rPr>
          <w:rFonts w:ascii="仿宋" w:eastAsia="仿宋" w:hAnsi="仿宋" w:cs="仿宋" w:hint="eastAsia"/>
          <w:b/>
          <w:bCs/>
          <w:sz w:val="32"/>
          <w:szCs w:val="32"/>
        </w:rPr>
        <w:t>（一）项目决策方面</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1、进一步加强项目决策过程资料的收集，制定项目中长期发展规划，在立项前开展可行性研究及项目经费评审，以明确项目立项的必要性及预算合理性。</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2、项目绩效目标的设置应充分考虑项目特点，加强需求分析，根据实际需要制定科学合理的预期绩效目标和明确可行的各项产出指标，尽可能细化和量化，便于后期进行绩效考核与监督。</w:t>
      </w:r>
    </w:p>
    <w:p w:rsidR="003635F4" w:rsidRDefault="00CE7B18">
      <w:pPr>
        <w:pStyle w:val="a0"/>
        <w:adjustRightInd w:val="0"/>
        <w:snapToGrid w:val="0"/>
        <w:spacing w:after="0" w:line="360" w:lineRule="auto"/>
        <w:ind w:firstLineChars="100" w:firstLine="321"/>
        <w:outlineLvl w:val="1"/>
        <w:rPr>
          <w:rFonts w:ascii="仿宋" w:eastAsia="仿宋" w:hAnsi="仿宋" w:cs="仿宋"/>
          <w:b/>
          <w:bCs/>
          <w:sz w:val="32"/>
          <w:szCs w:val="32"/>
        </w:rPr>
      </w:pPr>
      <w:r>
        <w:rPr>
          <w:rFonts w:ascii="仿宋" w:eastAsia="仿宋" w:hAnsi="仿宋" w:cs="仿宋" w:hint="eastAsia"/>
          <w:b/>
          <w:bCs/>
          <w:sz w:val="32"/>
          <w:szCs w:val="32"/>
        </w:rPr>
        <w:t>（二）项目过程方面</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1、项目在预算编制过程中,应注意保留相关测算依据,以便说明预算编制的合理性。</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2、由于该项目是常规性项目,项目实施方案对指导项目执行有十分重要的作用，建议对照问题进一步完善项目实施方案的内容，切实落实人员职责；细化监管制度，严格履行合同条款，确保项目规范化执行。</w:t>
      </w:r>
    </w:p>
    <w:p w:rsidR="003635F4" w:rsidRDefault="00CE7B18">
      <w:pPr>
        <w:pStyle w:val="a0"/>
        <w:adjustRightInd w:val="0"/>
        <w:snapToGrid w:val="0"/>
        <w:spacing w:after="0" w:line="360" w:lineRule="auto"/>
        <w:ind w:firstLineChars="100" w:firstLine="321"/>
        <w:outlineLvl w:val="1"/>
        <w:rPr>
          <w:rFonts w:ascii="仿宋" w:eastAsia="仿宋" w:hAnsi="仿宋" w:cs="仿宋"/>
          <w:b/>
          <w:bCs/>
          <w:sz w:val="32"/>
          <w:szCs w:val="32"/>
        </w:rPr>
      </w:pPr>
      <w:r>
        <w:rPr>
          <w:rFonts w:ascii="仿宋" w:eastAsia="仿宋" w:hAnsi="仿宋" w:cs="仿宋" w:hint="eastAsia"/>
          <w:b/>
          <w:bCs/>
          <w:sz w:val="32"/>
          <w:szCs w:val="32"/>
        </w:rPr>
        <w:t>（三）项目产出方面</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lastRenderedPageBreak/>
        <w:t>1、应加强对项目产出过程的管理,进一步明确质量考核标准,注重收集质量产出相关数据。</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2、基于该项目是常规性项目，建议在项目预算编制、项目执行中进一步增强成本管控意识,采取一定的成本管控措施，更好地降低项目运行成本。</w:t>
      </w:r>
    </w:p>
    <w:p w:rsidR="003635F4" w:rsidRDefault="00CE7B18">
      <w:pPr>
        <w:pStyle w:val="a0"/>
        <w:adjustRightInd w:val="0"/>
        <w:snapToGrid w:val="0"/>
        <w:spacing w:after="0" w:line="360" w:lineRule="auto"/>
        <w:ind w:firstLineChars="100" w:firstLine="321"/>
        <w:outlineLvl w:val="1"/>
        <w:rPr>
          <w:rFonts w:ascii="仿宋" w:eastAsia="仿宋" w:hAnsi="仿宋" w:cs="仿宋"/>
          <w:b/>
          <w:bCs/>
          <w:sz w:val="32"/>
          <w:szCs w:val="32"/>
        </w:rPr>
      </w:pPr>
      <w:r>
        <w:rPr>
          <w:rFonts w:ascii="仿宋" w:eastAsia="仿宋" w:hAnsi="仿宋" w:cs="仿宋" w:hint="eastAsia"/>
          <w:b/>
          <w:bCs/>
          <w:sz w:val="32"/>
          <w:szCs w:val="32"/>
        </w:rPr>
        <w:t>（四）项目效益方面</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1、应关注项目绩效证明材料的收集,为项目绩效完成情况提供有效、全面的支持材料。</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2、通过对项目服务对象的细分,更好的利用服务对象满意度调查的方式不断提高项目执行质量与效益。</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3、采取数据比对方式，与以往年度项目绩效资料相比，从经济、社会、可持续作用等方面，对成果产生的效益进行量化的、具体的分析。</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4、强化公共财政支出绩效管理理念，注重项目绩效管理过程和绩效成果的资料收集，全面展示公共财政资金投入的可持续性成果。</w:t>
      </w:r>
    </w:p>
    <w:p w:rsidR="003635F4" w:rsidRDefault="00CE7B18">
      <w:pPr>
        <w:numPr>
          <w:ilvl w:val="0"/>
          <w:numId w:val="3"/>
        </w:numPr>
        <w:adjustRightInd w:val="0"/>
        <w:snapToGrid w:val="0"/>
        <w:spacing w:line="360" w:lineRule="auto"/>
        <w:ind w:firstLineChars="200" w:firstLine="643"/>
        <w:outlineLvl w:val="0"/>
        <w:rPr>
          <w:rFonts w:ascii="黑体" w:eastAsia="黑体" w:hAnsi="黑体" w:cs="黑体"/>
          <w:b/>
          <w:bCs/>
          <w:sz w:val="32"/>
          <w:szCs w:val="32"/>
        </w:rPr>
      </w:pPr>
      <w:bookmarkStart w:id="29" w:name="_Toc6023"/>
      <w:r>
        <w:rPr>
          <w:rFonts w:ascii="黑体" w:eastAsia="黑体" w:hAnsi="黑体" w:cs="黑体" w:hint="eastAsia"/>
          <w:b/>
          <w:bCs/>
          <w:sz w:val="32"/>
          <w:szCs w:val="32"/>
        </w:rPr>
        <w:t>其他需要说明的问题</w:t>
      </w:r>
      <w:bookmarkEnd w:id="29"/>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1、细化运维体系，明确岗位职责。以实际问题着手继续完善各管理体系及实施细则，建立体系化规范标准，深入推进对人员、作业、资源的精细管理，全面提升卷宗全过程整理运维保障能力，形成可复制、可推广的标杆体系，全面保障知产法院各项工作。2、完善制度建设，强化内部管理。继</w:t>
      </w:r>
      <w:r>
        <w:rPr>
          <w:rFonts w:ascii="仿宋" w:eastAsia="仿宋" w:hAnsi="仿宋" w:cs="宋体" w:hint="eastAsia"/>
          <w:sz w:val="32"/>
          <w:szCs w:val="32"/>
        </w:rPr>
        <w:lastRenderedPageBreak/>
        <w:t>续完善各项制度规范，完善作业制度流程建设，形成流程化、规范化的工作机制，保证各项作业有章可循、规范有序。明晰各岗位职责，实现有岗有责，有岗负责，有奖有惩，力求用制度增加人员的主观能动性，用制度促进工作有序平稳开展。</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3、提升保持卷宗全过程整理运维目标责任制分值。继续视为2022年度重点工作，加大监督检查制度，定期排名预警公示；以需求、问题为导向，制定考核培训方案，提高干警使用率；积极向高院反馈意见。</w:t>
      </w:r>
    </w:p>
    <w:p w:rsidR="003635F4" w:rsidRDefault="00CE7B18">
      <w:pPr>
        <w:pStyle w:val="a0"/>
        <w:adjustRightInd w:val="0"/>
        <w:snapToGrid w:val="0"/>
        <w:spacing w:after="0" w:line="360" w:lineRule="auto"/>
        <w:ind w:firstLineChars="200" w:firstLine="640"/>
        <w:rPr>
          <w:rFonts w:ascii="仿宋" w:eastAsia="仿宋" w:hAnsi="仿宋" w:cs="宋体"/>
          <w:sz w:val="32"/>
          <w:szCs w:val="32"/>
        </w:rPr>
      </w:pPr>
      <w:r>
        <w:rPr>
          <w:rFonts w:ascii="仿宋" w:eastAsia="仿宋" w:hAnsi="仿宋" w:cs="宋体" w:hint="eastAsia"/>
          <w:sz w:val="32"/>
          <w:szCs w:val="32"/>
        </w:rPr>
        <w:t>4、开展全方位多层次的满意度调查。根据项目特点，增加受调查群体数量与层次，深化满意度调查报告，利用对不同类别服务对象满意度调查的方式不断提高项目执行质量与效益。</w:t>
      </w:r>
    </w:p>
    <w:p w:rsidR="003635F4" w:rsidRDefault="003635F4" w:rsidP="005E1C25">
      <w:pPr>
        <w:adjustRightInd w:val="0"/>
        <w:snapToGrid w:val="0"/>
        <w:spacing w:line="360" w:lineRule="auto"/>
        <w:ind w:firstLineChars="200" w:firstLine="420"/>
        <w:rPr>
          <w:highlight w:val="green"/>
        </w:rPr>
      </w:pPr>
      <w:bookmarkStart w:id="30" w:name="_GoBack"/>
      <w:bookmarkEnd w:id="30"/>
    </w:p>
    <w:sectPr w:rsidR="003635F4">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CD1" w:rsidRDefault="00142CD1">
      <w:r>
        <w:separator/>
      </w:r>
    </w:p>
  </w:endnote>
  <w:endnote w:type="continuationSeparator" w:id="0">
    <w:p w:rsidR="00142CD1" w:rsidRDefault="00142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4" w:rsidRDefault="00CE7B18">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635F4" w:rsidRDefault="00CE7B18">
                          <w:pPr>
                            <w:pStyle w:val="a6"/>
                          </w:pPr>
                          <w:r>
                            <w:fldChar w:fldCharType="begin"/>
                          </w:r>
                          <w:r>
                            <w:instrText xml:space="preserve"> PAGE  \* MERGEFORMAT </w:instrText>
                          </w:r>
                          <w:r>
                            <w:fldChar w:fldCharType="separate"/>
                          </w:r>
                          <w:r w:rsidR="00D27AB1">
                            <w:rPr>
                              <w:noProof/>
                            </w:rP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635F4" w:rsidRDefault="00CE7B18">
                    <w:pPr>
                      <w:pStyle w:val="a6"/>
                    </w:pPr>
                    <w:r>
                      <w:fldChar w:fldCharType="begin"/>
                    </w:r>
                    <w:r>
                      <w:instrText xml:space="preserve"> PAGE  \* MERGEFORMAT </w:instrText>
                    </w:r>
                    <w:r>
                      <w:fldChar w:fldCharType="separate"/>
                    </w:r>
                    <w:r w:rsidR="00D27AB1">
                      <w:rPr>
                        <w:noProof/>
                      </w:rPr>
                      <w:t>23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CD1" w:rsidRDefault="00142CD1">
      <w:r>
        <w:separator/>
      </w:r>
    </w:p>
  </w:footnote>
  <w:footnote w:type="continuationSeparator" w:id="0">
    <w:p w:rsidR="00142CD1" w:rsidRDefault="00142C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800CE4A"/>
    <w:multiLevelType w:val="singleLevel"/>
    <w:tmpl w:val="9800CE4A"/>
    <w:lvl w:ilvl="0">
      <w:start w:val="3"/>
      <w:numFmt w:val="chineseCounting"/>
      <w:suff w:val="nothing"/>
      <w:lvlText w:val="%1、"/>
      <w:lvlJc w:val="left"/>
      <w:rPr>
        <w:rFonts w:hint="eastAsia"/>
      </w:rPr>
    </w:lvl>
  </w:abstractNum>
  <w:abstractNum w:abstractNumId="1">
    <w:nsid w:val="4D1540C8"/>
    <w:multiLevelType w:val="singleLevel"/>
    <w:tmpl w:val="4D1540C8"/>
    <w:lvl w:ilvl="0">
      <w:start w:val="2"/>
      <w:numFmt w:val="chineseCounting"/>
      <w:suff w:val="nothing"/>
      <w:lvlText w:val="（%1）"/>
      <w:lvlJc w:val="left"/>
      <w:rPr>
        <w:rFonts w:hint="eastAsia"/>
      </w:rPr>
    </w:lvl>
  </w:abstractNum>
  <w:abstractNum w:abstractNumId="2">
    <w:nsid w:val="69812E2E"/>
    <w:multiLevelType w:val="singleLevel"/>
    <w:tmpl w:val="69812E2E"/>
    <w:lvl w:ilvl="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k0NTUxMzVkZTMzMjY0ODcwMDA3NDljNzcxMGMyMjIifQ=="/>
  </w:docVars>
  <w:rsids>
    <w:rsidRoot w:val="006437FC"/>
    <w:rsid w:val="00041DCA"/>
    <w:rsid w:val="00060590"/>
    <w:rsid w:val="000E1319"/>
    <w:rsid w:val="000E1F5B"/>
    <w:rsid w:val="00133912"/>
    <w:rsid w:val="00142CD1"/>
    <w:rsid w:val="00152B84"/>
    <w:rsid w:val="00163CD1"/>
    <w:rsid w:val="001837BE"/>
    <w:rsid w:val="001C6ECE"/>
    <w:rsid w:val="001F5F89"/>
    <w:rsid w:val="00237A50"/>
    <w:rsid w:val="00254C42"/>
    <w:rsid w:val="002571AB"/>
    <w:rsid w:val="00285A0E"/>
    <w:rsid w:val="002C3399"/>
    <w:rsid w:val="002D47C1"/>
    <w:rsid w:val="002D762B"/>
    <w:rsid w:val="002F67C9"/>
    <w:rsid w:val="00303BD6"/>
    <w:rsid w:val="00313281"/>
    <w:rsid w:val="0036144D"/>
    <w:rsid w:val="003635F4"/>
    <w:rsid w:val="00364A95"/>
    <w:rsid w:val="00381774"/>
    <w:rsid w:val="003C02DA"/>
    <w:rsid w:val="003D2F9F"/>
    <w:rsid w:val="003D7EE0"/>
    <w:rsid w:val="004219E5"/>
    <w:rsid w:val="004B0714"/>
    <w:rsid w:val="004F6212"/>
    <w:rsid w:val="005043F0"/>
    <w:rsid w:val="005057BF"/>
    <w:rsid w:val="00534A2B"/>
    <w:rsid w:val="005C7E4C"/>
    <w:rsid w:val="005E1C25"/>
    <w:rsid w:val="006017E2"/>
    <w:rsid w:val="00620EAB"/>
    <w:rsid w:val="00632440"/>
    <w:rsid w:val="006437FC"/>
    <w:rsid w:val="00697956"/>
    <w:rsid w:val="006C4FFD"/>
    <w:rsid w:val="006C6083"/>
    <w:rsid w:val="00700BAE"/>
    <w:rsid w:val="00715D4C"/>
    <w:rsid w:val="00732666"/>
    <w:rsid w:val="007C2644"/>
    <w:rsid w:val="007C288B"/>
    <w:rsid w:val="00835EBE"/>
    <w:rsid w:val="008546F0"/>
    <w:rsid w:val="00864D2B"/>
    <w:rsid w:val="008A34F3"/>
    <w:rsid w:val="008C6273"/>
    <w:rsid w:val="008D6CB6"/>
    <w:rsid w:val="008F0312"/>
    <w:rsid w:val="008F4782"/>
    <w:rsid w:val="008F68E0"/>
    <w:rsid w:val="00913297"/>
    <w:rsid w:val="009307F5"/>
    <w:rsid w:val="00934BFA"/>
    <w:rsid w:val="00943EA4"/>
    <w:rsid w:val="00961DF6"/>
    <w:rsid w:val="00986FBB"/>
    <w:rsid w:val="009B1906"/>
    <w:rsid w:val="009B52F8"/>
    <w:rsid w:val="009C5BE3"/>
    <w:rsid w:val="009C6649"/>
    <w:rsid w:val="009E7E53"/>
    <w:rsid w:val="00A3197E"/>
    <w:rsid w:val="00A6537D"/>
    <w:rsid w:val="00A956A0"/>
    <w:rsid w:val="00AB7671"/>
    <w:rsid w:val="00AC651A"/>
    <w:rsid w:val="00B4409E"/>
    <w:rsid w:val="00B45D31"/>
    <w:rsid w:val="00B623E9"/>
    <w:rsid w:val="00B937AF"/>
    <w:rsid w:val="00C45AC0"/>
    <w:rsid w:val="00C60164"/>
    <w:rsid w:val="00C773B0"/>
    <w:rsid w:val="00CC28F5"/>
    <w:rsid w:val="00CC396A"/>
    <w:rsid w:val="00CC5172"/>
    <w:rsid w:val="00CC7BF7"/>
    <w:rsid w:val="00CE7B18"/>
    <w:rsid w:val="00D1421F"/>
    <w:rsid w:val="00D27AB1"/>
    <w:rsid w:val="00D70EE7"/>
    <w:rsid w:val="00D76BF3"/>
    <w:rsid w:val="00DB4AB0"/>
    <w:rsid w:val="00DE1F30"/>
    <w:rsid w:val="00DF5B74"/>
    <w:rsid w:val="00E16306"/>
    <w:rsid w:val="00E24E0B"/>
    <w:rsid w:val="00E7361F"/>
    <w:rsid w:val="00ED0745"/>
    <w:rsid w:val="00ED71A1"/>
    <w:rsid w:val="00F41FCD"/>
    <w:rsid w:val="00F44444"/>
    <w:rsid w:val="00FC422F"/>
    <w:rsid w:val="1102722C"/>
    <w:rsid w:val="149502BE"/>
    <w:rsid w:val="1ABB2036"/>
    <w:rsid w:val="1CDC71C5"/>
    <w:rsid w:val="20711BEC"/>
    <w:rsid w:val="209D2ACD"/>
    <w:rsid w:val="2A710F34"/>
    <w:rsid w:val="2FC556C4"/>
    <w:rsid w:val="3F0A0B4D"/>
    <w:rsid w:val="3FF81676"/>
    <w:rsid w:val="685E3EBD"/>
    <w:rsid w:val="748A603A"/>
    <w:rsid w:val="7DBE2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C56C02-6E19-401E-BAF3-E676733DB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9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spacing w:after="120"/>
    </w:pPr>
  </w:style>
  <w:style w:type="paragraph" w:styleId="a4">
    <w:name w:val="annotation text"/>
    <w:basedOn w:val="a"/>
    <w:link w:val="Char"/>
    <w:qFormat/>
    <w:pPr>
      <w:jc w:val="left"/>
    </w:pPr>
  </w:style>
  <w:style w:type="paragraph" w:styleId="a5">
    <w:name w:val="Balloon Text"/>
    <w:basedOn w:val="a"/>
    <w:link w:val="Char0"/>
    <w:rPr>
      <w:sz w:val="18"/>
      <w:szCs w:val="18"/>
    </w:rPr>
  </w:style>
  <w:style w:type="paragraph" w:styleId="a6">
    <w:name w:val="footer"/>
    <w:basedOn w:val="a"/>
    <w:uiPriority w:val="99"/>
    <w:qFormat/>
    <w:pPr>
      <w:tabs>
        <w:tab w:val="center" w:pos="4153"/>
        <w:tab w:val="right" w:pos="8306"/>
      </w:tabs>
      <w:snapToGrid w:val="0"/>
      <w:jc w:val="left"/>
    </w:pPr>
    <w:rPr>
      <w:sz w:val="18"/>
      <w:szCs w:val="20"/>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2">
    <w:name w:val="toc 2"/>
    <w:basedOn w:val="a"/>
    <w:next w:val="a"/>
    <w:uiPriority w:val="39"/>
    <w:qFormat/>
    <w:pPr>
      <w:ind w:leftChars="200" w:left="420"/>
    </w:pPr>
  </w:style>
  <w:style w:type="paragraph" w:styleId="a8">
    <w:name w:val="Normal (Web)"/>
    <w:basedOn w:val="a"/>
    <w:qFormat/>
    <w:pPr>
      <w:spacing w:beforeAutospacing="1" w:afterAutospacing="1"/>
      <w:jc w:val="left"/>
    </w:pPr>
    <w:rPr>
      <w:kern w:val="0"/>
      <w:sz w:val="24"/>
    </w:rPr>
  </w:style>
  <w:style w:type="paragraph" w:styleId="a9">
    <w:name w:val="annotation subject"/>
    <w:basedOn w:val="a4"/>
    <w:next w:val="a4"/>
    <w:link w:val="Char1"/>
    <w:qFormat/>
    <w:rPr>
      <w:b/>
      <w:bCs/>
    </w:rPr>
  </w:style>
  <w:style w:type="character" w:styleId="aa">
    <w:name w:val="Hyperlink"/>
    <w:basedOn w:val="a1"/>
    <w:uiPriority w:val="99"/>
    <w:unhideWhenUsed/>
    <w:qFormat/>
    <w:rPr>
      <w:color w:val="0563C1" w:themeColor="hyperlink"/>
      <w:u w:val="single"/>
    </w:rPr>
  </w:style>
  <w:style w:type="character" w:styleId="ab">
    <w:name w:val="annotation reference"/>
    <w:basedOn w:val="a1"/>
    <w:qFormat/>
    <w:rPr>
      <w:sz w:val="21"/>
      <w:szCs w:val="21"/>
    </w:rPr>
  </w:style>
  <w:style w:type="character" w:customStyle="1" w:styleId="Char">
    <w:name w:val="批注文字 Char"/>
    <w:basedOn w:val="a1"/>
    <w:link w:val="a4"/>
    <w:rPr>
      <w:kern w:val="2"/>
      <w:sz w:val="21"/>
      <w:szCs w:val="24"/>
    </w:rPr>
  </w:style>
  <w:style w:type="character" w:customStyle="1" w:styleId="Char1">
    <w:name w:val="批注主题 Char"/>
    <w:basedOn w:val="Char"/>
    <w:link w:val="a9"/>
    <w:qFormat/>
    <w:rPr>
      <w:b/>
      <w:bCs/>
      <w:kern w:val="2"/>
      <w:sz w:val="21"/>
      <w:szCs w:val="24"/>
    </w:rPr>
  </w:style>
  <w:style w:type="character" w:customStyle="1" w:styleId="Char0">
    <w:name w:val="批注框文本 Char"/>
    <w:basedOn w:val="a1"/>
    <w:link w:val="a5"/>
    <w:qFormat/>
    <w:rPr>
      <w:kern w:val="2"/>
      <w:sz w:val="18"/>
      <w:szCs w:val="18"/>
    </w:rPr>
  </w:style>
  <w:style w:type="paragraph" w:customStyle="1" w:styleId="11">
    <w:name w:val="修订1"/>
    <w:hidde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83DCCA-49DD-400F-B921-526921D79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1620</Words>
  <Characters>9237</Characters>
  <Application>Microsoft Office Word</Application>
  <DocSecurity>0</DocSecurity>
  <Lines>76</Lines>
  <Paragraphs>21</Paragraphs>
  <ScaleCrop>false</ScaleCrop>
  <Company/>
  <LinksUpToDate>false</LinksUpToDate>
  <CharactersWithSpaces>10836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liangyaya</dc:creator>
  <cp:lastModifiedBy>M4500t-2</cp:lastModifiedBy>
  <cp:revision>3</cp:revision>
  <cp:lastPrinted>2022-05-18T01:48:00Z</cp:lastPrinted>
  <dcterms:created xsi:type="dcterms:W3CDTF">2022-08-24T08:44:00Z</dcterms:created>
  <dcterms:modified xsi:type="dcterms:W3CDTF">2022-08-24T09:49:00Z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B0C45675B5CB4C5CBA4E00C16E422DB8</vt:lpwstr>
  </property>
</Properties>
</file>