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Theme="minorEastAsia" w:hAnsiTheme="minorEastAsia" w:eastAsiaTheme="minorEastAsia"/>
          <w:b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sz w:val="44"/>
          <w:szCs w:val="44"/>
        </w:rPr>
        <w:t>北京市延庆区人民检察院</w:t>
      </w:r>
    </w:p>
    <w:p>
      <w:pPr>
        <w:spacing w:line="560" w:lineRule="exact"/>
        <w:jc w:val="center"/>
        <w:rPr>
          <w:rFonts w:asciiTheme="minorEastAsia" w:hAnsiTheme="minorEastAsia" w:eastAsiaTheme="minorEastAsia"/>
          <w:b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sz w:val="44"/>
          <w:szCs w:val="44"/>
        </w:rPr>
        <w:t>部门整体绩效评价报告</w:t>
      </w:r>
    </w:p>
    <w:p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</w:p>
    <w:p>
      <w:pPr>
        <w:spacing w:line="560" w:lineRule="exact"/>
        <w:ind w:firstLine="643" w:firstLineChars="200"/>
        <w:rPr>
          <w:rFonts w:ascii="黑体" w:hAnsi="黑体" w:eastAsia="黑体" w:cs="宋体"/>
          <w:b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color w:val="000000"/>
          <w:kern w:val="0"/>
          <w:sz w:val="32"/>
          <w:szCs w:val="32"/>
        </w:rPr>
        <w:t>一、部门概况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（一）机构设置及职责工作任务情况</w:t>
      </w:r>
    </w:p>
    <w:p>
      <w:pPr>
        <w:spacing w:line="56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根据中共中央、国务院批准的北京市人民政府机构改革方案和《北京市人民政府关于机构设置的通知》北京市</w:t>
      </w:r>
      <w:bookmarkStart w:id="2" w:name="_GoBack"/>
      <w:bookmarkEnd w:id="2"/>
      <w:r>
        <w:rPr>
          <w:rFonts w:hint="eastAsia" w:ascii="仿宋_GB2312" w:eastAsia="仿宋_GB2312"/>
          <w:sz w:val="28"/>
          <w:szCs w:val="28"/>
        </w:rPr>
        <w:t>延庆区人民检察院下设10个部门。包括：办公室（行政事务管理部）、政治部（机关党委、机关纪委）、第一检察部、第二检察部、第三检察部、第四检察部、第五检察部、第六检察部、第七检察部（法律政策研究室）、检务督察部。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2021年度职责工作任务：一是落实全面从严治党，深入学习贯彻落实上级各项精神，持续深化党支部规范化建设，组织开展党支部书记和党务工作者轮训，强化党员先锋模范作用，利用好重要时间结点，高质高效组织开展主题党日活动，持续打造延检党建品牌。二是精准服务大局，落实服务保障冬奥会、促进延庆高质量绿色发展的各项工作措施，严厉打击影响冬奥会工程、项目顺利进行的各类犯罪；发挥公益诉讼职能，围绕区委“清脏、治乱、增绿、控污”的要求，增强检察建议的刚性作用，针对行政机关职责权限不清或交叉等问题，推动各部门打破壁垒、协同履职，在大力推进美丽乡村建设、实施农村人居环境整治工程中发挥好主力军作用。三是着力推动“四大检察”全面协调充分发展，更新执法理念，调整执法重心，优化资源配置，按照“好的做优、差的做好、新的做实、总体做强”的工作思路，坚持在办案中监督、在监督中办案，完善办案机制，提升法律监督质效，努力让人民群众在每一起司法案件中都感受到公平正义。四是主动融入社会综合治理，落实“接诉即办”，创新新时代“枫桥经验”，深入开展矛盾纠纷排查，筛选重复访等数据，制定工作方案，积极主动妥善化解检察环节信访矛盾纠纷，避免疫情后的信访突增影响社会稳定。对照平安建设要点，督促各部门落实责任，服务区域大局，推动社会治理现代化。五是挖掘内部潜力，着力培养接地气、善做群众工作的检察通才；重视招录和新人培养，做好以老带新工作；从提升刑事案件办案质效、服务保障区域经济发展等重点工作中发现人才、储备人才；改进教育培训形式，丰富培训载体和内容，让受培训人员真正融入培训，学有所获。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（二）部门整体绩效目标设立情况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随着检察信息化和办公自动化进一步发展，检察办公、办案业务对信息技术的依赖不断增大，信息化设备不断投入，组织的硬件设施、软件系统规模不断增加，信息化运维复杂性不断增强，重要性不断提高，信息化运维需求不断增加，完成如下目标：我单位信息化系统已经进入运行阶段，保障系统的正常运行、减少问题出现、问题实时处理、系统优化，将是维护工作的主要工作内容。包括对本院设备统计、整体系统运行环境统计、检察信息系统及数据统计、视频会议系统统计和所有办公室终端设备统计等几个部分。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1.建设信息化系统，更好的满足业务发展需要。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2.保障信息系统安全稳定运行，延长设备使用寿命。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3.促进办公一体化，提高工作效率。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4.提高检察公信力的社会影响力。</w:t>
      </w:r>
    </w:p>
    <w:p>
      <w:pPr>
        <w:spacing w:line="560" w:lineRule="exact"/>
        <w:ind w:firstLine="643" w:firstLineChars="200"/>
        <w:rPr>
          <w:rFonts w:ascii="黑体" w:hAnsi="黑体" w:eastAsia="黑体" w:cs="宋体"/>
          <w:b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color w:val="000000"/>
          <w:kern w:val="0"/>
          <w:sz w:val="32"/>
          <w:szCs w:val="32"/>
        </w:rPr>
        <w:t>二、当年预算执行情况</w:t>
      </w:r>
    </w:p>
    <w:p>
      <w:pPr>
        <w:spacing w:line="580" w:lineRule="exact"/>
        <w:ind w:left="105" w:leftChars="50" w:firstLine="420" w:firstLineChars="1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2021年全年预算数4533.70万元（实际批复数），其中，基本支出预算数4188.38万元，项目支出预算数344.32万元，其他支出预算数1万元。资金总体支出4796.76万元，其中，基本支出4292.96万元，项目支出338.47万元，其他支出165.33万元。预算执行率为105.80%。</w:t>
      </w:r>
    </w:p>
    <w:p>
      <w:pPr>
        <w:spacing w:line="560" w:lineRule="exact"/>
        <w:ind w:left="105" w:leftChars="50" w:firstLine="482" w:firstLineChars="150"/>
        <w:rPr>
          <w:rFonts w:ascii="黑体" w:hAnsi="黑体" w:eastAsia="黑体" w:cs="宋体"/>
          <w:b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color w:val="000000"/>
          <w:kern w:val="0"/>
          <w:sz w:val="32"/>
          <w:szCs w:val="32"/>
        </w:rPr>
        <w:t>三、整体绩效目标实现情况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（一）产出完成情况分析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1.产出数量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针对我院2021年度6个项目进行绩效评价工作。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2.产出质量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根据不同项目进行不同的质量指标分析，均完成设定质量指标标准，且达到良好。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3.产出进度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各项目产出进度均达到100%，按时完成。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4.产出成本 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按照年初预算数进行年度产出。                                    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（二）效果实现情况分析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1.经济效益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2021年严格树立厉行节约、过“紧日子”，我院减少非刚性支出，确保落实保民生、促发展的纲领。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2.社会效益</w:t>
      </w:r>
    </w:p>
    <w:p>
      <w:pPr>
        <w:spacing w:line="560" w:lineRule="exact"/>
        <w:ind w:left="105" w:leftChars="50" w:firstLine="420" w:firstLineChars="1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促进地方经济发展、促进社会进步、带动就业、提高人民生活水平。</w:t>
      </w:r>
    </w:p>
    <w:p>
      <w:pPr>
        <w:spacing w:line="580" w:lineRule="exact"/>
        <w:ind w:left="105" w:leftChars="50" w:firstLine="420" w:firstLineChars="15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3．环境效益</w:t>
      </w:r>
    </w:p>
    <w:p>
      <w:pPr>
        <w:pStyle w:val="2"/>
        <w:ind w:firstLine="560"/>
      </w:pPr>
      <w:r>
        <w:rPr>
          <w:rFonts w:hint="eastAsia" w:ascii="仿宋_GB2312" w:eastAsia="仿宋_GB2312"/>
          <w:sz w:val="28"/>
          <w:szCs w:val="28"/>
        </w:rPr>
        <w:t>保障不破坏绿色和谐生态环境，切实做到经济环保。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4.可持续性影响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我院基本经费按照定额标准及测算数生成，项目经费大部分为延续性项目，2022年将继续延续。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5.服务对象满意度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我院干警对经费保障和项目实施非常满意。</w:t>
      </w:r>
    </w:p>
    <w:p>
      <w:pPr>
        <w:spacing w:line="560" w:lineRule="exact"/>
        <w:ind w:left="105" w:leftChars="50" w:firstLine="482" w:firstLineChars="150"/>
        <w:rPr>
          <w:rFonts w:ascii="黑体" w:hAnsi="黑体" w:eastAsia="黑体" w:cs="宋体"/>
          <w:b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color w:val="000000"/>
          <w:kern w:val="0"/>
          <w:sz w:val="32"/>
          <w:szCs w:val="32"/>
        </w:rPr>
        <w:t>四、预算管理情况分析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（一）财务管理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1.财务管理制度健全性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为了进一步规范和加强项目经费的管理，保障资金安全、高效运行，提高资金使用效益，延庆检察院制定了</w:t>
      </w:r>
      <w:bookmarkStart w:id="0" w:name="_Toc452105250"/>
      <w:bookmarkStart w:id="1" w:name="_Toc432690603"/>
      <w:r>
        <w:rPr>
          <w:rFonts w:hint="eastAsia" w:ascii="仿宋_GB2312" w:eastAsia="仿宋_GB2312"/>
          <w:sz w:val="28"/>
          <w:szCs w:val="28"/>
        </w:rPr>
        <w:t>《北京市延庆区人民检察院财务管理办法》、《</w:t>
      </w:r>
      <w:bookmarkEnd w:id="0"/>
      <w:bookmarkEnd w:id="1"/>
      <w:r>
        <w:rPr>
          <w:rFonts w:hint="eastAsia" w:ascii="仿宋_GB2312" w:eastAsia="仿宋_GB2312"/>
          <w:sz w:val="28"/>
          <w:szCs w:val="28"/>
        </w:rPr>
        <w:t>北京市延庆区人民检察院大额资金支出管理办法》、《北京市延庆区人民检察院预算编制管理制度》等管理制度，加强资金使用的过程管理，具体体现在：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（1）财务审批权限：财务审批权限：金额在 30000元以内的，由主管办公室（行政事务管理部）工作的副检察长审批；30000元（含）以上的，主责部门层报院党组会研究决定，并启动《北京市延庆区人民检察院关于大额资金支出的工作流程》，由主管办公室（行政事务管理部）工作的副检察长审批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2）大额资金支出是指三万元（含）以上的支出。凡属大额资金支出，须由主责部门提出详实的可行性方案。可行性方案的形成，必须有机关纪委的参与。完成可行性方案后，由主管院领导提请院党组研究决定。重大资金支出，未有机关纪委进行事前监督的，不予提请院党组研究。凡属大额资金支出，事前不请示，事后不汇报，擅自做出决定的，其后果按照有关规定承担责任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（3）单项或批量金额大于50万（含）且小于200万元的依据采购法确定采购方式。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（4）大额专项资金必须专款专用，严禁在申请资金过程中弄虚作假、套取大额专项资金的行为。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2.资金使用合规性和安全性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各项经费应严格按照经费预算科目及相关规定执行。未纳入预算的经费支出应提前与办公室协商，并视具体情况层报领导审批。各项经费的使用应严格按照《党政机关厉行节约反对浪费条例》、《北京市人民检察院财务办法》、《北京市检察机关计划财务装备工作基本规范》、《北京市党政机关差旅费管理办法》、《北京市党政机关事业单位培训费管理办法》、《北京市党政机关会议费管理办法》相关规定执行。装备经费应按照北京市政府采购相关规定执行。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3.会计基础信息完善性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为加强财务管理，提高资金使用效益，根据北京市财政局和北京市人民检察院有关财务管理规定，结合我院实际情况，我院依法理财，勤俭办事；明确责任，分级管理；量入为出，保证重点；综合平衡，讲求绩效。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（二）资产管理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针对资产总量不断增大、范围不断增多、流动性不断增强的情况，不断强化日常管理工作，提高资产使用效益。其一确定专人负责管理资产的日常性、基础性工作，逐步的改变原来技术部管理装备、行政事务管理局管理办公设备的现状，归口由办公室统一负责管理；其二建立岗位责任制。按照“谁使用，谁管理”的原则，建立资产使用人责任制，达到责权分明、层层负责的目的；其三规范固定资产领取和出、入库手续，避免固定资产流失现象发生，保证资产的安全和完整。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（三）绩效管理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科学设定项目的绩效目标，绩效目标要与单位职能相关；细化量化项目的绩效指标、使绩效指标具有可衡量性，提升对项目执行的指导意义。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完善项目实施的管理方案，引入过程监督、制度构建与遵循、项目验收与考核、风险控制及应急预案等要素，使其具有更加有效的指导意义。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加强过程监督管理，明确项目实施主体的责任，对于监督管理的资料应留痕。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（四）结转结余率</w:t>
      </w:r>
    </w:p>
    <w:p>
      <w:pPr>
        <w:spacing w:line="560" w:lineRule="exact"/>
        <w:ind w:left="105" w:leftChars="50" w:firstLine="420" w:firstLineChars="150"/>
        <w:rPr>
          <w:rFonts w:eastAsia="仿宋_GB2312"/>
        </w:rPr>
      </w:pPr>
      <w:r>
        <w:rPr>
          <w:rFonts w:hint="eastAsia" w:ascii="仿宋_GB2312" w:eastAsia="仿宋_GB2312"/>
          <w:sz w:val="28"/>
          <w:szCs w:val="28"/>
        </w:rPr>
        <w:t>我院预算执行数为4796.76万元。年底结余和结转余额为1.25万元。结转结余率为0.03%。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（五）部门预决算差异率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2021年年初预算数4906.66万元，2021年度预算执行数4796.76万元，差异率2.29%。主要原因：将非同级财政拨款收入支出纳入2021年决算。</w:t>
      </w:r>
    </w:p>
    <w:p>
      <w:pPr>
        <w:spacing w:line="560" w:lineRule="exact"/>
        <w:ind w:left="105" w:leftChars="50" w:firstLine="482" w:firstLineChars="150"/>
        <w:rPr>
          <w:rFonts w:ascii="黑体" w:hAnsi="黑体" w:eastAsia="黑体" w:cs="宋体"/>
          <w:b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color w:val="000000"/>
          <w:kern w:val="0"/>
          <w:sz w:val="32"/>
          <w:szCs w:val="32"/>
        </w:rPr>
        <w:t>五、总体评价结论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（一）评价得分情况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我院基本经费包括人员经费和公用经费。人员经费按照各月发放时间及规定及时支出付款，公用经费按照院内实际需求进行办公用品采购、</w:t>
      </w:r>
      <w:r>
        <w:rPr>
          <w:rFonts w:hint="eastAsia" w:ascii="宋体" w:hAnsi="宋体" w:cs="宋体"/>
          <w:sz w:val="28"/>
          <w:szCs w:val="28"/>
        </w:rPr>
        <w:t>物</w:t>
      </w:r>
      <w:r>
        <w:rPr>
          <w:rFonts w:hint="eastAsia" w:ascii="仿宋_GB2312" w:eastAsia="仿宋_GB2312"/>
          <w:sz w:val="28"/>
          <w:szCs w:val="28"/>
        </w:rPr>
        <w:t>业绿化、安检安保等支出。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6个项目评价得分均在90分以上，详见各项目绩效自评表。</w:t>
      </w:r>
    </w:p>
    <w:p>
      <w:pPr>
        <w:spacing w:line="560" w:lineRule="exact"/>
        <w:ind w:left="105" w:leftChars="50" w:firstLine="420" w:firstLine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（二）存在的问题及原因分析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部分项目存在问题：实施方案不够完善，</w:t>
      </w:r>
      <w:r>
        <w:rPr>
          <w:rFonts w:ascii="仿宋_GB2312" w:eastAsia="仿宋_GB2312"/>
          <w:sz w:val="28"/>
          <w:szCs w:val="28"/>
        </w:rPr>
        <w:t>对于制度构建与遵循、</w:t>
      </w:r>
      <w:r>
        <w:rPr>
          <w:rFonts w:hint="eastAsia" w:ascii="仿宋_GB2312" w:eastAsia="仿宋_GB2312"/>
          <w:sz w:val="28"/>
          <w:szCs w:val="28"/>
        </w:rPr>
        <w:t>管控措施、考核验收、</w:t>
      </w:r>
      <w:r>
        <w:rPr>
          <w:rFonts w:ascii="仿宋_GB2312" w:eastAsia="仿宋_GB2312"/>
          <w:sz w:val="28"/>
          <w:szCs w:val="28"/>
        </w:rPr>
        <w:t>风险防控与应急等要素</w:t>
      </w:r>
      <w:r>
        <w:rPr>
          <w:rFonts w:hint="eastAsia" w:ascii="仿宋_GB2312" w:eastAsia="仿宋_GB2312"/>
          <w:sz w:val="28"/>
          <w:szCs w:val="28"/>
        </w:rPr>
        <w:t>不足</w:t>
      </w:r>
      <w:r>
        <w:rPr>
          <w:rFonts w:ascii="仿宋_GB2312" w:eastAsia="仿宋_GB2312"/>
          <w:sz w:val="28"/>
          <w:szCs w:val="28"/>
        </w:rPr>
        <w:t>。实施方案的不完善，使其指导意义不足，有效性欠缺。</w:t>
      </w:r>
      <w:r>
        <w:rPr>
          <w:rFonts w:hint="eastAsia" w:ascii="仿宋_GB2312" w:eastAsia="仿宋_GB2312"/>
          <w:sz w:val="28"/>
          <w:szCs w:val="28"/>
        </w:rPr>
        <w:t>项目绩效成果资料不够充分，</w:t>
      </w:r>
      <w:r>
        <w:rPr>
          <w:rFonts w:ascii="仿宋_GB2312" w:eastAsia="仿宋_GB2312"/>
          <w:sz w:val="28"/>
          <w:szCs w:val="28"/>
        </w:rPr>
        <w:t>不利于项目实施效果的体现。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color w:val="000000"/>
          <w:kern w:val="0"/>
          <w:sz w:val="32"/>
          <w:szCs w:val="32"/>
        </w:rPr>
        <w:t>六、措施建议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2021年，在部门预算管理上，我单位强化部门在预算编制中的主体责任，结合职责职能、政策制定和方案论证等情况,编制了本部门预算，最大限度做到预算编制真实性、完整性、科学性。认真执行“三重一大”决策制度，提供决策的科学性。在预算执行过程中，坚持厉行节约，强化了实有账户结余资金的使用和管理。</w:t>
      </w:r>
    </w:p>
    <w:p>
      <w:pPr>
        <w:spacing w:line="560" w:lineRule="exact"/>
        <w:ind w:firstLine="57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在财务</w:t>
      </w:r>
      <w:r>
        <w:rPr>
          <w:rFonts w:ascii="仿宋_GB2312" w:eastAsia="仿宋_GB2312"/>
          <w:sz w:val="28"/>
          <w:szCs w:val="28"/>
        </w:rPr>
        <w:t>核算</w:t>
      </w:r>
      <w:r>
        <w:rPr>
          <w:rFonts w:hint="eastAsia" w:ascii="仿宋_GB2312" w:eastAsia="仿宋_GB2312"/>
          <w:sz w:val="28"/>
          <w:szCs w:val="28"/>
        </w:rPr>
        <w:t>上</w:t>
      </w:r>
      <w:r>
        <w:rPr>
          <w:rFonts w:ascii="仿宋_GB2312" w:eastAsia="仿宋_GB2312"/>
          <w:sz w:val="28"/>
          <w:szCs w:val="28"/>
        </w:rPr>
        <w:t>，我单位</w:t>
      </w:r>
      <w:r>
        <w:rPr>
          <w:rFonts w:hint="eastAsia" w:ascii="仿宋_GB2312" w:eastAsia="仿宋_GB2312"/>
          <w:sz w:val="28"/>
          <w:szCs w:val="28"/>
        </w:rPr>
        <w:t>重点加强了</w:t>
      </w:r>
      <w:r>
        <w:rPr>
          <w:rFonts w:ascii="仿宋_GB2312" w:eastAsia="仿宋_GB2312"/>
          <w:sz w:val="28"/>
          <w:szCs w:val="28"/>
        </w:rPr>
        <w:t>对往来款项的</w:t>
      </w:r>
      <w:r>
        <w:rPr>
          <w:rFonts w:hint="eastAsia" w:ascii="仿宋_GB2312" w:eastAsia="仿宋_GB2312"/>
          <w:sz w:val="28"/>
          <w:szCs w:val="28"/>
        </w:rPr>
        <w:t>清理工作，对</w:t>
      </w:r>
      <w:r>
        <w:rPr>
          <w:rFonts w:ascii="仿宋_GB2312" w:eastAsia="仿宋_GB2312"/>
          <w:sz w:val="28"/>
          <w:szCs w:val="28"/>
        </w:rPr>
        <w:t>我单位长期以来</w:t>
      </w:r>
      <w:r>
        <w:rPr>
          <w:rFonts w:hint="eastAsia" w:ascii="仿宋_GB2312" w:eastAsia="仿宋_GB2312"/>
          <w:sz w:val="28"/>
          <w:szCs w:val="28"/>
        </w:rPr>
        <w:t>形成</w:t>
      </w:r>
      <w:r>
        <w:rPr>
          <w:rFonts w:ascii="仿宋_GB2312" w:eastAsia="仿宋_GB2312"/>
          <w:sz w:val="28"/>
          <w:szCs w:val="28"/>
        </w:rPr>
        <w:t>的 “其他应付款”会计明细科目信息进行了梳理</w:t>
      </w:r>
      <w:r>
        <w:rPr>
          <w:rFonts w:hint="eastAsia" w:ascii="仿宋_GB2312" w:eastAsia="仿宋_GB2312"/>
          <w:sz w:val="28"/>
          <w:szCs w:val="28"/>
        </w:rPr>
        <w:t>，</w:t>
      </w:r>
      <w:r>
        <w:rPr>
          <w:rFonts w:ascii="仿宋_GB2312" w:eastAsia="仿宋_GB2312"/>
          <w:sz w:val="28"/>
          <w:szCs w:val="28"/>
        </w:rPr>
        <w:t>清理</w:t>
      </w:r>
      <w:r>
        <w:rPr>
          <w:rFonts w:hint="eastAsia" w:ascii="仿宋_GB2312" w:eastAsia="仿宋_GB2312"/>
          <w:sz w:val="28"/>
          <w:szCs w:val="28"/>
        </w:rPr>
        <w:t>并</w:t>
      </w:r>
      <w:r>
        <w:rPr>
          <w:rFonts w:ascii="仿宋_GB2312" w:eastAsia="仿宋_GB2312"/>
          <w:sz w:val="28"/>
          <w:szCs w:val="28"/>
        </w:rPr>
        <w:t>结转本期相关结余资金</w:t>
      </w:r>
      <w:r>
        <w:rPr>
          <w:rFonts w:hint="eastAsia" w:ascii="仿宋_GB2312" w:eastAsia="仿宋_GB2312"/>
          <w:sz w:val="28"/>
          <w:szCs w:val="28"/>
        </w:rPr>
        <w:t>。通过清理</w:t>
      </w:r>
      <w:r>
        <w:rPr>
          <w:rFonts w:ascii="仿宋_GB2312" w:eastAsia="仿宋_GB2312"/>
          <w:sz w:val="28"/>
          <w:szCs w:val="28"/>
        </w:rPr>
        <w:t>，</w:t>
      </w:r>
      <w:r>
        <w:rPr>
          <w:rFonts w:hint="eastAsia" w:ascii="仿宋_GB2312" w:eastAsia="仿宋_GB2312"/>
          <w:sz w:val="28"/>
          <w:szCs w:val="28"/>
        </w:rPr>
        <w:t>切实让</w:t>
      </w:r>
      <w:r>
        <w:rPr>
          <w:rFonts w:ascii="仿宋_GB2312" w:eastAsia="仿宋_GB2312"/>
          <w:sz w:val="28"/>
          <w:szCs w:val="28"/>
        </w:rPr>
        <w:t>沉淀资金</w:t>
      </w:r>
      <w:r>
        <w:rPr>
          <w:rFonts w:hint="eastAsia" w:ascii="仿宋_GB2312" w:eastAsia="仿宋_GB2312"/>
          <w:sz w:val="28"/>
          <w:szCs w:val="28"/>
        </w:rPr>
        <w:t>得到有效</w:t>
      </w:r>
      <w:r>
        <w:rPr>
          <w:rFonts w:ascii="仿宋_GB2312" w:eastAsia="仿宋_GB2312"/>
          <w:sz w:val="28"/>
          <w:szCs w:val="28"/>
        </w:rPr>
        <w:t>盘活，</w:t>
      </w:r>
      <w:r>
        <w:rPr>
          <w:rFonts w:hint="eastAsia" w:ascii="仿宋_GB2312" w:eastAsia="仿宋_GB2312"/>
          <w:sz w:val="28"/>
          <w:szCs w:val="28"/>
        </w:rPr>
        <w:t>新增</w:t>
      </w:r>
      <w:r>
        <w:rPr>
          <w:rFonts w:ascii="仿宋_GB2312" w:eastAsia="仿宋_GB2312"/>
          <w:sz w:val="28"/>
          <w:szCs w:val="28"/>
        </w:rPr>
        <w:t>结余资金</w:t>
      </w:r>
      <w:r>
        <w:rPr>
          <w:rFonts w:hint="eastAsia" w:ascii="仿宋_GB2312" w:eastAsia="仿宋_GB2312"/>
          <w:sz w:val="28"/>
          <w:szCs w:val="28"/>
        </w:rPr>
        <w:t>有效</w:t>
      </w:r>
      <w:r>
        <w:rPr>
          <w:rFonts w:ascii="仿宋_GB2312" w:eastAsia="仿宋_GB2312"/>
          <w:sz w:val="28"/>
          <w:szCs w:val="28"/>
        </w:rPr>
        <w:t>弥补</w:t>
      </w:r>
      <w:r>
        <w:rPr>
          <w:rFonts w:hint="eastAsia" w:ascii="仿宋_GB2312" w:eastAsia="仿宋_GB2312"/>
          <w:sz w:val="28"/>
          <w:szCs w:val="28"/>
        </w:rPr>
        <w:t>了项目预算中</w:t>
      </w:r>
      <w:r>
        <w:rPr>
          <w:rFonts w:ascii="仿宋_GB2312" w:eastAsia="仿宋_GB2312"/>
          <w:sz w:val="28"/>
          <w:szCs w:val="28"/>
        </w:rPr>
        <w:t>财政资金不足</w:t>
      </w:r>
      <w:r>
        <w:rPr>
          <w:rFonts w:hint="eastAsia" w:ascii="仿宋_GB2312" w:eastAsia="仿宋_GB2312"/>
          <w:sz w:val="28"/>
          <w:szCs w:val="28"/>
        </w:rPr>
        <w:t>的缺口</w:t>
      </w:r>
      <w:r>
        <w:rPr>
          <w:rFonts w:ascii="仿宋_GB2312" w:eastAsia="仿宋_GB2312"/>
          <w:sz w:val="28"/>
          <w:szCs w:val="28"/>
        </w:rPr>
        <w:t>，</w:t>
      </w:r>
      <w:r>
        <w:rPr>
          <w:rFonts w:hint="eastAsia" w:ascii="仿宋_GB2312" w:eastAsia="仿宋_GB2312"/>
          <w:sz w:val="28"/>
          <w:szCs w:val="28"/>
        </w:rPr>
        <w:t>为</w:t>
      </w:r>
      <w:r>
        <w:rPr>
          <w:rFonts w:ascii="仿宋_GB2312" w:eastAsia="仿宋_GB2312"/>
          <w:sz w:val="28"/>
          <w:szCs w:val="28"/>
        </w:rPr>
        <w:t>文联改革发展提供资金保障。</w:t>
      </w:r>
      <w:r>
        <w:rPr>
          <w:rFonts w:hint="eastAsia" w:ascii="仿宋_GB2312" w:eastAsia="仿宋_GB2312"/>
          <w:sz w:val="28"/>
          <w:szCs w:val="28"/>
        </w:rPr>
        <w:t>通过开展试编权责</w:t>
      </w:r>
      <w:r>
        <w:rPr>
          <w:rFonts w:ascii="仿宋_GB2312" w:eastAsia="仿宋_GB2312"/>
          <w:sz w:val="28"/>
          <w:szCs w:val="28"/>
        </w:rPr>
        <w:t>发生制财务报告</w:t>
      </w:r>
      <w:r>
        <w:rPr>
          <w:rFonts w:hint="eastAsia" w:ascii="仿宋_GB2312" w:eastAsia="仿宋_GB2312"/>
          <w:sz w:val="28"/>
          <w:szCs w:val="28"/>
        </w:rPr>
        <w:t>工作，掌握了权责发生制财务报告的数据收集要求、合并方法、报表体系和分析指标，进一步认识现有会计核算制度与权责发生制财务报告之间的差异，为今后更好地开展工作提供有价值的参考依据，为编制权责发生制财务报告积累了经验。在做好会计核算的基础上，严格按照《政府会计制度</w:t>
      </w:r>
      <w:r>
        <w:rPr>
          <w:rFonts w:ascii="仿宋_GB2312" w:eastAsia="仿宋_GB2312"/>
          <w:sz w:val="28"/>
          <w:szCs w:val="28"/>
        </w:rPr>
        <w:t>-行政事业单位会计科目和报表》与《行政单位会计制度》有关衔接问题的处理规定，及时的进行了新旧制度衔接的各项准备工作。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在绩效管理上，按照北京市财政局《关于</w:t>
      </w:r>
      <w:r>
        <w:rPr>
          <w:rFonts w:ascii="仿宋_GB2312" w:eastAsia="仿宋_GB2312"/>
          <w:sz w:val="28"/>
          <w:szCs w:val="28"/>
        </w:rPr>
        <w:t>202</w:t>
      </w:r>
      <w:del w:id="0" w:author="lenovo" w:date="2022-05-16T11:32:00Z">
        <w:r>
          <w:rPr>
            <w:rFonts w:ascii="仿宋_GB2312" w:hAnsi="Times New Roman" w:eastAsia="仿宋_GB2312" w:cs="Times New Roman"/>
            <w:sz w:val="28"/>
            <w:szCs w:val="28"/>
            <w:rPrChange w:id="1" w:author="吴慧" w:date="2022-05-13T17:40:00Z">
              <w:rPr>
                <w:rFonts w:ascii="仿宋_GB2312" w:hAnsi="仿宋_GB2312" w:eastAsia="仿宋_GB2312" w:cs="仿宋_GB2312"/>
                <w:sz w:val="30"/>
                <w:szCs w:val="30"/>
              </w:rPr>
            </w:rPrChange>
          </w:rPr>
          <w:delText>1</w:delText>
        </w:r>
      </w:del>
      <w:ins w:id="2" w:author="lenovo" w:date="2022-05-16T11:32:00Z">
        <w:r>
          <w:rPr>
            <w:rFonts w:hint="eastAsia" w:ascii="仿宋_GB2312" w:eastAsia="仿宋_GB2312"/>
            <w:sz w:val="28"/>
            <w:szCs w:val="28"/>
          </w:rPr>
          <w:t>2</w:t>
        </w:r>
      </w:ins>
      <w:r>
        <w:rPr>
          <w:rFonts w:ascii="仿宋_GB2312" w:eastAsia="仿宋_GB2312"/>
          <w:sz w:val="28"/>
          <w:szCs w:val="28"/>
        </w:rPr>
        <w:t>年度市级预算部门自行开展绩效评价工作的通知》要求，我单位20</w:t>
      </w:r>
      <w:r>
        <w:rPr>
          <w:rFonts w:hint="eastAsia" w:ascii="仿宋_GB2312" w:eastAsia="仿宋_GB2312"/>
          <w:sz w:val="28"/>
          <w:szCs w:val="28"/>
        </w:rPr>
        <w:t>21</w:t>
      </w:r>
      <w:r>
        <w:rPr>
          <w:rFonts w:ascii="仿宋_GB2312" w:eastAsia="仿宋_GB2312"/>
          <w:sz w:val="28"/>
          <w:szCs w:val="28"/>
        </w:rPr>
        <w:t>年度</w:t>
      </w:r>
      <w:r>
        <w:rPr>
          <w:rFonts w:hint="eastAsia" w:ascii="仿宋_GB2312" w:eastAsia="仿宋_GB2312"/>
          <w:sz w:val="28"/>
          <w:szCs w:val="28"/>
        </w:rPr>
        <w:t>将全部项目进行绩效分析评价。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目前，</w:t>
      </w:r>
      <w:r>
        <w:rPr>
          <w:rFonts w:ascii="仿宋_GB2312" w:eastAsia="仿宋_GB2312"/>
          <w:sz w:val="28"/>
          <w:szCs w:val="28"/>
        </w:rPr>
        <w:t>我</w:t>
      </w:r>
      <w:r>
        <w:rPr>
          <w:rFonts w:hint="eastAsia" w:ascii="仿宋_GB2312" w:eastAsia="仿宋_GB2312"/>
          <w:sz w:val="28"/>
          <w:szCs w:val="28"/>
        </w:rPr>
        <w:t>单位的基层财务人员少，任务重，但我们仍将努力高标准、严要求，把做实做细各项制度规定与财务基础工作融入到平时的工作中，使我单位财务管理不断规范化、明细化。制度不断健全完善，使规范财务管理融入到全员思想认识中、行动中。</w:t>
      </w:r>
    </w:p>
    <w:p>
      <w:pPr>
        <w:spacing w:line="560" w:lineRule="exact"/>
        <w:rPr>
          <w:rFonts w:ascii="仿宋_GB2312" w:eastAsia="仿宋_GB2312"/>
          <w:sz w:val="28"/>
          <w:szCs w:val="28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enovo">
    <w15:presenceInfo w15:providerId="None" w15:userId="lenovo"/>
  </w15:person>
  <w15:person w15:author="吴慧">
    <w15:presenceInfo w15:providerId="WPS Office" w15:userId="34927677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OGY3Nzk0NmI5ZDdmYTAzYWQxZDNmZTFlYzFiZTEifQ=="/>
  </w:docVars>
  <w:rsids>
    <w:rsidRoot w:val="00D06FD3"/>
    <w:rsid w:val="0007429E"/>
    <w:rsid w:val="00192BA6"/>
    <w:rsid w:val="001E4024"/>
    <w:rsid w:val="002137DC"/>
    <w:rsid w:val="0028614A"/>
    <w:rsid w:val="00291CE2"/>
    <w:rsid w:val="002A2FDA"/>
    <w:rsid w:val="002D0067"/>
    <w:rsid w:val="00323B48"/>
    <w:rsid w:val="004866E4"/>
    <w:rsid w:val="004B6970"/>
    <w:rsid w:val="004E48F4"/>
    <w:rsid w:val="00564F6C"/>
    <w:rsid w:val="005B1EDC"/>
    <w:rsid w:val="005B3408"/>
    <w:rsid w:val="00640059"/>
    <w:rsid w:val="006A1F97"/>
    <w:rsid w:val="006A647C"/>
    <w:rsid w:val="00701A42"/>
    <w:rsid w:val="007E0306"/>
    <w:rsid w:val="007E164C"/>
    <w:rsid w:val="007E2EF3"/>
    <w:rsid w:val="00814F2E"/>
    <w:rsid w:val="008216B4"/>
    <w:rsid w:val="00874055"/>
    <w:rsid w:val="008B22E7"/>
    <w:rsid w:val="008B34B8"/>
    <w:rsid w:val="00990FD1"/>
    <w:rsid w:val="00A22755"/>
    <w:rsid w:val="00A808B2"/>
    <w:rsid w:val="00A865E4"/>
    <w:rsid w:val="00AD6B42"/>
    <w:rsid w:val="00B232A0"/>
    <w:rsid w:val="00B31D72"/>
    <w:rsid w:val="00B477F3"/>
    <w:rsid w:val="00B554DA"/>
    <w:rsid w:val="00C475BE"/>
    <w:rsid w:val="00C740BB"/>
    <w:rsid w:val="00CB6D01"/>
    <w:rsid w:val="00CD26D7"/>
    <w:rsid w:val="00D06FD3"/>
    <w:rsid w:val="00D67817"/>
    <w:rsid w:val="00D76BE6"/>
    <w:rsid w:val="00D93C4A"/>
    <w:rsid w:val="00E1561D"/>
    <w:rsid w:val="00E67287"/>
    <w:rsid w:val="00E80DD2"/>
    <w:rsid w:val="00EB5972"/>
    <w:rsid w:val="00FB66D4"/>
    <w:rsid w:val="45C82BA7"/>
    <w:rsid w:val="637643C5"/>
    <w:rsid w:val="67E0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3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Char"/>
    <w:basedOn w:val="7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眉 Char"/>
    <w:basedOn w:val="7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1">
    <w:name w:val="Revision"/>
    <w:hidden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3853</Words>
  <Characters>3991</Characters>
  <Lines>29</Lines>
  <Paragraphs>8</Paragraphs>
  <TotalTime>66</TotalTime>
  <ScaleCrop>false</ScaleCrop>
  <LinksUpToDate>false</LinksUpToDate>
  <CharactersWithSpaces>4034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2022-05-11T08:51:00Z</dcterms:created>
  <dc:creator>lenovo</dc:creator>
  <cp:lastModifiedBy>愿。</cp:lastModifiedBy>
  <cp:lastPrinted>2022-05-16T09:27:00Z</cp:lastPrinted>
  <dcterms:modified xsi:type="dcterms:W3CDTF">2022-08-22T06:56:03Z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962CF9F8E59C40EBA5C1889A4F07B94C</vt:lpwstr>
  </property>
</Properties>
</file>