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C52" w:rsidRDefault="005B1AC0" w:rsidP="006A1AE6">
      <w:pPr>
        <w:pStyle w:val="a6"/>
        <w:tabs>
          <w:tab w:val="left" w:pos="1137"/>
          <w:tab w:val="left" w:pos="1343"/>
        </w:tabs>
        <w:spacing w:line="500" w:lineRule="exact"/>
        <w:ind w:firstLine="0"/>
        <w:jc w:val="center"/>
        <w:rPr>
          <w:rFonts w:ascii="方正小标宋简体" w:eastAsia="方正小标宋简体" w:hAnsi="方正小标宋简体" w:cs="方正小标宋简体"/>
          <w:bCs/>
          <w:sz w:val="44"/>
          <w:szCs w:val="44"/>
          <w:lang w:eastAsia="zh-CN"/>
        </w:rPr>
      </w:pPr>
      <w:bookmarkStart w:id="0" w:name="_Toc6053"/>
      <w:bookmarkStart w:id="1" w:name="_Toc684"/>
      <w:bookmarkStart w:id="2" w:name="_Toc18391"/>
      <w:r>
        <w:rPr>
          <w:rFonts w:ascii="方正小标宋简体" w:eastAsia="方正小标宋简体" w:hAnsi="方正小标宋简体" w:cs="方正小标宋简体" w:hint="eastAsia"/>
          <w:bCs/>
          <w:sz w:val="44"/>
          <w:szCs w:val="44"/>
          <w:lang w:eastAsia="zh-CN"/>
        </w:rPr>
        <w:t>北京市延庆区</w:t>
      </w:r>
      <w:bookmarkEnd w:id="0"/>
      <w:bookmarkEnd w:id="1"/>
      <w:bookmarkEnd w:id="2"/>
      <w:r>
        <w:rPr>
          <w:rFonts w:ascii="方正小标宋简体" w:eastAsia="方正小标宋简体" w:hAnsi="方正小标宋简体" w:cs="方正小标宋简体" w:hint="eastAsia"/>
          <w:bCs/>
          <w:sz w:val="44"/>
          <w:szCs w:val="44"/>
          <w:lang w:eastAsia="zh-CN"/>
        </w:rPr>
        <w:t>人民法院信息化运维费项目</w:t>
      </w:r>
    </w:p>
    <w:p w:rsidR="00A34C52" w:rsidRDefault="005B1AC0" w:rsidP="006A1AE6">
      <w:pPr>
        <w:pStyle w:val="a6"/>
        <w:tabs>
          <w:tab w:val="left" w:pos="1137"/>
          <w:tab w:val="left" w:pos="1343"/>
        </w:tabs>
        <w:spacing w:line="500" w:lineRule="exact"/>
        <w:ind w:firstLine="0"/>
        <w:jc w:val="center"/>
        <w:rPr>
          <w:rFonts w:ascii="黑体" w:eastAsia="黑体" w:hAnsi="黑体"/>
          <w:b/>
          <w:sz w:val="44"/>
          <w:szCs w:val="44"/>
          <w:lang w:eastAsia="zh-CN"/>
        </w:rPr>
      </w:pPr>
      <w:bookmarkStart w:id="3" w:name="_Toc13892"/>
      <w:bookmarkStart w:id="4" w:name="_Toc15113"/>
      <w:bookmarkStart w:id="5" w:name="_Toc11438"/>
      <w:r>
        <w:rPr>
          <w:rFonts w:ascii="方正小标宋简体" w:eastAsia="方正小标宋简体" w:hAnsi="方正小标宋简体" w:cs="方正小标宋简体" w:hint="eastAsia"/>
          <w:bCs/>
          <w:sz w:val="44"/>
          <w:szCs w:val="44"/>
          <w:lang w:eastAsia="zh-CN"/>
        </w:rPr>
        <w:t>绩效评价报告</w:t>
      </w:r>
      <w:bookmarkEnd w:id="3"/>
      <w:bookmarkEnd w:id="4"/>
      <w:bookmarkEnd w:id="5"/>
    </w:p>
    <w:p w:rsidR="00A34C52" w:rsidRDefault="005B1AC0">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6" w:name="_Toc77203339"/>
      <w:bookmarkStart w:id="7" w:name="_Toc8864"/>
      <w:bookmarkStart w:id="8" w:name="_Toc19521"/>
      <w:bookmarkStart w:id="9" w:name="_Toc8074"/>
      <w:bookmarkStart w:id="10" w:name="_Toc10582"/>
      <w:bookmarkStart w:id="11" w:name="_Toc516663569"/>
      <w:r>
        <w:rPr>
          <w:rFonts w:ascii="黑体" w:eastAsia="黑体" w:hAnsi="黑体" w:cs="黑体" w:hint="eastAsia"/>
          <w:b w:val="0"/>
          <w:kern w:val="0"/>
          <w:sz w:val="32"/>
          <w:szCs w:val="32"/>
          <w:lang w:bidi="en-US"/>
        </w:rPr>
        <w:t>基本情况</w:t>
      </w:r>
      <w:bookmarkEnd w:id="6"/>
      <w:bookmarkEnd w:id="7"/>
      <w:bookmarkEnd w:id="8"/>
      <w:bookmarkEnd w:id="9"/>
      <w:bookmarkEnd w:id="10"/>
    </w:p>
    <w:p w:rsidR="00A34C52" w:rsidRDefault="005B1AC0">
      <w:pPr>
        <w:numPr>
          <w:ilvl w:val="0"/>
          <w:numId w:val="2"/>
        </w:numPr>
        <w:spacing w:line="560" w:lineRule="exact"/>
        <w:outlineLvl w:val="1"/>
        <w:rPr>
          <w:rFonts w:ascii="楷体_GB2312" w:eastAsia="楷体_GB2312" w:hAnsi="楷体" w:cs="仿宋_GB2312"/>
          <w:bCs/>
          <w:sz w:val="32"/>
          <w:szCs w:val="32"/>
        </w:rPr>
      </w:pPr>
      <w:bookmarkStart w:id="12" w:name="_Toc1076"/>
      <w:bookmarkStart w:id="13" w:name="_Toc21450"/>
      <w:bookmarkStart w:id="14" w:name="_Toc8611"/>
      <w:bookmarkStart w:id="15" w:name="_Toc24756"/>
      <w:bookmarkStart w:id="16" w:name="_Toc77203340"/>
      <w:bookmarkStart w:id="17" w:name="_Toc508205330"/>
      <w:bookmarkStart w:id="18" w:name="_Toc516663571"/>
      <w:bookmarkEnd w:id="11"/>
      <w:r>
        <w:rPr>
          <w:rFonts w:ascii="楷体_GB2312" w:eastAsia="楷体_GB2312" w:hAnsi="楷体" w:cs="仿宋_GB2312" w:hint="eastAsia"/>
          <w:bCs/>
          <w:sz w:val="32"/>
          <w:szCs w:val="32"/>
        </w:rPr>
        <w:t>项目</w:t>
      </w:r>
      <w:bookmarkEnd w:id="12"/>
      <w:bookmarkEnd w:id="13"/>
      <w:bookmarkEnd w:id="14"/>
      <w:bookmarkEnd w:id="15"/>
      <w:bookmarkEnd w:id="16"/>
      <w:r>
        <w:rPr>
          <w:rFonts w:ascii="楷体_GB2312" w:eastAsia="楷体_GB2312" w:hAnsi="楷体" w:cs="仿宋_GB2312" w:hint="eastAsia"/>
          <w:bCs/>
          <w:sz w:val="32"/>
          <w:szCs w:val="32"/>
        </w:rPr>
        <w:t>概况</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1</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项目背景</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北京市延庆区人民法院（以下简称“延庆区法院”），积极响应北京市高级人民法院信息化建设的总体部署，建立了较为完备的信息化系统以及数据网、语音网、视频网等网络应用平台，不但满足了法院审判与法院管理等各方面的需求，而且积极为相关部门、社会，提供必要的信息服务。</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目前，延庆区法院建成的信息系统主要包括：审判业务系统、电子卷宗系统、谈话应用系统、数字审委会系统、高清监控系统、信息中心展示系统、GPS车辆定位系统、法庭手动报警系统、室内外大屏显示系统、车辆出入系统、门禁系统、电话系统、人民陪审员系统、Cocall管理系统、执行办案系统、执行案款系统、数字法庭系统、电子签章管理系统、绿色机房系统、终端系统。</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延庆区法院庭审活动多，技术与业务保障任务重，随着信息系统的扩充完善和日益复杂，需引入专业技术人员、团队对信息系统进行专项维护、巡检、故障解决及分析总结，以保障各项信息化系统的稳定性和安全性，确保系统正常运行。</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2</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主要内容及实施情况</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（1）主要内容</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kern w:val="0"/>
          <w:sz w:val="28"/>
          <w:szCs w:val="28"/>
          <w:lang w:bidi="en-US"/>
        </w:rPr>
        <w:lastRenderedPageBreak/>
        <w:t>根据</w:t>
      </w:r>
      <w:r>
        <w:rPr>
          <w:rFonts w:ascii="仿宋_GB2312" w:eastAsia="仿宋_GB2312" w:hAnsi="仿宋" w:cs="Times New Roman" w:hint="eastAsia"/>
          <w:kern w:val="0"/>
          <w:sz w:val="28"/>
          <w:szCs w:val="28"/>
          <w:lang w:bidi="en-US"/>
        </w:rPr>
        <w:t>延庆</w:t>
      </w:r>
      <w:r>
        <w:rPr>
          <w:rFonts w:ascii="仿宋_GB2312" w:eastAsia="仿宋_GB2312" w:hAnsi="仿宋" w:cs="Times New Roman"/>
          <w:kern w:val="0"/>
          <w:sz w:val="28"/>
          <w:szCs w:val="28"/>
          <w:lang w:bidi="en-US"/>
        </w:rPr>
        <w:t>区法院信息化运维现状，</w:t>
      </w:r>
      <w:r>
        <w:rPr>
          <w:rFonts w:ascii="仿宋_GB2312" w:eastAsia="仿宋_GB2312" w:hAnsi="仿宋" w:cs="Times New Roman" w:hint="eastAsia"/>
          <w:kern w:val="0"/>
          <w:sz w:val="28"/>
          <w:szCs w:val="28"/>
          <w:lang w:bidi="en-US"/>
        </w:rPr>
        <w:t>2021年度信</w:t>
      </w:r>
      <w:r>
        <w:rPr>
          <w:rFonts w:ascii="仿宋_GB2312" w:eastAsia="仿宋_GB2312" w:hAnsi="仿宋" w:cs="Times New Roman"/>
          <w:kern w:val="0"/>
          <w:sz w:val="28"/>
          <w:szCs w:val="28"/>
          <w:lang w:bidi="en-US"/>
        </w:rPr>
        <w:t>息化运维内容分为</w:t>
      </w:r>
      <w:r>
        <w:rPr>
          <w:rFonts w:ascii="仿宋_GB2312" w:eastAsia="仿宋_GB2312" w:hAnsi="仿宋" w:cs="Times New Roman" w:hint="eastAsia"/>
          <w:kern w:val="0"/>
          <w:sz w:val="28"/>
          <w:szCs w:val="28"/>
          <w:lang w:bidi="en-US"/>
        </w:rPr>
        <w:t>两大</w:t>
      </w:r>
      <w:r>
        <w:rPr>
          <w:rFonts w:ascii="仿宋_GB2312" w:eastAsia="仿宋_GB2312" w:hAnsi="仿宋" w:cs="Times New Roman"/>
          <w:kern w:val="0"/>
          <w:sz w:val="28"/>
          <w:szCs w:val="28"/>
          <w:lang w:bidi="en-US"/>
        </w:rPr>
        <w:t>部分</w:t>
      </w:r>
      <w:r>
        <w:rPr>
          <w:rFonts w:ascii="仿宋_GB2312" w:eastAsia="仿宋_GB2312" w:hAnsi="仿宋" w:cs="Times New Roman" w:hint="eastAsia"/>
          <w:kern w:val="0"/>
          <w:sz w:val="28"/>
          <w:szCs w:val="28"/>
          <w:lang w:bidi="en-US"/>
        </w:rPr>
        <w:t>，信</w:t>
      </w:r>
      <w:r>
        <w:rPr>
          <w:rFonts w:ascii="仿宋_GB2312" w:eastAsia="仿宋_GB2312" w:hAnsi="仿宋" w:cs="Times New Roman"/>
          <w:kern w:val="0"/>
          <w:sz w:val="28"/>
          <w:szCs w:val="28"/>
          <w:lang w:bidi="en-US"/>
        </w:rPr>
        <w:t>息化基础环境运维</w:t>
      </w:r>
      <w:r>
        <w:rPr>
          <w:rFonts w:ascii="仿宋_GB2312" w:eastAsia="仿宋_GB2312" w:hAnsi="仿宋" w:cs="Times New Roman" w:hint="eastAsia"/>
          <w:kern w:val="0"/>
          <w:sz w:val="28"/>
          <w:szCs w:val="28"/>
          <w:lang w:bidi="en-US"/>
        </w:rPr>
        <w:t>和</w:t>
      </w:r>
      <w:r>
        <w:rPr>
          <w:rFonts w:ascii="仿宋_GB2312" w:eastAsia="仿宋_GB2312" w:hAnsi="仿宋" w:cs="Times New Roman"/>
          <w:kern w:val="0"/>
          <w:sz w:val="28"/>
          <w:szCs w:val="28"/>
          <w:lang w:bidi="en-US"/>
        </w:rPr>
        <w:t>信息安全系统运维。</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其中，信</w:t>
      </w:r>
      <w:r>
        <w:rPr>
          <w:rFonts w:ascii="仿宋_GB2312" w:eastAsia="仿宋_GB2312" w:hAnsi="仿宋" w:cs="Times New Roman"/>
          <w:kern w:val="0"/>
          <w:sz w:val="28"/>
          <w:szCs w:val="28"/>
          <w:lang w:bidi="en-US"/>
        </w:rPr>
        <w:t>息化基础环境运维</w:t>
      </w:r>
      <w:r>
        <w:rPr>
          <w:rFonts w:ascii="仿宋_GB2312" w:eastAsia="仿宋_GB2312" w:hAnsi="仿宋" w:cs="Times New Roman" w:hint="eastAsia"/>
          <w:kern w:val="0"/>
          <w:sz w:val="28"/>
          <w:szCs w:val="28"/>
          <w:lang w:bidi="en-US"/>
        </w:rPr>
        <w:t>主要</w:t>
      </w:r>
      <w:r>
        <w:rPr>
          <w:rFonts w:ascii="仿宋_GB2312" w:eastAsia="仿宋_GB2312" w:hAnsi="仿宋" w:cs="Times New Roman"/>
          <w:kern w:val="0"/>
          <w:sz w:val="28"/>
          <w:szCs w:val="28"/>
          <w:lang w:bidi="en-US"/>
        </w:rPr>
        <w:t>包括</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主机网络、审判业务系统、电子卷宗系统、谈话应用系统、数字审委会系统、高清监控系统、信息中心展示系统、GPS车辆定位系统、法庭手动报警系统、室内外大屏显示系统、车辆出入系统、门禁系统、电话系统、人民陪审员系统、Cocall管理系统、执行办案系统、执行案款系统、数字法庭系统、电子签章管理系统、绿色机房系统、终端系统、网上办公等运维工作。</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其中，信</w:t>
      </w:r>
      <w:r>
        <w:rPr>
          <w:rFonts w:ascii="仿宋_GB2312" w:eastAsia="仿宋_GB2312" w:hAnsi="仿宋" w:cs="Times New Roman"/>
          <w:kern w:val="0"/>
          <w:sz w:val="28"/>
          <w:szCs w:val="28"/>
          <w:lang w:bidi="en-US"/>
        </w:rPr>
        <w:t>息安全系统运维</w:t>
      </w:r>
      <w:r>
        <w:rPr>
          <w:rFonts w:ascii="仿宋_GB2312" w:eastAsia="仿宋_GB2312" w:hAnsi="仿宋" w:cs="Times New Roman" w:hint="eastAsia"/>
          <w:kern w:val="0"/>
          <w:sz w:val="28"/>
          <w:szCs w:val="28"/>
          <w:lang w:bidi="en-US"/>
        </w:rPr>
        <w:t>主要</w:t>
      </w:r>
      <w:r>
        <w:rPr>
          <w:rFonts w:ascii="仿宋_GB2312" w:eastAsia="仿宋_GB2312" w:hAnsi="仿宋" w:cs="Times New Roman"/>
          <w:kern w:val="0"/>
          <w:sz w:val="28"/>
          <w:szCs w:val="28"/>
          <w:lang w:bidi="en-US"/>
        </w:rPr>
        <w:t>包括</w:t>
      </w:r>
      <w:r>
        <w:rPr>
          <w:rFonts w:ascii="仿宋_GB2312" w:eastAsia="仿宋_GB2312" w:hAnsi="仿宋" w:cs="Times New Roman" w:hint="eastAsia"/>
          <w:kern w:val="0"/>
          <w:sz w:val="28"/>
          <w:szCs w:val="28"/>
          <w:lang w:bidi="en-US"/>
        </w:rPr>
        <w:t>：安全设备运行维护，数据安全维护，规范安全管理体系等。</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（2）实施情况</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基础环境运维</w:t>
      </w:r>
      <w:r>
        <w:rPr>
          <w:rFonts w:ascii="仿宋_GB2312" w:eastAsia="仿宋_GB2312" w:hAnsi="仿宋" w:cs="Times New Roman"/>
          <w:kern w:val="0"/>
          <w:sz w:val="28"/>
          <w:szCs w:val="28"/>
          <w:lang w:bidi="en-US"/>
        </w:rPr>
        <w:t>共处理服务事件9</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066件，其中应用类问题993件，主机存储类问题349件，音视频类问题2</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873件，桌面终端类问题4</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851件。保障庭审直播4</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294次，云法庭开庭3</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761次，会议235次。输出巡检219次，周报144份。系统变更29次。整体工作</w:t>
      </w:r>
      <w:r>
        <w:rPr>
          <w:rFonts w:ascii="仿宋_GB2312" w:eastAsia="仿宋_GB2312" w:hAnsi="仿宋" w:cs="Times New Roman" w:hint="eastAsia"/>
          <w:kern w:val="0"/>
          <w:sz w:val="28"/>
          <w:szCs w:val="28"/>
          <w:lang w:bidi="en-US"/>
        </w:rPr>
        <w:t>实施情况</w:t>
      </w:r>
      <w:r>
        <w:rPr>
          <w:rFonts w:ascii="仿宋_GB2312" w:eastAsia="仿宋_GB2312" w:hAnsi="仿宋" w:cs="Times New Roman"/>
          <w:kern w:val="0"/>
          <w:sz w:val="28"/>
          <w:szCs w:val="28"/>
          <w:lang w:bidi="en-US"/>
        </w:rPr>
        <w:t>良好</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通过项目验收。</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信</w:t>
      </w:r>
      <w:r>
        <w:rPr>
          <w:rFonts w:ascii="仿宋_GB2312" w:eastAsia="仿宋_GB2312" w:hAnsi="仿宋" w:cs="Times New Roman"/>
          <w:kern w:val="0"/>
          <w:sz w:val="28"/>
          <w:szCs w:val="28"/>
          <w:lang w:bidi="en-US"/>
        </w:rPr>
        <w:t>息安全系统运维</w:t>
      </w:r>
      <w:r>
        <w:rPr>
          <w:rFonts w:ascii="仿宋_GB2312" w:eastAsia="仿宋_GB2312" w:hAnsi="仿宋" w:cs="Times New Roman" w:hint="eastAsia"/>
          <w:kern w:val="0"/>
          <w:sz w:val="28"/>
          <w:szCs w:val="28"/>
          <w:lang w:bidi="en-US"/>
        </w:rPr>
        <w:t>输出日常巡检记录表250份，</w:t>
      </w:r>
      <w:r>
        <w:rPr>
          <w:rFonts w:ascii="仿宋_GB2312" w:eastAsia="仿宋_GB2312" w:hAnsi="仿宋" w:cs="Times New Roman"/>
          <w:kern w:val="0"/>
          <w:sz w:val="28"/>
          <w:szCs w:val="28"/>
          <w:lang w:bidi="en-US"/>
        </w:rPr>
        <w:t>安全月报、策略变更单、运维白皮书</w:t>
      </w:r>
      <w:r>
        <w:rPr>
          <w:rFonts w:ascii="仿宋_GB2312" w:eastAsia="仿宋_GB2312" w:hAnsi="仿宋" w:cs="Times New Roman" w:hint="eastAsia"/>
          <w:kern w:val="0"/>
          <w:sz w:val="28"/>
          <w:szCs w:val="28"/>
          <w:lang w:bidi="en-US"/>
        </w:rPr>
        <w:t>、保密专项检查材料</w:t>
      </w:r>
      <w:r>
        <w:rPr>
          <w:rFonts w:ascii="仿宋_GB2312" w:eastAsia="仿宋_GB2312" w:hAnsi="仿宋" w:cs="Times New Roman"/>
          <w:kern w:val="0"/>
          <w:sz w:val="28"/>
          <w:szCs w:val="28"/>
          <w:lang w:bidi="en-US"/>
        </w:rPr>
        <w:t>等项目文档齐备。整体工作</w:t>
      </w:r>
      <w:r>
        <w:rPr>
          <w:rFonts w:ascii="仿宋_GB2312" w:eastAsia="仿宋_GB2312" w:hAnsi="仿宋" w:cs="Times New Roman" w:hint="eastAsia"/>
          <w:kern w:val="0"/>
          <w:sz w:val="28"/>
          <w:szCs w:val="28"/>
          <w:lang w:bidi="en-US"/>
        </w:rPr>
        <w:t>实施情况</w:t>
      </w:r>
      <w:r>
        <w:rPr>
          <w:rFonts w:ascii="仿宋_GB2312" w:eastAsia="仿宋_GB2312" w:hAnsi="仿宋" w:cs="Times New Roman"/>
          <w:kern w:val="0"/>
          <w:sz w:val="28"/>
          <w:szCs w:val="28"/>
          <w:lang w:bidi="en-US"/>
        </w:rPr>
        <w:t>良好</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通过项目验收。</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3</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资金投入和使用情况</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（1）资金投入</w:t>
      </w:r>
    </w:p>
    <w:p w:rsidR="00A34C52" w:rsidRDefault="005B1AC0">
      <w:pPr>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依据京财公检法指[2021]956号《北京市财政局关于批复北京市</w:t>
      </w:r>
      <w:r>
        <w:rPr>
          <w:rFonts w:ascii="仿宋_GB2312" w:eastAsia="仿宋_GB2312" w:hAnsi="仿宋" w:cs="Times New Roman" w:hint="eastAsia"/>
          <w:kern w:val="0"/>
          <w:sz w:val="28"/>
          <w:szCs w:val="28"/>
          <w:lang w:bidi="en-US"/>
        </w:rPr>
        <w:lastRenderedPageBreak/>
        <w:t>延庆区人民法院2021年预算的函》，年初预算批复项目资金910,000.00元，实际到位资金910,000.00元。</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（2）使用情况</w:t>
      </w:r>
    </w:p>
    <w:p w:rsidR="00A34C52" w:rsidRDefault="005B1AC0">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截至2021年12月31日，依据延庆</w:t>
      </w:r>
      <w:r>
        <w:rPr>
          <w:rFonts w:ascii="仿宋_GB2312" w:eastAsia="仿宋_GB2312" w:hAnsi="仿宋" w:cs="Times New Roman"/>
          <w:kern w:val="0"/>
          <w:sz w:val="28"/>
          <w:szCs w:val="28"/>
          <w:lang w:bidi="en-US"/>
        </w:rPr>
        <w:t>区法院</w:t>
      </w:r>
      <w:r>
        <w:rPr>
          <w:rFonts w:ascii="仿宋_GB2312" w:eastAsia="仿宋_GB2312" w:hAnsi="仿宋" w:cs="Times New Roman" w:hint="eastAsia"/>
          <w:kern w:val="0"/>
          <w:sz w:val="28"/>
          <w:szCs w:val="28"/>
          <w:lang w:bidi="en-US"/>
        </w:rPr>
        <w:t>相关合同及资金审批流程，已实际支付资金908,000.00元，结余2,000.00元，预算资金执行率为99.78%。</w:t>
      </w:r>
    </w:p>
    <w:p w:rsidR="00A34C52" w:rsidRDefault="005B1AC0">
      <w:pPr>
        <w:numPr>
          <w:ilvl w:val="0"/>
          <w:numId w:val="2"/>
        </w:numPr>
        <w:spacing w:line="560" w:lineRule="exact"/>
        <w:outlineLvl w:val="1"/>
        <w:rPr>
          <w:rFonts w:ascii="楷体_GB2312" w:eastAsia="楷体_GB2312" w:hAnsi="楷体" w:cs="仿宋_GB2312"/>
          <w:bCs/>
          <w:sz w:val="32"/>
          <w:szCs w:val="32"/>
        </w:rPr>
      </w:pPr>
      <w:bookmarkStart w:id="19" w:name="_Toc20164"/>
      <w:bookmarkStart w:id="20" w:name="_Toc11266"/>
      <w:bookmarkStart w:id="21" w:name="_Toc27184"/>
      <w:bookmarkStart w:id="22" w:name="_Toc77203343"/>
      <w:bookmarkStart w:id="23" w:name="_Toc23047"/>
      <w:r>
        <w:rPr>
          <w:rFonts w:ascii="楷体_GB2312" w:eastAsia="楷体_GB2312" w:hAnsi="楷体" w:cs="仿宋_GB2312" w:hint="eastAsia"/>
          <w:bCs/>
          <w:sz w:val="32"/>
          <w:szCs w:val="32"/>
        </w:rPr>
        <w:t>项目绩效目标</w:t>
      </w:r>
      <w:bookmarkEnd w:id="19"/>
      <w:bookmarkEnd w:id="20"/>
      <w:bookmarkEnd w:id="21"/>
      <w:bookmarkEnd w:id="22"/>
      <w:bookmarkEnd w:id="23"/>
    </w:p>
    <w:p w:rsidR="00A34C52" w:rsidRDefault="005B1AC0">
      <w:pPr>
        <w:spacing w:line="560" w:lineRule="exact"/>
        <w:ind w:firstLineChars="200" w:firstLine="560"/>
        <w:outlineLvl w:val="2"/>
        <w:rPr>
          <w:rFonts w:ascii="仿宋_GB2312" w:eastAsia="仿宋_GB2312" w:hAnsi="仿宋_GB2312" w:cs="仿宋_GB2312"/>
          <w:bCs/>
          <w:sz w:val="28"/>
          <w:szCs w:val="28"/>
        </w:rPr>
      </w:pPr>
      <w:bookmarkStart w:id="24" w:name="_Toc23154"/>
      <w:bookmarkStart w:id="25" w:name="_Toc77203345"/>
      <w:bookmarkStart w:id="26" w:name="_Toc3189"/>
      <w:bookmarkStart w:id="27" w:name="_Toc12601"/>
      <w:bookmarkStart w:id="28" w:name="_Toc27840"/>
      <w:r>
        <w:rPr>
          <w:rFonts w:ascii="仿宋_GB2312" w:eastAsia="仿宋_GB2312" w:hAnsi="仿宋_GB2312" w:cs="仿宋_GB2312" w:hint="eastAsia"/>
          <w:bCs/>
          <w:sz w:val="28"/>
          <w:szCs w:val="28"/>
        </w:rPr>
        <w:t>1</w:t>
      </w:r>
      <w:r>
        <w:rPr>
          <w:rFonts w:ascii="仿宋_GB2312" w:eastAsia="仿宋_GB2312" w:hAnsi="仿宋_GB2312" w:cs="仿宋_GB2312" w:hint="eastAsia"/>
          <w:kern w:val="44"/>
          <w:sz w:val="28"/>
          <w:szCs w:val="28"/>
        </w:rPr>
        <w:t>.</w:t>
      </w:r>
      <w:r>
        <w:rPr>
          <w:rFonts w:ascii="仿宋_GB2312" w:eastAsia="仿宋_GB2312" w:hAnsi="仿宋_GB2312" w:cs="仿宋_GB2312" w:hint="eastAsia"/>
          <w:bCs/>
          <w:sz w:val="28"/>
          <w:szCs w:val="28"/>
        </w:rPr>
        <w:t>总体目标</w:t>
      </w:r>
      <w:bookmarkEnd w:id="24"/>
      <w:bookmarkEnd w:id="25"/>
      <w:bookmarkEnd w:id="26"/>
      <w:bookmarkEnd w:id="27"/>
      <w:bookmarkEnd w:id="28"/>
    </w:p>
    <w:p w:rsidR="00A34C52" w:rsidRDefault="005B1AC0">
      <w:pPr>
        <w:pStyle w:val="af2"/>
        <w:ind w:firstLineChars="200" w:firstLine="560"/>
        <w:jc w:val="left"/>
        <w:rPr>
          <w:rFonts w:ascii="仿宋_GB2312" w:hAnsi="仿宋"/>
          <w:kern w:val="0"/>
          <w:sz w:val="28"/>
          <w:szCs w:val="28"/>
          <w:lang w:eastAsia="zh-CN" w:bidi="en-US"/>
        </w:rPr>
      </w:pPr>
      <w:r>
        <w:rPr>
          <w:rFonts w:ascii="仿宋_GB2312" w:hAnsi="仿宋" w:hint="eastAsia"/>
          <w:kern w:val="0"/>
          <w:sz w:val="28"/>
          <w:szCs w:val="28"/>
          <w:lang w:eastAsia="zh-CN" w:bidi="en-US"/>
        </w:rPr>
        <w:t>在完善信息化建设的基础上，通过科学规范的信息化运维服务，提高延庆区法院各项信息化系统的稳定性和安全性，保障全部信息系统的正常运行，为法院各项工作提供高效、可靠、优质的信息技术支持与服务。</w:t>
      </w:r>
    </w:p>
    <w:p w:rsidR="00A34C52" w:rsidRDefault="005B1AC0">
      <w:pPr>
        <w:pStyle w:val="af2"/>
        <w:ind w:firstLineChars="200" w:firstLine="560"/>
        <w:jc w:val="left"/>
        <w:rPr>
          <w:rFonts w:ascii="仿宋_GB2312" w:hAnsi="仿宋"/>
          <w:kern w:val="0"/>
          <w:sz w:val="28"/>
          <w:szCs w:val="28"/>
          <w:lang w:eastAsia="zh-CN" w:bidi="en-US"/>
        </w:rPr>
      </w:pPr>
      <w:r>
        <w:rPr>
          <w:rFonts w:ascii="仿宋_GB2312" w:hAnsi="仿宋" w:hint="eastAsia"/>
          <w:kern w:val="0"/>
          <w:sz w:val="28"/>
          <w:szCs w:val="28"/>
          <w:lang w:eastAsia="zh-CN" w:bidi="en-US"/>
        </w:rPr>
        <w:t>2</w:t>
      </w:r>
      <w:r>
        <w:rPr>
          <w:rFonts w:ascii="仿宋_GB2312" w:hAnsi="仿宋_GB2312" w:cs="仿宋_GB2312" w:hint="eastAsia"/>
          <w:kern w:val="44"/>
          <w:sz w:val="28"/>
          <w:szCs w:val="28"/>
          <w:lang w:eastAsia="zh-CN"/>
        </w:rPr>
        <w:t>.</w:t>
      </w:r>
      <w:r>
        <w:rPr>
          <w:rFonts w:ascii="仿宋_GB2312" w:hAnsi="仿宋" w:hint="eastAsia"/>
          <w:kern w:val="0"/>
          <w:sz w:val="28"/>
          <w:szCs w:val="28"/>
          <w:lang w:eastAsia="zh-CN" w:bidi="en-US"/>
        </w:rPr>
        <w:t>年度目标</w:t>
      </w:r>
    </w:p>
    <w:p w:rsidR="00A34C52" w:rsidRDefault="005B1AC0">
      <w:pPr>
        <w:pStyle w:val="af2"/>
        <w:ind w:firstLineChars="200" w:firstLine="560"/>
        <w:jc w:val="left"/>
        <w:rPr>
          <w:rFonts w:ascii="仿宋_GB2312" w:hAnsi="仿宋"/>
          <w:kern w:val="0"/>
          <w:sz w:val="32"/>
          <w:szCs w:val="32"/>
          <w:lang w:eastAsia="zh-CN" w:bidi="en-US"/>
        </w:rPr>
      </w:pPr>
      <w:r>
        <w:rPr>
          <w:rFonts w:ascii="仿宋_GB2312" w:hAnsi="仿宋" w:hint="eastAsia"/>
          <w:kern w:val="0"/>
          <w:sz w:val="28"/>
          <w:szCs w:val="28"/>
          <w:lang w:eastAsia="zh-CN" w:bidi="en-US"/>
        </w:rPr>
        <w:t>在本年度内完成信息化基础环境运维和信息安全系统运维工作。确保信息化相关软、硬件持续、稳定、安全运行，对网络信息内容实时监测，及时提供舆情预警、报告等服务。</w:t>
      </w:r>
    </w:p>
    <w:p w:rsidR="00A34C52" w:rsidRDefault="005B1AC0">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29" w:name="_Toc77203349"/>
      <w:bookmarkStart w:id="30" w:name="_Toc20080"/>
      <w:bookmarkStart w:id="31" w:name="_Toc26593"/>
      <w:bookmarkStart w:id="32" w:name="_Toc14759"/>
      <w:bookmarkStart w:id="33" w:name="_Toc10472"/>
      <w:bookmarkStart w:id="34" w:name="_Toc516663573"/>
      <w:bookmarkEnd w:id="17"/>
      <w:bookmarkEnd w:id="18"/>
      <w:r>
        <w:rPr>
          <w:rFonts w:ascii="黑体" w:eastAsia="黑体" w:hAnsi="黑体" w:cs="黑体" w:hint="eastAsia"/>
          <w:b w:val="0"/>
          <w:kern w:val="0"/>
          <w:sz w:val="32"/>
          <w:szCs w:val="32"/>
          <w:lang w:bidi="en-US"/>
        </w:rPr>
        <w:t>绩效评价工作</w:t>
      </w:r>
      <w:bookmarkEnd w:id="29"/>
      <w:bookmarkEnd w:id="30"/>
      <w:bookmarkEnd w:id="31"/>
      <w:bookmarkEnd w:id="32"/>
      <w:bookmarkEnd w:id="33"/>
      <w:r>
        <w:rPr>
          <w:rFonts w:ascii="黑体" w:eastAsia="黑体" w:hAnsi="黑体" w:cs="黑体" w:hint="eastAsia"/>
          <w:b w:val="0"/>
          <w:kern w:val="0"/>
          <w:sz w:val="32"/>
          <w:szCs w:val="32"/>
          <w:lang w:bidi="en-US"/>
        </w:rPr>
        <w:t>开展情况</w:t>
      </w:r>
    </w:p>
    <w:p w:rsidR="00BD0BCF" w:rsidRPr="00BD0BCF" w:rsidRDefault="00BD0BCF" w:rsidP="00BD0BCF">
      <w:pPr>
        <w:spacing w:line="520" w:lineRule="atLeast"/>
        <w:ind w:firstLineChars="200" w:firstLine="560"/>
        <w:rPr>
          <w:rFonts w:ascii="仿宋_GB2312" w:eastAsia="仿宋_GB2312" w:hAnsi="仿宋" w:cs="Times New Roman"/>
          <w:kern w:val="0"/>
          <w:sz w:val="32"/>
          <w:szCs w:val="32"/>
          <w:lang w:bidi="en-US"/>
        </w:rPr>
      </w:pPr>
      <w:r w:rsidRPr="00BD0BCF">
        <w:rPr>
          <w:rFonts w:ascii="仿宋_GB2312" w:eastAsia="仿宋_GB2312" w:hAnsi="宋体" w:hint="eastAsia"/>
          <w:sz w:val="28"/>
          <w:szCs w:val="28"/>
        </w:rPr>
        <w:t>为不断推进财政绩效管理科学化、精细化水平，增强各部门绩效观念和责任意识，提高财政资金使用效益，根据《北京市项目支出绩效评价管理办法》（京财绩效〔2020〕2146号）和《</w:t>
      </w:r>
      <w:r w:rsidRPr="00BD0BCF">
        <w:rPr>
          <w:rFonts w:ascii="仿宋_GB2312" w:eastAsia="仿宋_GB2312" w:hint="eastAsia"/>
          <w:sz w:val="28"/>
          <w:szCs w:val="28"/>
        </w:rPr>
        <w:t>北京市财政局关于开展2022年全面预算绩效管理工作的通知》（京财绩效〔2022〕669号）等文件要求</w:t>
      </w:r>
      <w:r w:rsidRPr="00BD0BCF">
        <w:rPr>
          <w:rFonts w:ascii="仿宋_GB2312" w:eastAsia="仿宋_GB2312" w:hAnsi="仿宋" w:cs="Times New Roman" w:hint="eastAsia"/>
          <w:kern w:val="0"/>
          <w:sz w:val="28"/>
          <w:szCs w:val="28"/>
          <w:lang w:bidi="en-US"/>
        </w:rPr>
        <w:t>，北京市延庆区人民法院成立了绩效评价工作组，</w:t>
      </w:r>
      <w:r w:rsidRPr="00BD0BCF">
        <w:rPr>
          <w:rFonts w:ascii="仿宋_GB2312" w:eastAsia="仿宋_GB2312" w:hAnsi="仿宋" w:cs="Times New Roman" w:hint="eastAsia"/>
          <w:kern w:val="0"/>
          <w:sz w:val="28"/>
          <w:szCs w:val="28"/>
          <w:lang w:bidi="en-US"/>
        </w:rPr>
        <w:lastRenderedPageBreak/>
        <w:t>于2022年5月对“2021年度北京市延庆区人民法院信息化运维费项目”（以下简称“项目”）开展了绩效评价。</w:t>
      </w:r>
    </w:p>
    <w:p w:rsidR="00A34C52" w:rsidRDefault="005B1AC0">
      <w:pPr>
        <w:numPr>
          <w:ilvl w:val="0"/>
          <w:numId w:val="3"/>
        </w:numPr>
        <w:spacing w:line="560" w:lineRule="exact"/>
        <w:outlineLvl w:val="1"/>
        <w:rPr>
          <w:rFonts w:ascii="楷体_GB2312" w:eastAsia="楷体_GB2312" w:hAnsi="楷体_GB2312" w:cs="楷体_GB2312"/>
          <w:bCs/>
          <w:sz w:val="32"/>
          <w:szCs w:val="32"/>
        </w:rPr>
      </w:pPr>
      <w:bookmarkStart w:id="35" w:name="_Toc26854"/>
      <w:bookmarkStart w:id="36" w:name="_Toc28297"/>
      <w:bookmarkStart w:id="37" w:name="_Toc77203350"/>
      <w:bookmarkStart w:id="38" w:name="_Toc21515"/>
      <w:bookmarkStart w:id="39" w:name="_Toc15183"/>
      <w:bookmarkEnd w:id="34"/>
      <w:r>
        <w:rPr>
          <w:rFonts w:ascii="楷体_GB2312" w:eastAsia="楷体_GB2312" w:hAnsi="楷体_GB2312" w:cs="楷体_GB2312" w:hint="eastAsia"/>
          <w:bCs/>
          <w:sz w:val="32"/>
          <w:szCs w:val="32"/>
        </w:rPr>
        <w:t>绩效评价方法</w:t>
      </w:r>
      <w:bookmarkEnd w:id="35"/>
      <w:bookmarkEnd w:id="36"/>
      <w:bookmarkEnd w:id="37"/>
      <w:bookmarkEnd w:id="38"/>
      <w:bookmarkEnd w:id="39"/>
    </w:p>
    <w:p w:rsidR="00A34C52" w:rsidRDefault="005B1AC0">
      <w:pPr>
        <w:ind w:firstLineChars="200" w:firstLine="560"/>
        <w:rPr>
          <w:rFonts w:ascii="仿宋_GB2312" w:eastAsia="仿宋_GB2312" w:hAnsi="仿宋" w:cs="Times New Roman"/>
          <w:kern w:val="0"/>
          <w:sz w:val="32"/>
          <w:szCs w:val="32"/>
          <w:lang w:bidi="en-US"/>
        </w:rPr>
      </w:pPr>
      <w:r>
        <w:rPr>
          <w:rFonts w:ascii="仿宋_GB2312" w:eastAsia="仿宋_GB2312" w:hAnsi="仿宋" w:cs="Times New Roman" w:hint="eastAsia"/>
          <w:kern w:val="0"/>
          <w:sz w:val="28"/>
          <w:szCs w:val="28"/>
          <w:lang w:bidi="en-US"/>
        </w:rPr>
        <w:t>本次评价运用成本效益法、比较法、因素分析法、调查评判法等方法，同时通过文献资料搜索、多因素分析来支撑评价的逻辑紧密性与客观性。本次评价坚持定量优先、定量与定性相结合的方式，遵循科学规范、公正公开、分级分类、绩效相关的基本原则。</w:t>
      </w:r>
    </w:p>
    <w:p w:rsidR="00A34C52" w:rsidRDefault="005B1AC0">
      <w:pPr>
        <w:pStyle w:val="af1"/>
        <w:numPr>
          <w:ilvl w:val="0"/>
          <w:numId w:val="4"/>
        </w:numPr>
        <w:spacing w:line="560" w:lineRule="exact"/>
        <w:ind w:firstLineChars="0"/>
        <w:outlineLvl w:val="2"/>
        <w:rPr>
          <w:rFonts w:ascii="楷体_GB2312" w:eastAsia="楷体_GB2312" w:hAnsi="楷体_GB2312" w:cs="楷体_GB2312"/>
          <w:bCs/>
          <w:sz w:val="32"/>
          <w:szCs w:val="32"/>
        </w:rPr>
      </w:pPr>
      <w:bookmarkStart w:id="40" w:name="_Toc168"/>
      <w:bookmarkStart w:id="41" w:name="_Toc77203351"/>
      <w:bookmarkStart w:id="42" w:name="_Toc15141"/>
      <w:bookmarkStart w:id="43" w:name="_Toc27040"/>
      <w:bookmarkStart w:id="44" w:name="_Toc516663575"/>
      <w:r>
        <w:rPr>
          <w:rFonts w:ascii="楷体_GB2312" w:eastAsia="楷体_GB2312" w:hAnsi="楷体_GB2312" w:cs="楷体_GB2312" w:hint="eastAsia"/>
          <w:bCs/>
          <w:sz w:val="32"/>
          <w:szCs w:val="32"/>
        </w:rPr>
        <w:t>指标体系设定</w:t>
      </w:r>
      <w:bookmarkEnd w:id="40"/>
      <w:bookmarkEnd w:id="41"/>
      <w:bookmarkEnd w:id="42"/>
      <w:bookmarkEnd w:id="43"/>
    </w:p>
    <w:p w:rsidR="00A34C52" w:rsidRDefault="005B1AC0">
      <w:pPr>
        <w:ind w:firstLine="64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本次绩效评价指标体系包括决策、过程、产出、效益4个一级指标。在各项指标权重设定方面，我们主要依据《北京市项目支出绩效评价管理办法》（京财绩效〔2020〕2146号）中体现绩效结果导向，更加注重产出和效益原则，产出、效益指标权重不低于60%，本项目产出、效益指标权重为70%。根据对各指标的重要性和影响力大小的理解给予相应的权重分值，并采取定性与定量分析相结合的方法分别记分。</w:t>
      </w:r>
    </w:p>
    <w:p w:rsidR="00A34C52" w:rsidRDefault="005B1AC0">
      <w:pPr>
        <w:pStyle w:val="a3"/>
        <w:ind w:firstLine="709"/>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1</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决策指标：主要评价项目立项依据、目标和资金情况。决策指标包括项目立项、绩效目标和资金投入3个二级指标，以及立项依据充分性、立项程序规范性、绩效目标合理性、绩效指标明确性、预算编制科学性和资金分配合理性</w:t>
      </w:r>
      <w:bookmarkStart w:id="45" w:name="_Hlk73315744"/>
      <w:r>
        <w:rPr>
          <w:rFonts w:ascii="仿宋_GB2312" w:eastAsia="仿宋_GB2312" w:hAnsi="仿宋" w:cs="Times New Roman" w:hint="eastAsia"/>
          <w:kern w:val="0"/>
          <w:sz w:val="28"/>
          <w:szCs w:val="28"/>
          <w:lang w:bidi="en-US"/>
        </w:rPr>
        <w:t>6个三级指标。</w:t>
      </w:r>
      <w:bookmarkEnd w:id="45"/>
      <w:r>
        <w:rPr>
          <w:rFonts w:ascii="仿宋_GB2312" w:eastAsia="仿宋_GB2312" w:hAnsi="仿宋" w:cs="Times New Roman" w:hint="eastAsia"/>
          <w:kern w:val="0"/>
          <w:sz w:val="28"/>
          <w:szCs w:val="28"/>
          <w:lang w:bidi="en-US"/>
        </w:rPr>
        <w:t>决策类指标权重共计10分。</w:t>
      </w:r>
    </w:p>
    <w:p w:rsidR="00A34C52" w:rsidRDefault="005B1AC0">
      <w:pPr>
        <w:pStyle w:val="a3"/>
        <w:ind w:firstLine="709"/>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2</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过程指标：主要评价项目资金在实施过程中的流程及监督管理情况。过程指标包括资金管理和组织实施2个二级指标，以及资金</w:t>
      </w:r>
      <w:r>
        <w:rPr>
          <w:rFonts w:ascii="仿宋_GB2312" w:eastAsia="仿宋_GB2312" w:hAnsi="仿宋" w:cs="Times New Roman" w:hint="eastAsia"/>
          <w:kern w:val="0"/>
          <w:sz w:val="28"/>
          <w:szCs w:val="28"/>
          <w:lang w:bidi="en-US"/>
        </w:rPr>
        <w:lastRenderedPageBreak/>
        <w:t>到位率、预算执行率、资金使用合规性、管理制度健全性、制度执行有效性和实施方案有效性6个三级指标。过程类指标权重共计20分。</w:t>
      </w:r>
    </w:p>
    <w:p w:rsidR="00A34C52" w:rsidRDefault="005B1AC0" w:rsidP="006A1AE6">
      <w:pPr>
        <w:pStyle w:val="a3"/>
        <w:ind w:firstLineChars="131" w:firstLine="367"/>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 xml:space="preserve"> 3</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产出指标：主要评价项目实施的完成情况。产出指标均包括产出数量、产出质量、产出时效、产出成本4个二级指标，以及实际完成率、质量达标率、完成及时性、成本节约率4个三级指标。产出类指标权重共计40分。</w:t>
      </w:r>
    </w:p>
    <w:p w:rsidR="00A34C52" w:rsidRDefault="005B1AC0" w:rsidP="006A1AE6">
      <w:pPr>
        <w:pStyle w:val="a3"/>
        <w:ind w:firstLineChars="177" w:firstLine="496"/>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4</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效益指标：主要评价项目实施所取得的效果。包括实施效益和满意度2个三级指标。实施效益从社会效益、经济效益、可持续影响、满意度4个方面进行评价。效益类指标权重共计30分。</w:t>
      </w:r>
    </w:p>
    <w:p w:rsidR="00A34C52" w:rsidRDefault="005B1AC0">
      <w:pPr>
        <w:pStyle w:val="af1"/>
        <w:numPr>
          <w:ilvl w:val="0"/>
          <w:numId w:val="4"/>
        </w:numPr>
        <w:spacing w:line="560" w:lineRule="exact"/>
        <w:ind w:firstLineChars="0"/>
        <w:outlineLvl w:val="2"/>
        <w:rPr>
          <w:rFonts w:ascii="楷体_GB2312" w:eastAsia="楷体_GB2312" w:hAnsi="楷体_GB2312" w:cs="楷体_GB2312"/>
          <w:bCs/>
          <w:sz w:val="32"/>
          <w:szCs w:val="32"/>
        </w:rPr>
      </w:pPr>
      <w:bookmarkStart w:id="46" w:name="_Toc22673"/>
      <w:bookmarkStart w:id="47" w:name="_Toc18090"/>
      <w:bookmarkStart w:id="48" w:name="_Toc1742"/>
      <w:bookmarkStart w:id="49" w:name="_Toc77203352"/>
      <w:r>
        <w:rPr>
          <w:rFonts w:ascii="楷体_GB2312" w:eastAsia="楷体_GB2312" w:hAnsi="楷体_GB2312" w:cs="楷体_GB2312" w:hint="eastAsia"/>
          <w:bCs/>
          <w:sz w:val="32"/>
          <w:szCs w:val="32"/>
        </w:rPr>
        <w:t>绩效评价工作过程</w:t>
      </w:r>
      <w:bookmarkEnd w:id="46"/>
      <w:bookmarkEnd w:id="47"/>
      <w:bookmarkEnd w:id="48"/>
      <w:bookmarkEnd w:id="49"/>
    </w:p>
    <w:p w:rsidR="00A34C52" w:rsidRDefault="005B1AC0">
      <w:pPr>
        <w:pStyle w:val="a3"/>
        <w:ind w:firstLine="567"/>
        <w:rPr>
          <w:rFonts w:ascii="仿宋_GB2312" w:eastAsia="仿宋_GB2312" w:hAnsi="仿宋" w:cs="Times New Roman"/>
          <w:kern w:val="0"/>
          <w:sz w:val="28"/>
          <w:szCs w:val="28"/>
          <w:lang w:bidi="en-US"/>
        </w:rPr>
      </w:pPr>
      <w:bookmarkStart w:id="50" w:name="_Toc5141"/>
      <w:bookmarkStart w:id="51" w:name="_Toc24877"/>
      <w:bookmarkStart w:id="52" w:name="_Toc27215"/>
      <w:r>
        <w:rPr>
          <w:rFonts w:ascii="仿宋_GB2312" w:eastAsia="仿宋_GB2312" w:hAnsi="仿宋" w:cs="Times New Roman" w:hint="eastAsia"/>
          <w:kern w:val="0"/>
          <w:sz w:val="28"/>
          <w:szCs w:val="28"/>
          <w:lang w:bidi="en-US"/>
        </w:rPr>
        <w:t>1</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前期调研</w:t>
      </w:r>
      <w:bookmarkEnd w:id="50"/>
      <w:bookmarkEnd w:id="51"/>
      <w:bookmarkEnd w:id="52"/>
      <w:r>
        <w:rPr>
          <w:rFonts w:ascii="仿宋_GB2312" w:eastAsia="仿宋_GB2312" w:hAnsi="仿宋" w:cs="Times New Roman" w:hint="eastAsia"/>
          <w:kern w:val="0"/>
          <w:sz w:val="28"/>
          <w:szCs w:val="28"/>
          <w:lang w:bidi="en-US"/>
        </w:rPr>
        <w:t>。评价组与项目实施单位进行沟通，并搜集相关政策文件、项目资料以及相关财务收支凭证、合同、管理制度等，进行分析、评估。</w:t>
      </w:r>
    </w:p>
    <w:p w:rsidR="00A34C52" w:rsidRDefault="005B1AC0">
      <w:pPr>
        <w:pStyle w:val="a3"/>
        <w:ind w:firstLine="567"/>
        <w:rPr>
          <w:rFonts w:ascii="仿宋_GB2312" w:eastAsia="仿宋_GB2312" w:hAnsi="仿宋" w:cs="Times New Roman"/>
          <w:kern w:val="0"/>
          <w:sz w:val="28"/>
          <w:szCs w:val="28"/>
          <w:lang w:bidi="en-US"/>
        </w:rPr>
      </w:pPr>
      <w:bookmarkStart w:id="53" w:name="_Toc2438"/>
      <w:bookmarkStart w:id="54" w:name="_Toc28449"/>
      <w:bookmarkStart w:id="55" w:name="_Toc10687"/>
      <w:r>
        <w:rPr>
          <w:rFonts w:ascii="仿宋_GB2312" w:eastAsia="仿宋_GB2312" w:hAnsi="仿宋" w:cs="Times New Roman" w:hint="eastAsia"/>
          <w:kern w:val="0"/>
          <w:sz w:val="28"/>
          <w:szCs w:val="28"/>
          <w:lang w:bidi="en-US"/>
        </w:rPr>
        <w:t>2</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方案制定</w:t>
      </w:r>
      <w:bookmarkEnd w:id="53"/>
      <w:bookmarkEnd w:id="54"/>
      <w:bookmarkEnd w:id="55"/>
      <w:r>
        <w:rPr>
          <w:rFonts w:ascii="仿宋_GB2312" w:eastAsia="仿宋_GB2312" w:hAnsi="仿宋" w:cs="Times New Roman" w:hint="eastAsia"/>
          <w:kern w:val="0"/>
          <w:sz w:val="28"/>
          <w:szCs w:val="28"/>
          <w:lang w:bidi="en-US"/>
        </w:rPr>
        <w:t>。了解年度项目实施内容、实施流程，根据项目资金实际情况和绩效管理要求制定工作方案。</w:t>
      </w:r>
    </w:p>
    <w:p w:rsidR="00A34C52" w:rsidRDefault="005B1AC0">
      <w:pPr>
        <w:pStyle w:val="a3"/>
        <w:ind w:firstLine="567"/>
        <w:rPr>
          <w:rFonts w:ascii="仿宋_GB2312" w:eastAsia="仿宋_GB2312" w:hAnsi="仿宋" w:cs="Times New Roman"/>
          <w:kern w:val="0"/>
          <w:sz w:val="28"/>
          <w:szCs w:val="28"/>
          <w:lang w:bidi="en-US"/>
        </w:rPr>
      </w:pPr>
      <w:bookmarkStart w:id="56" w:name="_Toc26043"/>
      <w:bookmarkStart w:id="57" w:name="_Toc20872"/>
      <w:bookmarkStart w:id="58" w:name="_Toc16449"/>
      <w:r>
        <w:rPr>
          <w:rFonts w:ascii="仿宋_GB2312" w:eastAsia="仿宋_GB2312" w:hAnsi="仿宋" w:cs="Times New Roman" w:hint="eastAsia"/>
          <w:kern w:val="0"/>
          <w:sz w:val="28"/>
          <w:szCs w:val="28"/>
          <w:lang w:bidi="en-US"/>
        </w:rPr>
        <w:t>3</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数据采集</w:t>
      </w:r>
      <w:bookmarkEnd w:id="56"/>
      <w:bookmarkEnd w:id="57"/>
      <w:bookmarkEnd w:id="58"/>
      <w:r>
        <w:rPr>
          <w:rFonts w:ascii="仿宋_GB2312" w:eastAsia="仿宋_GB2312" w:hAnsi="仿宋" w:cs="Times New Roman" w:hint="eastAsia"/>
          <w:kern w:val="0"/>
          <w:sz w:val="28"/>
          <w:szCs w:val="28"/>
          <w:lang w:bidi="en-US"/>
        </w:rPr>
        <w:t>。按照现场评价通知中的现场调研时间安排，到项目单位进行调研访谈、核查资料和分析评价。</w:t>
      </w:r>
    </w:p>
    <w:p w:rsidR="00A34C52" w:rsidRDefault="005B1AC0">
      <w:pPr>
        <w:pStyle w:val="a3"/>
        <w:spacing w:after="0" w:line="240" w:lineRule="auto"/>
        <w:ind w:firstLineChars="200" w:firstLine="560"/>
        <w:jc w:val="both"/>
        <w:outlineLvl w:val="3"/>
        <w:rPr>
          <w:rFonts w:ascii="仿宋_GB2312" w:eastAsia="仿宋_GB2312" w:hAnsi="仿宋" w:cs="Times New Roman"/>
          <w:b/>
          <w:bCs/>
          <w:kern w:val="0"/>
          <w:sz w:val="28"/>
          <w:szCs w:val="28"/>
          <w:lang w:bidi="en-US"/>
        </w:rPr>
      </w:pPr>
      <w:bookmarkStart w:id="59" w:name="_Toc24237"/>
      <w:bookmarkStart w:id="60" w:name="_Toc4349"/>
      <w:bookmarkStart w:id="61" w:name="_Toc6779"/>
      <w:r>
        <w:rPr>
          <w:rFonts w:ascii="仿宋_GB2312" w:eastAsia="仿宋_GB2312" w:hAnsi="仿宋" w:cs="Times New Roman" w:hint="eastAsia"/>
          <w:kern w:val="0"/>
          <w:sz w:val="28"/>
          <w:szCs w:val="28"/>
          <w:lang w:bidi="en-US"/>
        </w:rPr>
        <w:t>4</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召开专家评价会</w:t>
      </w:r>
      <w:r>
        <w:rPr>
          <w:rFonts w:ascii="仿宋_GB2312" w:eastAsia="仿宋_GB2312" w:hAnsi="仿宋" w:cs="Times New Roman" w:hint="eastAsia"/>
          <w:b/>
          <w:bCs/>
          <w:kern w:val="0"/>
          <w:sz w:val="28"/>
          <w:szCs w:val="28"/>
          <w:lang w:bidi="en-US"/>
        </w:rPr>
        <w:t>。</w:t>
      </w:r>
      <w:r>
        <w:rPr>
          <w:rFonts w:ascii="仿宋_GB2312" w:eastAsia="仿宋_GB2312" w:hAnsi="仿宋" w:cs="Times New Roman" w:hint="eastAsia"/>
          <w:kern w:val="0"/>
          <w:sz w:val="28"/>
          <w:szCs w:val="28"/>
          <w:lang w:bidi="en-US"/>
        </w:rPr>
        <w:t>遴选业务专家、管理专家和财务专家进行分析评价，向专家提供数据采集资料，组织召开专家评价会，形成专家意见。</w:t>
      </w:r>
    </w:p>
    <w:p w:rsidR="00A34C52" w:rsidRDefault="005B1AC0">
      <w:pPr>
        <w:pStyle w:val="a3"/>
        <w:ind w:firstLineChars="200" w:firstLine="560"/>
        <w:rPr>
          <w:rFonts w:ascii="仿宋_GB2312" w:eastAsia="仿宋_GB2312" w:hAnsi="仿宋" w:cs="Times New Roman"/>
          <w:kern w:val="0"/>
          <w:sz w:val="32"/>
          <w:szCs w:val="32"/>
          <w:lang w:bidi="en-US"/>
        </w:rPr>
      </w:pPr>
      <w:r>
        <w:rPr>
          <w:rFonts w:ascii="仿宋_GB2312" w:eastAsia="仿宋_GB2312" w:hAnsi="仿宋" w:cs="Times New Roman" w:hint="eastAsia"/>
          <w:kern w:val="0"/>
          <w:sz w:val="28"/>
          <w:szCs w:val="28"/>
          <w:lang w:bidi="en-US"/>
        </w:rPr>
        <w:lastRenderedPageBreak/>
        <w:t>5</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综合分析及报告撰写</w:t>
      </w:r>
      <w:bookmarkEnd w:id="59"/>
      <w:bookmarkEnd w:id="60"/>
      <w:bookmarkEnd w:id="61"/>
      <w:r>
        <w:rPr>
          <w:rFonts w:ascii="仿宋_GB2312" w:eastAsia="仿宋_GB2312" w:hAnsi="仿宋" w:cs="Times New Roman" w:hint="eastAsia"/>
          <w:kern w:val="0"/>
          <w:sz w:val="28"/>
          <w:szCs w:val="28"/>
          <w:lang w:bidi="en-US"/>
        </w:rPr>
        <w:t>。</w:t>
      </w:r>
    </w:p>
    <w:p w:rsidR="00A34C52" w:rsidRDefault="005B1AC0">
      <w:pPr>
        <w:pStyle w:val="1"/>
        <w:keepNext w:val="0"/>
        <w:keepLines w:val="0"/>
        <w:widowControl/>
        <w:numPr>
          <w:ilvl w:val="0"/>
          <w:numId w:val="1"/>
        </w:numPr>
        <w:spacing w:before="0" w:after="0" w:line="520" w:lineRule="atLeast"/>
        <w:ind w:firstLine="709"/>
        <w:contextualSpacing/>
        <w:jc w:val="left"/>
        <w:rPr>
          <w:rFonts w:ascii="黑体" w:eastAsia="黑体" w:hAnsi="黑体" w:cs="黑体"/>
          <w:b w:val="0"/>
          <w:kern w:val="0"/>
          <w:sz w:val="32"/>
          <w:szCs w:val="32"/>
          <w:lang w:bidi="en-US"/>
        </w:rPr>
      </w:pPr>
      <w:bookmarkStart w:id="62" w:name="_Toc77203353"/>
      <w:bookmarkStart w:id="63" w:name="_Toc1216"/>
      <w:bookmarkStart w:id="64" w:name="_Toc25668"/>
      <w:bookmarkStart w:id="65" w:name="_Toc9623"/>
      <w:bookmarkStart w:id="66" w:name="_Toc13026"/>
      <w:bookmarkStart w:id="67" w:name="_Toc516663576"/>
      <w:bookmarkEnd w:id="44"/>
      <w:r>
        <w:rPr>
          <w:rFonts w:ascii="黑体" w:eastAsia="黑体" w:hAnsi="黑体" w:cs="黑体" w:hint="eastAsia"/>
          <w:b w:val="0"/>
          <w:kern w:val="0"/>
          <w:sz w:val="32"/>
          <w:szCs w:val="32"/>
          <w:lang w:bidi="en-US"/>
        </w:rPr>
        <w:t>综合评价情况及评价结论</w:t>
      </w:r>
    </w:p>
    <w:p w:rsidR="00A34C52" w:rsidRDefault="005B1AC0" w:rsidP="006A1AE6">
      <w:pPr>
        <w:spacing w:line="520" w:lineRule="atLeast"/>
        <w:ind w:firstLineChars="221" w:firstLine="619"/>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经综合评价，本项目绩效评价得分85.08分。参考财政部《关于印发&lt;项目支出绩效评价管理办法&gt;的通知》（财预〔2020〕10号）文件的评价标准，项目评分90（含）-100分为优、80（含）-90分为良、60（含）-80分为中、60分以下为差，该项目综合绩效评价级别为 “良”。本项目得分情况汇总表如下：</w:t>
      </w:r>
    </w:p>
    <w:tbl>
      <w:tblPr>
        <w:tblW w:w="5000" w:type="pct"/>
        <w:tblLook w:val="04A0"/>
      </w:tblPr>
      <w:tblGrid>
        <w:gridCol w:w="3227"/>
        <w:gridCol w:w="1537"/>
        <w:gridCol w:w="1750"/>
        <w:gridCol w:w="2008"/>
      </w:tblGrid>
      <w:tr w:rsidR="00A34C52" w:rsidTr="00DC43ED">
        <w:trPr>
          <w:trHeight w:val="348"/>
        </w:trPr>
        <w:tc>
          <w:tcPr>
            <w:tcW w:w="1893" w:type="pct"/>
            <w:tcBorders>
              <w:top w:val="single" w:sz="12" w:space="0" w:color="auto"/>
              <w:left w:val="nil"/>
              <w:bottom w:val="single" w:sz="8" w:space="0" w:color="auto"/>
              <w:right w:val="dotted" w:sz="4"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一级指标</w:t>
            </w:r>
          </w:p>
        </w:tc>
        <w:tc>
          <w:tcPr>
            <w:tcW w:w="902" w:type="pct"/>
            <w:tcBorders>
              <w:top w:val="single" w:sz="12" w:space="0" w:color="auto"/>
              <w:left w:val="nil"/>
              <w:bottom w:val="single" w:sz="8" w:space="0" w:color="auto"/>
              <w:right w:val="dotted" w:sz="4"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w:t>
            </w:r>
          </w:p>
        </w:tc>
        <w:tc>
          <w:tcPr>
            <w:tcW w:w="1027" w:type="pct"/>
            <w:tcBorders>
              <w:top w:val="single" w:sz="12" w:space="0" w:color="auto"/>
              <w:left w:val="nil"/>
              <w:bottom w:val="single" w:sz="8" w:space="0" w:color="auto"/>
              <w:right w:val="dotted" w:sz="4"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178" w:type="pct"/>
            <w:tcBorders>
              <w:top w:val="single" w:sz="12" w:space="0" w:color="auto"/>
              <w:left w:val="nil"/>
              <w:bottom w:val="single" w:sz="8" w:space="0" w:color="auto"/>
              <w:right w:val="nil"/>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A34C52" w:rsidTr="00DC43ED">
        <w:trPr>
          <w:trHeight w:val="285"/>
        </w:trPr>
        <w:tc>
          <w:tcPr>
            <w:tcW w:w="1893"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决策（10%）</w:t>
            </w:r>
          </w:p>
        </w:tc>
        <w:tc>
          <w:tcPr>
            <w:tcW w:w="902"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w:t>
            </w:r>
          </w:p>
        </w:tc>
        <w:tc>
          <w:tcPr>
            <w:tcW w:w="1027"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8.40</w:t>
            </w:r>
          </w:p>
        </w:tc>
        <w:tc>
          <w:tcPr>
            <w:tcW w:w="1178" w:type="pct"/>
            <w:tcBorders>
              <w:top w:val="nil"/>
              <w:left w:val="nil"/>
              <w:bottom w:val="dotted" w:sz="4" w:space="0" w:color="auto"/>
              <w:right w:val="nil"/>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84.00%</w:t>
            </w:r>
          </w:p>
        </w:tc>
      </w:tr>
      <w:tr w:rsidR="00A34C52" w:rsidTr="00DC43ED">
        <w:trPr>
          <w:trHeight w:val="285"/>
        </w:trPr>
        <w:tc>
          <w:tcPr>
            <w:tcW w:w="1893"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过程（20%）</w:t>
            </w:r>
          </w:p>
        </w:tc>
        <w:tc>
          <w:tcPr>
            <w:tcW w:w="902"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20</w:t>
            </w:r>
          </w:p>
        </w:tc>
        <w:tc>
          <w:tcPr>
            <w:tcW w:w="1027"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17.06</w:t>
            </w:r>
          </w:p>
        </w:tc>
        <w:tc>
          <w:tcPr>
            <w:tcW w:w="1178" w:type="pct"/>
            <w:tcBorders>
              <w:top w:val="nil"/>
              <w:left w:val="nil"/>
              <w:bottom w:val="dotted" w:sz="4" w:space="0" w:color="auto"/>
              <w:right w:val="nil"/>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85.30%</w:t>
            </w:r>
          </w:p>
        </w:tc>
      </w:tr>
      <w:tr w:rsidR="00A34C52" w:rsidTr="00DC43ED">
        <w:trPr>
          <w:trHeight w:val="285"/>
        </w:trPr>
        <w:tc>
          <w:tcPr>
            <w:tcW w:w="1893"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产出（40%）</w:t>
            </w:r>
          </w:p>
        </w:tc>
        <w:tc>
          <w:tcPr>
            <w:tcW w:w="902"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40</w:t>
            </w:r>
          </w:p>
        </w:tc>
        <w:tc>
          <w:tcPr>
            <w:tcW w:w="1027"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36.16</w:t>
            </w:r>
          </w:p>
        </w:tc>
        <w:tc>
          <w:tcPr>
            <w:tcW w:w="1178" w:type="pct"/>
            <w:tcBorders>
              <w:top w:val="nil"/>
              <w:left w:val="nil"/>
              <w:bottom w:val="dotted" w:sz="4" w:space="0" w:color="auto"/>
              <w:right w:val="nil"/>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90.40%</w:t>
            </w:r>
          </w:p>
        </w:tc>
      </w:tr>
      <w:tr w:rsidR="00A34C52" w:rsidTr="00DC43ED">
        <w:trPr>
          <w:trHeight w:val="285"/>
        </w:trPr>
        <w:tc>
          <w:tcPr>
            <w:tcW w:w="1893"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效益（30%）</w:t>
            </w:r>
          </w:p>
        </w:tc>
        <w:tc>
          <w:tcPr>
            <w:tcW w:w="902"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30</w:t>
            </w:r>
          </w:p>
        </w:tc>
        <w:tc>
          <w:tcPr>
            <w:tcW w:w="1027" w:type="pct"/>
            <w:tcBorders>
              <w:top w:val="nil"/>
              <w:left w:val="nil"/>
              <w:bottom w:val="dotted" w:sz="4" w:space="0" w:color="auto"/>
              <w:right w:val="dotted" w:sz="4" w:space="0" w:color="auto"/>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23.46</w:t>
            </w:r>
          </w:p>
        </w:tc>
        <w:tc>
          <w:tcPr>
            <w:tcW w:w="1178" w:type="pct"/>
            <w:tcBorders>
              <w:top w:val="nil"/>
              <w:left w:val="nil"/>
              <w:bottom w:val="dotted" w:sz="4" w:space="0" w:color="auto"/>
              <w:right w:val="nil"/>
            </w:tcBorders>
            <w:shd w:val="clear" w:color="auto" w:fill="auto"/>
            <w:noWrap/>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78.20%</w:t>
            </w:r>
          </w:p>
        </w:tc>
      </w:tr>
      <w:tr w:rsidR="00A34C52" w:rsidTr="00DC43ED">
        <w:trPr>
          <w:trHeight w:val="300"/>
        </w:trPr>
        <w:tc>
          <w:tcPr>
            <w:tcW w:w="1893" w:type="pct"/>
            <w:tcBorders>
              <w:top w:val="nil"/>
              <w:left w:val="nil"/>
              <w:bottom w:val="single" w:sz="12"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合  计</w:t>
            </w:r>
          </w:p>
        </w:tc>
        <w:tc>
          <w:tcPr>
            <w:tcW w:w="902" w:type="pct"/>
            <w:tcBorders>
              <w:top w:val="nil"/>
              <w:left w:val="nil"/>
              <w:bottom w:val="single" w:sz="12" w:space="0" w:color="auto"/>
              <w:right w:val="dotted" w:sz="4" w:space="0" w:color="auto"/>
            </w:tcBorders>
            <w:shd w:val="clear" w:color="auto" w:fill="auto"/>
            <w:noWrap/>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100</w:t>
            </w:r>
          </w:p>
        </w:tc>
        <w:tc>
          <w:tcPr>
            <w:tcW w:w="1027" w:type="pct"/>
            <w:tcBorders>
              <w:top w:val="nil"/>
              <w:left w:val="nil"/>
              <w:bottom w:val="single" w:sz="12" w:space="0" w:color="auto"/>
              <w:right w:val="dotted" w:sz="4" w:space="0" w:color="auto"/>
            </w:tcBorders>
            <w:shd w:val="clear" w:color="auto" w:fill="auto"/>
            <w:noWrap/>
            <w:vAlign w:val="center"/>
          </w:tcPr>
          <w:p w:rsidR="00A34C52" w:rsidRDefault="005B1AC0">
            <w:pPr>
              <w:widowControl/>
              <w:jc w:val="center"/>
              <w:textAlignment w:val="center"/>
              <w:rPr>
                <w:rFonts w:ascii="仿宋" w:eastAsia="仿宋" w:hAnsi="仿宋" w:cs="仿宋"/>
                <w:b/>
                <w:color w:val="000000"/>
                <w:kern w:val="0"/>
                <w:sz w:val="24"/>
                <w:szCs w:val="24"/>
              </w:rPr>
            </w:pPr>
            <w:r>
              <w:rPr>
                <w:rFonts w:ascii="仿宋" w:eastAsia="仿宋" w:hAnsi="仿宋" w:cs="仿宋" w:hint="eastAsia"/>
                <w:b/>
                <w:bCs/>
                <w:color w:val="000000"/>
                <w:kern w:val="0"/>
                <w:sz w:val="24"/>
                <w:szCs w:val="24"/>
              </w:rPr>
              <w:t>85.08</w:t>
            </w:r>
          </w:p>
        </w:tc>
        <w:tc>
          <w:tcPr>
            <w:tcW w:w="1178" w:type="pct"/>
            <w:tcBorders>
              <w:top w:val="nil"/>
              <w:left w:val="nil"/>
              <w:bottom w:val="single" w:sz="12" w:space="0" w:color="auto"/>
              <w:right w:val="nil"/>
            </w:tcBorders>
            <w:shd w:val="clear" w:color="auto" w:fill="auto"/>
            <w:noWrap/>
            <w:vAlign w:val="center"/>
          </w:tcPr>
          <w:p w:rsidR="00A34C52" w:rsidRDefault="005B1AC0">
            <w:pPr>
              <w:widowControl/>
              <w:jc w:val="center"/>
              <w:textAlignment w:val="center"/>
              <w:rPr>
                <w:rFonts w:ascii="仿宋" w:eastAsia="仿宋" w:hAnsi="仿宋" w:cs="仿宋"/>
                <w:b/>
                <w:color w:val="000000"/>
                <w:kern w:val="0"/>
                <w:sz w:val="24"/>
                <w:szCs w:val="24"/>
              </w:rPr>
            </w:pPr>
            <w:r>
              <w:rPr>
                <w:rFonts w:ascii="仿宋" w:eastAsia="仿宋" w:hAnsi="仿宋" w:cs="仿宋" w:hint="eastAsia"/>
                <w:b/>
                <w:bCs/>
                <w:color w:val="000000"/>
                <w:kern w:val="0"/>
                <w:sz w:val="24"/>
                <w:szCs w:val="24"/>
              </w:rPr>
              <w:t>85.08%</w:t>
            </w:r>
          </w:p>
        </w:tc>
      </w:tr>
    </w:tbl>
    <w:p w:rsidR="00A34C52" w:rsidRDefault="00A34C52">
      <w:pPr>
        <w:rPr>
          <w:rFonts w:hint="eastAsia"/>
        </w:rPr>
      </w:pPr>
    </w:p>
    <w:p w:rsidR="00A34C52" w:rsidRDefault="005B1AC0">
      <w:pPr>
        <w:pStyle w:val="1"/>
        <w:keepNext w:val="0"/>
        <w:keepLines w:val="0"/>
        <w:widowControl/>
        <w:numPr>
          <w:ilvl w:val="0"/>
          <w:numId w:val="1"/>
        </w:numPr>
        <w:spacing w:before="0" w:after="0" w:line="520" w:lineRule="atLeast"/>
        <w:ind w:firstLine="709"/>
        <w:contextualSpacing/>
        <w:jc w:val="left"/>
        <w:rPr>
          <w:rFonts w:ascii="黑体" w:eastAsia="黑体" w:hAnsi="黑体" w:cs="黑体"/>
          <w:b w:val="0"/>
          <w:kern w:val="0"/>
          <w:sz w:val="32"/>
          <w:szCs w:val="32"/>
          <w:lang w:bidi="en-US"/>
        </w:rPr>
      </w:pPr>
      <w:r>
        <w:rPr>
          <w:rFonts w:ascii="黑体" w:eastAsia="黑体" w:hAnsi="黑体" w:cs="黑体" w:hint="eastAsia"/>
          <w:b w:val="0"/>
          <w:kern w:val="0"/>
          <w:sz w:val="32"/>
          <w:szCs w:val="32"/>
          <w:lang w:bidi="en-US"/>
        </w:rPr>
        <w:t>绩效评价指标分析</w:t>
      </w:r>
      <w:bookmarkEnd w:id="62"/>
      <w:bookmarkEnd w:id="63"/>
      <w:bookmarkEnd w:id="64"/>
      <w:bookmarkEnd w:id="65"/>
      <w:bookmarkEnd w:id="66"/>
    </w:p>
    <w:p w:rsidR="00A34C52" w:rsidRDefault="005B1AC0">
      <w:pPr>
        <w:numPr>
          <w:ilvl w:val="0"/>
          <w:numId w:val="5"/>
        </w:numPr>
        <w:spacing w:line="560" w:lineRule="exact"/>
        <w:ind w:firstLine="567"/>
        <w:outlineLvl w:val="1"/>
        <w:rPr>
          <w:rFonts w:ascii="楷体_GB2312" w:eastAsia="楷体_GB2312" w:hAnsi="楷体_GB2312" w:cs="楷体_GB2312"/>
          <w:bCs/>
          <w:sz w:val="32"/>
          <w:szCs w:val="32"/>
        </w:rPr>
      </w:pPr>
      <w:bookmarkStart w:id="68" w:name="_Toc4274"/>
      <w:bookmarkStart w:id="69" w:name="_Toc23775"/>
      <w:bookmarkStart w:id="70" w:name="_Toc30811"/>
      <w:bookmarkStart w:id="71" w:name="_Toc30167"/>
      <w:bookmarkStart w:id="72" w:name="_Toc77203354"/>
      <w:r>
        <w:rPr>
          <w:rFonts w:ascii="楷体_GB2312" w:eastAsia="楷体_GB2312" w:hAnsi="楷体_GB2312" w:cs="楷体_GB2312" w:hint="eastAsia"/>
          <w:bCs/>
          <w:sz w:val="32"/>
          <w:szCs w:val="32"/>
        </w:rPr>
        <w:t>项目</w:t>
      </w:r>
      <w:bookmarkEnd w:id="68"/>
      <w:bookmarkEnd w:id="69"/>
      <w:bookmarkEnd w:id="70"/>
      <w:bookmarkEnd w:id="71"/>
      <w:r>
        <w:rPr>
          <w:rFonts w:ascii="楷体_GB2312" w:eastAsia="楷体_GB2312" w:hAnsi="楷体_GB2312" w:cs="楷体_GB2312" w:hint="eastAsia"/>
          <w:bCs/>
          <w:sz w:val="32"/>
          <w:szCs w:val="32"/>
        </w:rPr>
        <w:t>决策情况</w:t>
      </w:r>
      <w:bookmarkEnd w:id="72"/>
    </w:p>
    <w:p w:rsidR="00A34C52" w:rsidRDefault="005B1AC0">
      <w:pPr>
        <w:ind w:firstLineChars="200" w:firstLine="560"/>
        <w:rPr>
          <w:rFonts w:ascii="仿宋_GB2312" w:eastAsia="仿宋_GB2312" w:hAnsi="仿宋_GB2312" w:cs="仿宋_GB2312"/>
          <w:kern w:val="44"/>
          <w:sz w:val="32"/>
          <w:szCs w:val="32"/>
        </w:rPr>
      </w:pPr>
      <w:r>
        <w:rPr>
          <w:rFonts w:ascii="仿宋_GB2312" w:eastAsia="仿宋_GB2312" w:hAnsi="仿宋_GB2312" w:cs="仿宋_GB2312" w:hint="eastAsia"/>
          <w:kern w:val="44"/>
          <w:sz w:val="28"/>
          <w:szCs w:val="28"/>
        </w:rPr>
        <w:t>决策评价分析从项目立项、绩效目标和资金投入三个方面六个三级指标对项目决策进行考察，决策指标分值共计10分，本项目实际得分8.40分，得分率为84.00%。具体情况如下表：</w:t>
      </w:r>
    </w:p>
    <w:tbl>
      <w:tblPr>
        <w:tblW w:w="5000" w:type="pct"/>
        <w:tblBorders>
          <w:top w:val="single" w:sz="12" w:space="0" w:color="auto"/>
          <w:bottom w:val="single" w:sz="12" w:space="0" w:color="auto"/>
          <w:insideH w:val="dotted" w:sz="4" w:space="0" w:color="auto"/>
          <w:insideV w:val="dotted" w:sz="4" w:space="0" w:color="auto"/>
        </w:tblBorders>
        <w:tblLook w:val="04A0"/>
      </w:tblPr>
      <w:tblGrid>
        <w:gridCol w:w="1063"/>
        <w:gridCol w:w="3138"/>
        <w:gridCol w:w="1062"/>
        <w:gridCol w:w="1062"/>
        <w:gridCol w:w="1062"/>
        <w:gridCol w:w="1135"/>
      </w:tblGrid>
      <w:tr w:rsidR="00A34C52" w:rsidTr="00DC43ED">
        <w:trPr>
          <w:trHeight w:val="300"/>
        </w:trPr>
        <w:tc>
          <w:tcPr>
            <w:tcW w:w="623" w:type="pct"/>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1840" w:type="pct"/>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623" w:type="pct"/>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623" w:type="pct"/>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623" w:type="pct"/>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666" w:type="pct"/>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A34C52" w:rsidTr="00DC43ED">
        <w:trPr>
          <w:trHeight w:val="90"/>
        </w:trPr>
        <w:tc>
          <w:tcPr>
            <w:tcW w:w="623" w:type="pct"/>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1840" w:type="pct"/>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立项依据充分性</w:t>
            </w:r>
          </w:p>
        </w:tc>
        <w:tc>
          <w:tcPr>
            <w:tcW w:w="623" w:type="pct"/>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623" w:type="pct"/>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充分</w:t>
            </w:r>
          </w:p>
        </w:tc>
        <w:tc>
          <w:tcPr>
            <w:tcW w:w="623" w:type="pct"/>
            <w:tcBorders>
              <w:top w:val="single" w:sz="6" w:space="0" w:color="auto"/>
            </w:tcBorders>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2.00 </w:t>
            </w:r>
          </w:p>
        </w:tc>
        <w:tc>
          <w:tcPr>
            <w:tcW w:w="666" w:type="pct"/>
            <w:tcBorders>
              <w:top w:val="single" w:sz="6" w:space="0" w:color="auto"/>
            </w:tcBorders>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100.00%</w:t>
            </w:r>
          </w:p>
        </w:tc>
      </w:tr>
      <w:tr w:rsidR="00A34C52" w:rsidTr="00DC43ED">
        <w:trPr>
          <w:trHeight w:val="270"/>
        </w:trPr>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840"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立项程序规范性</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规范</w:t>
            </w:r>
          </w:p>
        </w:tc>
        <w:tc>
          <w:tcPr>
            <w:tcW w:w="623" w:type="pct"/>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2.00 </w:t>
            </w:r>
          </w:p>
        </w:tc>
        <w:tc>
          <w:tcPr>
            <w:tcW w:w="666" w:type="pct"/>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100.00%</w:t>
            </w:r>
          </w:p>
        </w:tc>
      </w:tr>
      <w:tr w:rsidR="00A34C52" w:rsidTr="00DC43ED">
        <w:trPr>
          <w:trHeight w:val="270"/>
        </w:trPr>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1840"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绩效目标合理性</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合理</w:t>
            </w:r>
          </w:p>
        </w:tc>
        <w:tc>
          <w:tcPr>
            <w:tcW w:w="623" w:type="pct"/>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1.52 </w:t>
            </w:r>
          </w:p>
        </w:tc>
        <w:tc>
          <w:tcPr>
            <w:tcW w:w="666" w:type="pct"/>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76.00%</w:t>
            </w:r>
          </w:p>
        </w:tc>
      </w:tr>
      <w:tr w:rsidR="00A34C52" w:rsidTr="00DC43ED">
        <w:trPr>
          <w:trHeight w:val="312"/>
        </w:trPr>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840"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绩效指标明确性</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明确</w:t>
            </w:r>
          </w:p>
        </w:tc>
        <w:tc>
          <w:tcPr>
            <w:tcW w:w="623" w:type="pct"/>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1.54 </w:t>
            </w:r>
          </w:p>
        </w:tc>
        <w:tc>
          <w:tcPr>
            <w:tcW w:w="666" w:type="pct"/>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77.00%</w:t>
            </w:r>
          </w:p>
        </w:tc>
      </w:tr>
      <w:tr w:rsidR="00A34C52" w:rsidTr="00DC43ED">
        <w:trPr>
          <w:trHeight w:val="270"/>
        </w:trPr>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1840"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预算编制科学性</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科学</w:t>
            </w:r>
          </w:p>
        </w:tc>
        <w:tc>
          <w:tcPr>
            <w:tcW w:w="623" w:type="pct"/>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0.66 </w:t>
            </w:r>
          </w:p>
        </w:tc>
        <w:tc>
          <w:tcPr>
            <w:tcW w:w="666" w:type="pct"/>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66.00%</w:t>
            </w:r>
          </w:p>
        </w:tc>
      </w:tr>
      <w:tr w:rsidR="00A34C52" w:rsidTr="00DC43ED">
        <w:trPr>
          <w:trHeight w:val="270"/>
        </w:trPr>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1840"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资金分配合理性</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623" w:type="pct"/>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合理</w:t>
            </w:r>
          </w:p>
        </w:tc>
        <w:tc>
          <w:tcPr>
            <w:tcW w:w="623" w:type="pct"/>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0.68 </w:t>
            </w:r>
          </w:p>
        </w:tc>
        <w:tc>
          <w:tcPr>
            <w:tcW w:w="666" w:type="pct"/>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68.00%</w:t>
            </w:r>
          </w:p>
        </w:tc>
      </w:tr>
      <w:tr w:rsidR="00A34C52" w:rsidTr="00DC43ED">
        <w:trPr>
          <w:trHeight w:val="285"/>
        </w:trPr>
        <w:tc>
          <w:tcPr>
            <w:tcW w:w="623" w:type="pct"/>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840" w:type="pct"/>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623" w:type="pct"/>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10</w:t>
            </w:r>
          </w:p>
        </w:tc>
        <w:tc>
          <w:tcPr>
            <w:tcW w:w="623" w:type="pct"/>
            <w:shd w:val="clear" w:color="auto" w:fill="auto"/>
            <w:vAlign w:val="center"/>
          </w:tcPr>
          <w:p w:rsidR="00A34C52" w:rsidRDefault="005B1AC0">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623" w:type="pct"/>
            <w:shd w:val="clear" w:color="auto" w:fill="auto"/>
            <w:vAlign w:val="center"/>
          </w:tcPr>
          <w:p w:rsidR="00A34C52" w:rsidRDefault="005B1AC0">
            <w:pPr>
              <w:widowControl/>
              <w:jc w:val="center"/>
              <w:textAlignment w:val="center"/>
              <w:rPr>
                <w:rFonts w:ascii="仿宋" w:eastAsia="仿宋" w:hAnsi="仿宋" w:cs="仿宋"/>
                <w:b/>
                <w:color w:val="000000"/>
                <w:kern w:val="0"/>
                <w:sz w:val="24"/>
                <w:szCs w:val="24"/>
              </w:rPr>
            </w:pPr>
            <w:r>
              <w:rPr>
                <w:rFonts w:ascii="仿宋" w:eastAsia="仿宋" w:hAnsi="仿宋" w:cs="仿宋" w:hint="eastAsia"/>
                <w:b/>
                <w:bCs/>
                <w:color w:val="000000"/>
                <w:kern w:val="0"/>
                <w:sz w:val="24"/>
                <w:szCs w:val="24"/>
              </w:rPr>
              <w:t xml:space="preserve">8.40 </w:t>
            </w:r>
          </w:p>
        </w:tc>
        <w:tc>
          <w:tcPr>
            <w:tcW w:w="666" w:type="pct"/>
            <w:shd w:val="clear" w:color="auto" w:fill="auto"/>
            <w:vAlign w:val="center"/>
          </w:tcPr>
          <w:p w:rsidR="00A34C52" w:rsidRDefault="005B1AC0">
            <w:pPr>
              <w:widowControl/>
              <w:textAlignment w:val="center"/>
              <w:rPr>
                <w:rFonts w:ascii="仿宋" w:eastAsia="仿宋" w:hAnsi="仿宋" w:cs="仿宋"/>
                <w:b/>
                <w:color w:val="000000"/>
                <w:kern w:val="0"/>
                <w:sz w:val="24"/>
                <w:szCs w:val="24"/>
              </w:rPr>
            </w:pPr>
            <w:r>
              <w:rPr>
                <w:rFonts w:ascii="仿宋" w:eastAsia="仿宋" w:hAnsi="仿宋" w:cs="仿宋" w:hint="eastAsia"/>
                <w:color w:val="000000"/>
                <w:kern w:val="0"/>
                <w:sz w:val="24"/>
                <w:szCs w:val="24"/>
              </w:rPr>
              <w:t>84.00%</w:t>
            </w:r>
          </w:p>
        </w:tc>
      </w:tr>
    </w:tbl>
    <w:p w:rsidR="00A34C52" w:rsidRDefault="005B1AC0">
      <w:pPr>
        <w:numPr>
          <w:ilvl w:val="0"/>
          <w:numId w:val="6"/>
        </w:numPr>
        <w:spacing w:line="560" w:lineRule="exact"/>
        <w:ind w:firstLineChars="200" w:firstLine="560"/>
        <w:outlineLvl w:val="2"/>
        <w:rPr>
          <w:rFonts w:ascii="仿宋_GB2312" w:eastAsia="仿宋_GB2312" w:hAnsi="仿宋_GB2312" w:cs="仿宋_GB2312"/>
          <w:bCs/>
          <w:sz w:val="28"/>
          <w:szCs w:val="28"/>
        </w:rPr>
      </w:pPr>
      <w:bookmarkStart w:id="73" w:name="_Toc32544"/>
      <w:bookmarkStart w:id="74" w:name="_Toc3411"/>
      <w:bookmarkStart w:id="75" w:name="_Toc7092"/>
      <w:bookmarkStart w:id="76" w:name="_Toc77203355"/>
      <w:r>
        <w:rPr>
          <w:rFonts w:ascii="仿宋_GB2312" w:eastAsia="仿宋_GB2312" w:hAnsi="仿宋_GB2312" w:cs="仿宋_GB2312" w:hint="eastAsia"/>
          <w:bCs/>
          <w:sz w:val="28"/>
          <w:szCs w:val="28"/>
        </w:rPr>
        <w:t>项目立项分析</w:t>
      </w:r>
      <w:bookmarkEnd w:id="73"/>
      <w:bookmarkEnd w:id="74"/>
      <w:bookmarkEnd w:id="75"/>
      <w:bookmarkEnd w:id="76"/>
    </w:p>
    <w:p w:rsidR="00A34C52" w:rsidRDefault="005B1AC0" w:rsidP="006A1AE6">
      <w:pPr>
        <w:ind w:firstLineChars="221" w:firstLine="619"/>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（1）立项依据充分性分析</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cs="仿宋_GB2312" w:hint="eastAsia"/>
          <w:sz w:val="28"/>
          <w:szCs w:val="28"/>
        </w:rPr>
        <w:lastRenderedPageBreak/>
        <w:t>项目</w:t>
      </w:r>
      <w:r>
        <w:rPr>
          <w:rFonts w:ascii="仿宋_GB2312" w:eastAsia="仿宋_GB2312" w:hAnsi="仿宋_GB2312" w:cs="仿宋_GB2312" w:hint="eastAsia"/>
          <w:kern w:val="44"/>
          <w:sz w:val="28"/>
          <w:szCs w:val="28"/>
        </w:rPr>
        <w:t>立项依据符合国家和北京市的相关规定，与项目单位职责密切相关，立项依据充分。该项指标权重分为2分，根据评分规则评价得2分。</w:t>
      </w:r>
    </w:p>
    <w:p w:rsidR="00A34C52" w:rsidRDefault="005B1AC0" w:rsidP="006A1AE6">
      <w:pPr>
        <w:ind w:firstLineChars="221" w:firstLine="619"/>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（2）立项程序规范性分析</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项目为机构运行保障延续性项目，项目申请、设立过程符合相关要求，程序规范。</w:t>
      </w:r>
      <w:r>
        <w:rPr>
          <w:rFonts w:ascii="仿宋_GB2312" w:eastAsia="仿宋_GB2312" w:hAnsi="仿宋_GB2312" w:cs="仿宋_GB2312"/>
          <w:kern w:val="44"/>
          <w:sz w:val="28"/>
          <w:szCs w:val="28"/>
        </w:rPr>
        <w:t>该项指标权重分为2分，根据评分规则评价得</w:t>
      </w:r>
      <w:r>
        <w:rPr>
          <w:rFonts w:ascii="仿宋_GB2312" w:eastAsia="仿宋_GB2312" w:hAnsi="仿宋_GB2312" w:cs="仿宋_GB2312" w:hint="eastAsia"/>
          <w:kern w:val="44"/>
          <w:sz w:val="28"/>
          <w:szCs w:val="28"/>
        </w:rPr>
        <w:t>2</w:t>
      </w:r>
      <w:r>
        <w:rPr>
          <w:rFonts w:ascii="仿宋_GB2312" w:eastAsia="仿宋_GB2312" w:hAnsi="仿宋_GB2312" w:cs="仿宋_GB2312"/>
          <w:kern w:val="44"/>
          <w:sz w:val="28"/>
          <w:szCs w:val="28"/>
        </w:rPr>
        <w:t>分。</w:t>
      </w:r>
    </w:p>
    <w:p w:rsidR="00A34C52" w:rsidRDefault="005B1AC0">
      <w:pPr>
        <w:numPr>
          <w:ilvl w:val="0"/>
          <w:numId w:val="6"/>
        </w:numPr>
        <w:spacing w:line="560" w:lineRule="exact"/>
        <w:ind w:firstLineChars="200" w:firstLine="560"/>
        <w:outlineLvl w:val="2"/>
        <w:rPr>
          <w:rFonts w:ascii="仿宋_GB2312" w:eastAsia="仿宋_GB2312" w:hAnsi="仿宋_GB2312" w:cs="仿宋_GB2312"/>
          <w:bCs/>
          <w:sz w:val="28"/>
          <w:szCs w:val="28"/>
        </w:rPr>
      </w:pPr>
      <w:bookmarkStart w:id="77" w:name="_Toc30046"/>
      <w:bookmarkStart w:id="78" w:name="_Toc77203356"/>
      <w:bookmarkStart w:id="79" w:name="_Toc32625"/>
      <w:bookmarkStart w:id="80" w:name="_Toc7603"/>
      <w:r>
        <w:rPr>
          <w:rFonts w:ascii="仿宋_GB2312" w:eastAsia="仿宋_GB2312" w:hAnsi="仿宋_GB2312" w:cs="仿宋_GB2312" w:hint="eastAsia"/>
          <w:bCs/>
          <w:sz w:val="28"/>
          <w:szCs w:val="28"/>
        </w:rPr>
        <w:t>绩效目标分析</w:t>
      </w:r>
      <w:bookmarkEnd w:id="77"/>
      <w:bookmarkEnd w:id="78"/>
      <w:bookmarkEnd w:id="79"/>
      <w:bookmarkEnd w:id="80"/>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（1）绩效目标合理性分析</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 xml:space="preserve">绩效目标设定比较宏观，不够具体、明确。该项指标权重分为2分，根据评分规则评价得1.52分。                                                                                          </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（2）绩效指标明确性分析</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绩效指标不够明确，数量、标准不够细化、明确，指标可量化性、可衡量性不足。该项指标权重分2分，根据评分规则评价得1.54分。</w:t>
      </w:r>
    </w:p>
    <w:p w:rsidR="00A34C52" w:rsidRDefault="005B1AC0">
      <w:pPr>
        <w:numPr>
          <w:ilvl w:val="0"/>
          <w:numId w:val="6"/>
        </w:numPr>
        <w:spacing w:line="560" w:lineRule="exact"/>
        <w:ind w:firstLineChars="200" w:firstLine="560"/>
        <w:outlineLvl w:val="2"/>
        <w:rPr>
          <w:rFonts w:ascii="仿宋_GB2312" w:eastAsia="仿宋_GB2312" w:hAnsi="仿宋_GB2312" w:cs="仿宋_GB2312"/>
          <w:bCs/>
          <w:sz w:val="28"/>
          <w:szCs w:val="28"/>
        </w:rPr>
      </w:pPr>
      <w:bookmarkStart w:id="81" w:name="_Toc16986"/>
      <w:bookmarkStart w:id="82" w:name="_Toc77203357"/>
      <w:bookmarkStart w:id="83" w:name="_Toc22133"/>
      <w:bookmarkStart w:id="84" w:name="_Toc11073"/>
      <w:r>
        <w:rPr>
          <w:rFonts w:ascii="仿宋_GB2312" w:eastAsia="仿宋_GB2312" w:hAnsi="仿宋_GB2312" w:cs="仿宋_GB2312" w:hint="eastAsia"/>
          <w:bCs/>
          <w:sz w:val="28"/>
          <w:szCs w:val="28"/>
        </w:rPr>
        <w:t>资金投入分析</w:t>
      </w:r>
      <w:bookmarkEnd w:id="81"/>
      <w:bookmarkEnd w:id="82"/>
      <w:bookmarkEnd w:id="83"/>
      <w:bookmarkEnd w:id="84"/>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（1）预算编制科学性</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项目预算编制科学性不足，缺少预算测算依据和细化预算内容。该项指标权重分1分，根据评分规则评价得0.66分。</w:t>
      </w:r>
    </w:p>
    <w:p w:rsidR="00A34C52" w:rsidRDefault="005B1AC0">
      <w:pPr>
        <w:numPr>
          <w:ilvl w:val="0"/>
          <w:numId w:val="7"/>
        </w:num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资金分配合理性</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由于项目缺少预算测算依据和细化的预算内容，资金分配的合理性无法判定。该项指标权重分1分，根据评分规则评价得0.68分。</w:t>
      </w:r>
    </w:p>
    <w:p w:rsidR="00A34C52" w:rsidRDefault="005B1AC0">
      <w:pPr>
        <w:numPr>
          <w:ilvl w:val="0"/>
          <w:numId w:val="5"/>
        </w:numPr>
        <w:spacing w:line="560" w:lineRule="exact"/>
        <w:outlineLvl w:val="1"/>
        <w:rPr>
          <w:rFonts w:ascii="楷体_GB2312" w:eastAsia="楷体_GB2312" w:hAnsi="楷体_GB2312" w:cs="楷体_GB2312"/>
          <w:bCs/>
          <w:sz w:val="32"/>
          <w:szCs w:val="32"/>
        </w:rPr>
      </w:pPr>
      <w:bookmarkStart w:id="85" w:name="_Toc21291"/>
      <w:bookmarkStart w:id="86" w:name="_Toc9756"/>
      <w:bookmarkStart w:id="87" w:name="_Toc14468"/>
      <w:bookmarkStart w:id="88" w:name="_Toc4843"/>
      <w:bookmarkStart w:id="89" w:name="_Toc77203358"/>
      <w:r>
        <w:rPr>
          <w:rFonts w:ascii="楷体_GB2312" w:eastAsia="楷体_GB2312" w:hAnsi="楷体_GB2312" w:cs="楷体_GB2312" w:hint="eastAsia"/>
          <w:bCs/>
          <w:sz w:val="32"/>
          <w:szCs w:val="32"/>
        </w:rPr>
        <w:t>项目</w:t>
      </w:r>
      <w:bookmarkEnd w:id="85"/>
      <w:bookmarkEnd w:id="86"/>
      <w:bookmarkEnd w:id="87"/>
      <w:bookmarkEnd w:id="88"/>
      <w:r>
        <w:rPr>
          <w:rFonts w:ascii="楷体_GB2312" w:eastAsia="楷体_GB2312" w:hAnsi="楷体_GB2312" w:cs="楷体_GB2312" w:hint="eastAsia"/>
          <w:bCs/>
          <w:sz w:val="32"/>
          <w:szCs w:val="32"/>
        </w:rPr>
        <w:t>过程情况</w:t>
      </w:r>
      <w:bookmarkEnd w:id="89"/>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过程部分从资金管理和组织实施两个方面六个三级指标对项目</w:t>
      </w:r>
      <w:r>
        <w:rPr>
          <w:rFonts w:ascii="仿宋_GB2312" w:eastAsia="仿宋_GB2312" w:hAnsi="仿宋_GB2312" w:cs="仿宋_GB2312" w:hint="eastAsia"/>
          <w:kern w:val="44"/>
          <w:sz w:val="28"/>
          <w:szCs w:val="28"/>
        </w:rPr>
        <w:lastRenderedPageBreak/>
        <w:t>进行考察，过程类指标分值为20分，本项目实际得分17.06分，得分率85.30%。具体如下表：</w:t>
      </w:r>
    </w:p>
    <w:tbl>
      <w:tblPr>
        <w:tblW w:w="8517" w:type="dxa"/>
        <w:tblInd w:w="93" w:type="dxa"/>
        <w:tblBorders>
          <w:top w:val="single" w:sz="12" w:space="0" w:color="auto"/>
          <w:bottom w:val="single" w:sz="12" w:space="0" w:color="auto"/>
          <w:insideH w:val="dotted" w:sz="4" w:space="0" w:color="auto"/>
          <w:insideV w:val="dotted" w:sz="4" w:space="0" w:color="auto"/>
        </w:tblBorders>
        <w:tblLook w:val="04A0"/>
      </w:tblPr>
      <w:tblGrid>
        <w:gridCol w:w="1055"/>
        <w:gridCol w:w="3071"/>
        <w:gridCol w:w="1055"/>
        <w:gridCol w:w="1067"/>
        <w:gridCol w:w="1073"/>
        <w:gridCol w:w="1196"/>
      </w:tblGrid>
      <w:tr w:rsidR="00A34C52">
        <w:trPr>
          <w:trHeight w:val="300"/>
        </w:trPr>
        <w:tc>
          <w:tcPr>
            <w:tcW w:w="1055"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3071"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1055"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1067"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1073"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196"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A34C52">
        <w:trPr>
          <w:trHeight w:val="315"/>
        </w:trPr>
        <w:tc>
          <w:tcPr>
            <w:tcW w:w="1055"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071"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资金到位率</w:t>
            </w:r>
          </w:p>
        </w:tc>
        <w:tc>
          <w:tcPr>
            <w:tcW w:w="1055"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67"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73" w:type="dxa"/>
            <w:tcBorders>
              <w:top w:val="single" w:sz="6" w:space="0" w:color="auto"/>
            </w:tcBorders>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2.00 </w:t>
            </w:r>
          </w:p>
        </w:tc>
        <w:tc>
          <w:tcPr>
            <w:tcW w:w="1196" w:type="dxa"/>
            <w:tcBorders>
              <w:top w:val="single" w:sz="6" w:space="0" w:color="auto"/>
            </w:tcBorders>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100.00%</w:t>
            </w:r>
          </w:p>
        </w:tc>
      </w:tr>
      <w:tr w:rsidR="00A34C52">
        <w:trPr>
          <w:trHeight w:val="315"/>
        </w:trPr>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071"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预算执行率</w:t>
            </w:r>
          </w:p>
        </w:tc>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73"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4.00 </w:t>
            </w:r>
          </w:p>
        </w:tc>
        <w:tc>
          <w:tcPr>
            <w:tcW w:w="1196"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100.00%</w:t>
            </w:r>
          </w:p>
        </w:tc>
      </w:tr>
      <w:tr w:rsidR="00A34C52">
        <w:trPr>
          <w:trHeight w:val="315"/>
        </w:trPr>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071"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资金使用合规性</w:t>
            </w:r>
          </w:p>
        </w:tc>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规范</w:t>
            </w:r>
          </w:p>
        </w:tc>
        <w:tc>
          <w:tcPr>
            <w:tcW w:w="1073"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4.00 </w:t>
            </w:r>
          </w:p>
        </w:tc>
        <w:tc>
          <w:tcPr>
            <w:tcW w:w="1196"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100.00%</w:t>
            </w:r>
          </w:p>
        </w:tc>
      </w:tr>
      <w:tr w:rsidR="00A34C52">
        <w:trPr>
          <w:trHeight w:val="315"/>
        </w:trPr>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071"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管理制度健全性</w:t>
            </w:r>
          </w:p>
        </w:tc>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健全</w:t>
            </w:r>
          </w:p>
        </w:tc>
        <w:tc>
          <w:tcPr>
            <w:tcW w:w="1073"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3.00 </w:t>
            </w:r>
          </w:p>
        </w:tc>
        <w:tc>
          <w:tcPr>
            <w:tcW w:w="1196"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75.00%</w:t>
            </w:r>
          </w:p>
        </w:tc>
      </w:tr>
      <w:tr w:rsidR="00A34C52">
        <w:trPr>
          <w:trHeight w:val="315"/>
        </w:trPr>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3071"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制度执行有效性</w:t>
            </w:r>
          </w:p>
        </w:tc>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有效</w:t>
            </w:r>
          </w:p>
        </w:tc>
        <w:tc>
          <w:tcPr>
            <w:tcW w:w="1073"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2.60 </w:t>
            </w:r>
          </w:p>
        </w:tc>
        <w:tc>
          <w:tcPr>
            <w:tcW w:w="1196"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65.00%</w:t>
            </w:r>
          </w:p>
        </w:tc>
      </w:tr>
      <w:tr w:rsidR="00A34C52">
        <w:trPr>
          <w:trHeight w:val="315"/>
        </w:trPr>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3071"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实施方案有效性</w:t>
            </w:r>
          </w:p>
        </w:tc>
        <w:tc>
          <w:tcPr>
            <w:tcW w:w="1055"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67"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有效</w:t>
            </w:r>
          </w:p>
        </w:tc>
        <w:tc>
          <w:tcPr>
            <w:tcW w:w="1073"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1.46 </w:t>
            </w:r>
          </w:p>
        </w:tc>
        <w:tc>
          <w:tcPr>
            <w:tcW w:w="1196"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73.00%</w:t>
            </w:r>
          </w:p>
        </w:tc>
      </w:tr>
      <w:tr w:rsidR="00A34C52">
        <w:trPr>
          <w:trHeight w:val="315"/>
        </w:trPr>
        <w:tc>
          <w:tcPr>
            <w:tcW w:w="1055" w:type="dxa"/>
            <w:shd w:val="clear" w:color="auto" w:fill="auto"/>
            <w:vAlign w:val="center"/>
          </w:tcPr>
          <w:p w:rsidR="00A34C52" w:rsidRDefault="005B1AC0">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3071"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1055"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20</w:t>
            </w:r>
          </w:p>
        </w:tc>
        <w:tc>
          <w:tcPr>
            <w:tcW w:w="1067" w:type="dxa"/>
            <w:shd w:val="clear" w:color="auto" w:fill="auto"/>
            <w:vAlign w:val="center"/>
          </w:tcPr>
          <w:p w:rsidR="00A34C52" w:rsidRDefault="005B1AC0">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073" w:type="dxa"/>
            <w:shd w:val="clear" w:color="auto" w:fill="auto"/>
            <w:vAlign w:val="center"/>
          </w:tcPr>
          <w:p w:rsidR="00A34C52" w:rsidRDefault="005B1AC0">
            <w:pPr>
              <w:widowControl/>
              <w:jc w:val="center"/>
              <w:textAlignment w:val="center"/>
              <w:rPr>
                <w:rFonts w:ascii="仿宋" w:eastAsia="仿宋" w:hAnsi="仿宋" w:cs="仿宋"/>
                <w:b/>
                <w:color w:val="000000"/>
                <w:kern w:val="0"/>
                <w:sz w:val="24"/>
                <w:szCs w:val="24"/>
              </w:rPr>
            </w:pPr>
            <w:r>
              <w:rPr>
                <w:rFonts w:ascii="仿宋" w:eastAsia="仿宋" w:hAnsi="仿宋" w:cs="仿宋" w:hint="eastAsia"/>
                <w:b/>
                <w:bCs/>
                <w:color w:val="000000"/>
                <w:kern w:val="0"/>
                <w:sz w:val="24"/>
                <w:szCs w:val="24"/>
              </w:rPr>
              <w:t xml:space="preserve">17.06 </w:t>
            </w:r>
          </w:p>
        </w:tc>
        <w:tc>
          <w:tcPr>
            <w:tcW w:w="1196" w:type="dxa"/>
            <w:shd w:val="clear" w:color="auto" w:fill="auto"/>
            <w:vAlign w:val="center"/>
          </w:tcPr>
          <w:p w:rsidR="00A34C52" w:rsidRDefault="005B1AC0">
            <w:pPr>
              <w:widowControl/>
              <w:textAlignment w:val="center"/>
              <w:rPr>
                <w:rFonts w:ascii="仿宋" w:eastAsia="仿宋" w:hAnsi="仿宋" w:cs="仿宋"/>
                <w:b/>
                <w:color w:val="000000"/>
                <w:kern w:val="0"/>
                <w:sz w:val="24"/>
                <w:szCs w:val="24"/>
              </w:rPr>
            </w:pPr>
            <w:r>
              <w:rPr>
                <w:rFonts w:ascii="仿宋" w:eastAsia="仿宋" w:hAnsi="仿宋" w:cs="仿宋" w:hint="eastAsia"/>
                <w:color w:val="000000"/>
                <w:kern w:val="0"/>
                <w:sz w:val="24"/>
                <w:szCs w:val="24"/>
              </w:rPr>
              <w:t>85.30%</w:t>
            </w:r>
          </w:p>
        </w:tc>
      </w:tr>
    </w:tbl>
    <w:p w:rsidR="00A34C52" w:rsidRDefault="00A34C52">
      <w:pPr>
        <w:outlineLvl w:val="3"/>
        <w:rPr>
          <w:rFonts w:ascii="宋体" w:eastAsia="宋体" w:hAnsi="宋体" w:cs="仿宋_GB2312"/>
          <w:kern w:val="44"/>
          <w:szCs w:val="21"/>
        </w:rPr>
      </w:pPr>
    </w:p>
    <w:p w:rsidR="00A34C52" w:rsidRDefault="005B1AC0">
      <w:pPr>
        <w:numPr>
          <w:ilvl w:val="0"/>
          <w:numId w:val="8"/>
        </w:numPr>
        <w:spacing w:line="560" w:lineRule="exact"/>
        <w:ind w:firstLineChars="200" w:firstLine="560"/>
        <w:outlineLvl w:val="2"/>
        <w:rPr>
          <w:rFonts w:ascii="仿宋_GB2312" w:eastAsia="仿宋_GB2312" w:hAnsi="仿宋_GB2312" w:cs="仿宋_GB2312"/>
          <w:bCs/>
          <w:sz w:val="28"/>
          <w:szCs w:val="28"/>
        </w:rPr>
      </w:pPr>
      <w:bookmarkStart w:id="90" w:name="_Toc77203359"/>
      <w:r>
        <w:rPr>
          <w:rFonts w:ascii="仿宋_GB2312" w:eastAsia="仿宋_GB2312" w:hAnsi="仿宋_GB2312" w:cs="仿宋_GB2312" w:hint="eastAsia"/>
          <w:bCs/>
          <w:sz w:val="28"/>
          <w:szCs w:val="28"/>
        </w:rPr>
        <w:t>资金使用及管理情况</w:t>
      </w:r>
      <w:bookmarkEnd w:id="90"/>
    </w:p>
    <w:p w:rsidR="00A34C52" w:rsidRDefault="005B1AC0">
      <w:pPr>
        <w:numPr>
          <w:ilvl w:val="0"/>
          <w:numId w:val="9"/>
        </w:numPr>
        <w:rPr>
          <w:rFonts w:ascii="仿宋_GB2312" w:eastAsia="仿宋_GB2312" w:hAnsi="仿宋_GB2312" w:cs="仿宋_GB2312"/>
          <w:bCs/>
          <w:kern w:val="0"/>
          <w:sz w:val="28"/>
          <w:szCs w:val="28"/>
        </w:rPr>
      </w:pPr>
      <w:bookmarkStart w:id="91" w:name="_Toc31939"/>
      <w:bookmarkStart w:id="92" w:name="_Toc18405"/>
      <w:bookmarkStart w:id="93" w:name="_Toc28045"/>
      <w:r>
        <w:rPr>
          <w:rFonts w:ascii="仿宋_GB2312" w:eastAsia="仿宋_GB2312" w:hAnsi="仿宋_GB2312" w:cs="仿宋_GB2312" w:hint="eastAsia"/>
          <w:bCs/>
          <w:kern w:val="0"/>
          <w:sz w:val="28"/>
          <w:szCs w:val="28"/>
        </w:rPr>
        <w:t>资金到位率</w:t>
      </w:r>
      <w:bookmarkEnd w:id="91"/>
      <w:bookmarkEnd w:id="92"/>
      <w:bookmarkEnd w:id="93"/>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项目2021年预算批复910,000.00元，实际到位资金910,000.00元，资金到位率100%。该项指标权重分2分，根据评分规则评价得分2分。</w:t>
      </w:r>
    </w:p>
    <w:p w:rsidR="00A34C52" w:rsidRDefault="005B1AC0">
      <w:pPr>
        <w:numPr>
          <w:ilvl w:val="0"/>
          <w:numId w:val="9"/>
        </w:numPr>
        <w:rPr>
          <w:rFonts w:ascii="仿宋_GB2312" w:eastAsia="仿宋_GB2312" w:hAnsi="仿宋_GB2312" w:cs="仿宋_GB2312"/>
          <w:bCs/>
          <w:kern w:val="0"/>
          <w:sz w:val="28"/>
          <w:szCs w:val="28"/>
        </w:rPr>
      </w:pPr>
      <w:bookmarkStart w:id="94" w:name="_Toc26175"/>
      <w:bookmarkStart w:id="95" w:name="_Toc32425"/>
      <w:bookmarkStart w:id="96" w:name="_Toc19603"/>
      <w:r>
        <w:rPr>
          <w:rFonts w:ascii="仿宋_GB2312" w:eastAsia="仿宋_GB2312" w:hAnsi="仿宋_GB2312" w:cs="仿宋_GB2312" w:hint="eastAsia"/>
          <w:bCs/>
          <w:kern w:val="0"/>
          <w:sz w:val="28"/>
          <w:szCs w:val="28"/>
        </w:rPr>
        <w:t>预算执行率</w:t>
      </w:r>
      <w:bookmarkEnd w:id="94"/>
      <w:bookmarkEnd w:id="95"/>
      <w:bookmarkEnd w:id="96"/>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项目2021年最终获批资金预算910,000.00元，截至2021年12月31日，已实际支付资金908,000.00元，预算执行率为99.78%。</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w:t>
      </w:r>
    </w:p>
    <w:p w:rsidR="00A34C52" w:rsidRDefault="005B1AC0">
      <w:pPr>
        <w:numPr>
          <w:ilvl w:val="0"/>
          <w:numId w:val="9"/>
        </w:numPr>
        <w:rPr>
          <w:rFonts w:ascii="仿宋_GB2312" w:eastAsia="仿宋_GB2312" w:hAnsi="仿宋_GB2312" w:cs="仿宋_GB2312"/>
          <w:bCs/>
          <w:kern w:val="44"/>
          <w:sz w:val="28"/>
          <w:szCs w:val="28"/>
        </w:rPr>
      </w:pPr>
      <w:bookmarkStart w:id="97" w:name="_Toc7531"/>
      <w:bookmarkStart w:id="98" w:name="_Toc26289"/>
      <w:bookmarkStart w:id="99" w:name="_Toc567"/>
      <w:r>
        <w:rPr>
          <w:rFonts w:ascii="仿宋_GB2312" w:eastAsia="仿宋_GB2312" w:hAnsi="仿宋_GB2312" w:cs="仿宋_GB2312" w:hint="eastAsia"/>
          <w:bCs/>
          <w:kern w:val="44"/>
          <w:sz w:val="28"/>
          <w:szCs w:val="28"/>
        </w:rPr>
        <w:t>资金使用合规性</w:t>
      </w:r>
      <w:bookmarkEnd w:id="97"/>
      <w:bookmarkEnd w:id="98"/>
      <w:bookmarkEnd w:id="99"/>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kern w:val="44"/>
          <w:sz w:val="28"/>
          <w:szCs w:val="28"/>
        </w:rPr>
        <w:t>项目专项经费使用基本符合国家和本市财经法规，符合</w:t>
      </w:r>
      <w:r>
        <w:rPr>
          <w:rFonts w:ascii="仿宋_GB2312" w:eastAsia="仿宋_GB2312" w:hAnsi="仿宋_GB2312" w:cs="仿宋_GB2312" w:hint="eastAsia"/>
          <w:kern w:val="44"/>
          <w:sz w:val="28"/>
          <w:szCs w:val="28"/>
        </w:rPr>
        <w:t>延庆区法院</w:t>
      </w:r>
      <w:r>
        <w:rPr>
          <w:rFonts w:ascii="仿宋_GB2312" w:eastAsia="仿宋_GB2312" w:hAnsi="仿宋_GB2312" w:cs="仿宋_GB2312"/>
          <w:kern w:val="44"/>
          <w:sz w:val="28"/>
          <w:szCs w:val="28"/>
        </w:rPr>
        <w:t>财务内控规定；资金拨付有较完整的审批程序和手续，资金使用和项目规定的用途和内容相符</w:t>
      </w:r>
      <w:r>
        <w:rPr>
          <w:rFonts w:ascii="仿宋_GB2312" w:eastAsia="仿宋_GB2312" w:hAnsi="仿宋_GB2312" w:cs="仿宋_GB2312" w:hint="eastAsia"/>
          <w:kern w:val="44"/>
          <w:sz w:val="28"/>
          <w:szCs w:val="28"/>
        </w:rPr>
        <w:t>。该项指标权重分4分，根据评分规则评价得分4.00分。</w:t>
      </w:r>
    </w:p>
    <w:p w:rsidR="00A34C52" w:rsidRDefault="005B1AC0">
      <w:pPr>
        <w:numPr>
          <w:ilvl w:val="0"/>
          <w:numId w:val="8"/>
        </w:numPr>
        <w:spacing w:line="560" w:lineRule="exact"/>
        <w:ind w:firstLineChars="200" w:firstLine="560"/>
        <w:outlineLvl w:val="2"/>
        <w:rPr>
          <w:rFonts w:ascii="仿宋_GB2312" w:eastAsia="仿宋_GB2312" w:hAnsi="仿宋_GB2312" w:cs="仿宋_GB2312"/>
          <w:bCs/>
          <w:sz w:val="28"/>
          <w:szCs w:val="28"/>
        </w:rPr>
      </w:pPr>
      <w:bookmarkStart w:id="100" w:name="_Toc77203360"/>
      <w:r>
        <w:rPr>
          <w:rFonts w:ascii="仿宋_GB2312" w:eastAsia="仿宋_GB2312" w:hAnsi="仿宋_GB2312" w:cs="仿宋_GB2312" w:hint="eastAsia"/>
          <w:bCs/>
          <w:sz w:val="28"/>
          <w:szCs w:val="28"/>
        </w:rPr>
        <w:t>组织管理情况</w:t>
      </w:r>
      <w:bookmarkEnd w:id="100"/>
    </w:p>
    <w:p w:rsidR="00A34C52" w:rsidRDefault="005B1AC0">
      <w:pPr>
        <w:numPr>
          <w:ilvl w:val="2"/>
          <w:numId w:val="10"/>
        </w:numPr>
        <w:rPr>
          <w:rFonts w:ascii="仿宋_GB2312" w:eastAsia="仿宋_GB2312" w:hAnsi="仿宋_GB2312" w:cs="仿宋_GB2312"/>
          <w:bCs/>
          <w:kern w:val="0"/>
          <w:sz w:val="28"/>
          <w:szCs w:val="28"/>
        </w:rPr>
      </w:pPr>
      <w:bookmarkStart w:id="101" w:name="_Toc22748"/>
      <w:bookmarkStart w:id="102" w:name="_Toc31766"/>
      <w:bookmarkStart w:id="103" w:name="_Toc8558"/>
      <w:r>
        <w:rPr>
          <w:rFonts w:ascii="仿宋_GB2312" w:eastAsia="仿宋_GB2312" w:hAnsi="仿宋_GB2312" w:cs="仿宋_GB2312" w:hint="eastAsia"/>
          <w:bCs/>
          <w:kern w:val="0"/>
          <w:sz w:val="28"/>
          <w:szCs w:val="28"/>
        </w:rPr>
        <w:t>管理制度健全性</w:t>
      </w:r>
      <w:bookmarkEnd w:id="101"/>
      <w:bookmarkEnd w:id="102"/>
      <w:bookmarkEnd w:id="103"/>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lastRenderedPageBreak/>
        <w:t>项目单位提供了相关管理制度文件，管理制度基本合法、合规、健全。但有关信息系统运维的相关管理制度呈现不够充分。</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3.00</w:t>
      </w:r>
      <w:r>
        <w:rPr>
          <w:rFonts w:ascii="仿宋_GB2312" w:eastAsia="仿宋_GB2312" w:hAnsi="仿宋_GB2312" w:cs="仿宋_GB2312"/>
          <w:kern w:val="44"/>
          <w:sz w:val="28"/>
          <w:szCs w:val="28"/>
        </w:rPr>
        <w:t>分。</w:t>
      </w:r>
    </w:p>
    <w:p w:rsidR="00A34C52" w:rsidRDefault="005B1AC0">
      <w:pPr>
        <w:numPr>
          <w:ilvl w:val="2"/>
          <w:numId w:val="10"/>
        </w:numPr>
        <w:rPr>
          <w:rFonts w:ascii="仿宋_GB2312" w:eastAsia="仿宋_GB2312" w:hAnsi="仿宋_GB2312" w:cs="仿宋_GB2312"/>
          <w:bCs/>
          <w:kern w:val="0"/>
          <w:sz w:val="28"/>
          <w:szCs w:val="28"/>
        </w:rPr>
      </w:pPr>
      <w:bookmarkStart w:id="104" w:name="_Toc26951"/>
      <w:bookmarkStart w:id="105" w:name="_Toc23471"/>
      <w:bookmarkStart w:id="106" w:name="_Toc8657"/>
      <w:r>
        <w:rPr>
          <w:rFonts w:ascii="仿宋_GB2312" w:eastAsia="仿宋_GB2312" w:hAnsi="仿宋_GB2312" w:cs="仿宋_GB2312" w:hint="eastAsia"/>
          <w:bCs/>
          <w:kern w:val="0"/>
          <w:sz w:val="28"/>
          <w:szCs w:val="28"/>
        </w:rPr>
        <w:t>制度执行有效性</w:t>
      </w:r>
      <w:bookmarkEnd w:id="104"/>
      <w:bookmarkEnd w:id="105"/>
      <w:bookmarkEnd w:id="106"/>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项目运维服务商的遴选信息不充分，合同的订立不够严谨。</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2.60</w:t>
      </w:r>
      <w:r>
        <w:rPr>
          <w:rFonts w:ascii="仿宋_GB2312" w:eastAsia="仿宋_GB2312" w:hAnsi="仿宋_GB2312" w:cs="仿宋_GB2312"/>
          <w:kern w:val="44"/>
          <w:sz w:val="28"/>
          <w:szCs w:val="28"/>
        </w:rPr>
        <w:t>分。</w:t>
      </w:r>
    </w:p>
    <w:p w:rsidR="00A34C52" w:rsidRDefault="005B1AC0">
      <w:pPr>
        <w:numPr>
          <w:ilvl w:val="2"/>
          <w:numId w:val="10"/>
        </w:numPr>
        <w:rPr>
          <w:rFonts w:ascii="仿宋_GB2312" w:eastAsia="仿宋_GB2312" w:hAnsi="仿宋_GB2312" w:cs="仿宋_GB2312"/>
          <w:bCs/>
          <w:kern w:val="0"/>
          <w:sz w:val="28"/>
          <w:szCs w:val="28"/>
        </w:rPr>
      </w:pPr>
      <w:bookmarkStart w:id="107" w:name="_Toc32499"/>
      <w:bookmarkStart w:id="108" w:name="_Toc15495"/>
      <w:bookmarkStart w:id="109" w:name="_Toc13188"/>
      <w:r>
        <w:rPr>
          <w:rFonts w:ascii="仿宋_GB2312" w:eastAsia="仿宋_GB2312" w:hAnsi="仿宋_GB2312" w:cs="仿宋_GB2312" w:hint="eastAsia"/>
          <w:bCs/>
          <w:kern w:val="0"/>
          <w:sz w:val="28"/>
          <w:szCs w:val="28"/>
        </w:rPr>
        <w:t>实施方案有效性</w:t>
      </w:r>
      <w:bookmarkEnd w:id="107"/>
      <w:bookmarkEnd w:id="108"/>
      <w:bookmarkEnd w:id="109"/>
    </w:p>
    <w:p w:rsidR="00A34C52" w:rsidRDefault="005B1AC0">
      <w:pPr>
        <w:ind w:firstLineChars="200" w:firstLine="560"/>
        <w:rPr>
          <w:rFonts w:ascii="仿宋_GB2312" w:eastAsia="仿宋_GB2312" w:hAnsi="仿宋_GB2312" w:cs="仿宋_GB2312"/>
          <w:kern w:val="44"/>
          <w:sz w:val="32"/>
          <w:szCs w:val="32"/>
        </w:rPr>
      </w:pPr>
      <w:r>
        <w:rPr>
          <w:rFonts w:ascii="仿宋_GB2312" w:eastAsia="仿宋_GB2312" w:hAnsi="仿宋_GB2312" w:cs="仿宋_GB2312" w:hint="eastAsia"/>
          <w:bCs/>
          <w:kern w:val="0"/>
          <w:sz w:val="28"/>
          <w:szCs w:val="28"/>
        </w:rPr>
        <w:t>实施方案未能完全</w:t>
      </w:r>
      <w:r>
        <w:rPr>
          <w:rFonts w:ascii="仿宋_GB2312" w:eastAsia="仿宋_GB2312" w:hAnsi="仿宋_GB2312" w:cs="仿宋_GB2312" w:hint="eastAsia"/>
          <w:kern w:val="44"/>
          <w:sz w:val="28"/>
          <w:szCs w:val="28"/>
        </w:rPr>
        <w:t>体现出项目实施主体对项目实施全过程进行有效管理，实施方案的有效性不足。该项指标权重分2分，根据评分规则评价得分1.46分。</w:t>
      </w:r>
    </w:p>
    <w:p w:rsidR="00A34C52" w:rsidRDefault="005B1AC0">
      <w:pPr>
        <w:numPr>
          <w:ilvl w:val="0"/>
          <w:numId w:val="5"/>
        </w:numPr>
        <w:spacing w:line="560" w:lineRule="exact"/>
        <w:outlineLvl w:val="1"/>
        <w:rPr>
          <w:rFonts w:ascii="楷体_GB2312" w:eastAsia="楷体_GB2312" w:hAnsi="楷体_GB2312" w:cs="楷体_GB2312"/>
          <w:bCs/>
          <w:sz w:val="32"/>
          <w:szCs w:val="32"/>
        </w:rPr>
      </w:pPr>
      <w:bookmarkStart w:id="110" w:name="_Toc32517"/>
      <w:bookmarkStart w:id="111" w:name="_Toc13844"/>
      <w:bookmarkStart w:id="112" w:name="_Toc5531"/>
      <w:bookmarkStart w:id="113" w:name="_Toc968"/>
      <w:bookmarkStart w:id="114" w:name="_Toc77203361"/>
      <w:r>
        <w:rPr>
          <w:rFonts w:ascii="楷体_GB2312" w:eastAsia="楷体_GB2312" w:hAnsi="楷体_GB2312" w:cs="楷体_GB2312" w:hint="eastAsia"/>
          <w:bCs/>
          <w:sz w:val="32"/>
          <w:szCs w:val="32"/>
        </w:rPr>
        <w:t>项目产出评价分析</w:t>
      </w:r>
      <w:bookmarkEnd w:id="110"/>
      <w:bookmarkEnd w:id="111"/>
      <w:bookmarkEnd w:id="112"/>
      <w:bookmarkEnd w:id="113"/>
      <w:bookmarkEnd w:id="114"/>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产出部分从产出数量、产出质量、产出时效和产出成本四个方面共四个三级指标对项目进行考察，产出类指标分值共计40分，本项目得分36.16分，得分率为90.40% ，具体得分情况如下表：</w:t>
      </w:r>
    </w:p>
    <w:tbl>
      <w:tblPr>
        <w:tblW w:w="8698" w:type="dxa"/>
        <w:tblInd w:w="93" w:type="dxa"/>
        <w:tblBorders>
          <w:top w:val="single" w:sz="12" w:space="0" w:color="auto"/>
          <w:bottom w:val="single" w:sz="12" w:space="0" w:color="auto"/>
          <w:insideH w:val="dotted" w:sz="4" w:space="0" w:color="auto"/>
          <w:insideV w:val="dotted" w:sz="4" w:space="0" w:color="auto"/>
        </w:tblBorders>
        <w:tblLook w:val="04A0"/>
      </w:tblPr>
      <w:tblGrid>
        <w:gridCol w:w="1080"/>
        <w:gridCol w:w="3188"/>
        <w:gridCol w:w="1080"/>
        <w:gridCol w:w="1080"/>
        <w:gridCol w:w="1080"/>
        <w:gridCol w:w="1190"/>
      </w:tblGrid>
      <w:tr w:rsidR="00A34C52">
        <w:trPr>
          <w:trHeight w:val="480"/>
        </w:trPr>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3188"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19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A34C52">
        <w:trPr>
          <w:trHeight w:val="270"/>
        </w:trPr>
        <w:tc>
          <w:tcPr>
            <w:tcW w:w="1080"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188"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实际完成率</w:t>
            </w:r>
          </w:p>
        </w:tc>
        <w:tc>
          <w:tcPr>
            <w:tcW w:w="1080"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15</w:t>
            </w:r>
          </w:p>
        </w:tc>
        <w:tc>
          <w:tcPr>
            <w:tcW w:w="1080"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tcBorders>
              <w:top w:val="single" w:sz="6" w:space="0" w:color="auto"/>
            </w:tcBorders>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13.50 </w:t>
            </w:r>
          </w:p>
        </w:tc>
        <w:tc>
          <w:tcPr>
            <w:tcW w:w="1190" w:type="dxa"/>
            <w:tcBorders>
              <w:top w:val="single" w:sz="6" w:space="0" w:color="auto"/>
            </w:tcBorders>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90.00%</w:t>
            </w:r>
          </w:p>
        </w:tc>
      </w:tr>
      <w:tr w:rsidR="00A34C52">
        <w:trPr>
          <w:trHeight w:val="270"/>
        </w:trPr>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188"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质量达标率</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15</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13.80 </w:t>
            </w:r>
          </w:p>
        </w:tc>
        <w:tc>
          <w:tcPr>
            <w:tcW w:w="1190"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92.00%</w:t>
            </w:r>
          </w:p>
        </w:tc>
      </w:tr>
      <w:tr w:rsidR="00A34C52">
        <w:trPr>
          <w:trHeight w:val="270"/>
        </w:trPr>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188"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完成及时性</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及时</w:t>
            </w:r>
          </w:p>
        </w:tc>
        <w:tc>
          <w:tcPr>
            <w:tcW w:w="1080"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5.00 </w:t>
            </w:r>
          </w:p>
        </w:tc>
        <w:tc>
          <w:tcPr>
            <w:tcW w:w="1190"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100.00%</w:t>
            </w:r>
          </w:p>
        </w:tc>
      </w:tr>
      <w:tr w:rsidR="00A34C52">
        <w:trPr>
          <w:trHeight w:val="270"/>
        </w:trPr>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188"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成本节约率</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达标</w:t>
            </w:r>
          </w:p>
        </w:tc>
        <w:tc>
          <w:tcPr>
            <w:tcW w:w="1080"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3.86 </w:t>
            </w:r>
          </w:p>
        </w:tc>
        <w:tc>
          <w:tcPr>
            <w:tcW w:w="1190"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77.20%</w:t>
            </w:r>
          </w:p>
        </w:tc>
      </w:tr>
      <w:tr w:rsidR="00A34C52">
        <w:trPr>
          <w:trHeight w:val="285"/>
        </w:trPr>
        <w:tc>
          <w:tcPr>
            <w:tcW w:w="1080"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3188"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1080"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40</w:t>
            </w:r>
          </w:p>
        </w:tc>
        <w:tc>
          <w:tcPr>
            <w:tcW w:w="1080" w:type="dxa"/>
            <w:shd w:val="clear" w:color="auto" w:fill="auto"/>
            <w:vAlign w:val="center"/>
          </w:tcPr>
          <w:p w:rsidR="00A34C52" w:rsidRDefault="005B1AC0">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080" w:type="dxa"/>
            <w:shd w:val="clear" w:color="auto" w:fill="auto"/>
            <w:vAlign w:val="center"/>
          </w:tcPr>
          <w:p w:rsidR="00A34C52" w:rsidRDefault="005B1AC0">
            <w:pPr>
              <w:widowControl/>
              <w:jc w:val="center"/>
              <w:textAlignment w:val="center"/>
              <w:rPr>
                <w:rFonts w:ascii="仿宋" w:eastAsia="仿宋" w:hAnsi="仿宋" w:cs="仿宋"/>
                <w:b/>
                <w:color w:val="000000"/>
                <w:kern w:val="0"/>
                <w:sz w:val="24"/>
                <w:szCs w:val="24"/>
              </w:rPr>
            </w:pPr>
            <w:r>
              <w:rPr>
                <w:rFonts w:ascii="仿宋" w:eastAsia="仿宋" w:hAnsi="仿宋" w:cs="仿宋" w:hint="eastAsia"/>
                <w:b/>
                <w:bCs/>
                <w:color w:val="000000"/>
                <w:kern w:val="0"/>
                <w:sz w:val="24"/>
                <w:szCs w:val="24"/>
              </w:rPr>
              <w:t xml:space="preserve">36.16 </w:t>
            </w:r>
          </w:p>
        </w:tc>
        <w:tc>
          <w:tcPr>
            <w:tcW w:w="1190" w:type="dxa"/>
            <w:shd w:val="clear" w:color="auto" w:fill="auto"/>
            <w:vAlign w:val="center"/>
          </w:tcPr>
          <w:p w:rsidR="00A34C52" w:rsidRDefault="005B1AC0">
            <w:pPr>
              <w:widowControl/>
              <w:textAlignment w:val="center"/>
              <w:rPr>
                <w:rFonts w:ascii="仿宋" w:eastAsia="仿宋" w:hAnsi="仿宋" w:cs="仿宋"/>
                <w:b/>
                <w:color w:val="000000"/>
                <w:kern w:val="0"/>
                <w:sz w:val="24"/>
                <w:szCs w:val="24"/>
              </w:rPr>
            </w:pPr>
            <w:r>
              <w:rPr>
                <w:rFonts w:ascii="仿宋" w:eastAsia="仿宋" w:hAnsi="仿宋" w:cs="仿宋" w:hint="eastAsia"/>
                <w:color w:val="000000"/>
                <w:kern w:val="0"/>
                <w:sz w:val="24"/>
                <w:szCs w:val="24"/>
              </w:rPr>
              <w:t>90.40%</w:t>
            </w:r>
          </w:p>
        </w:tc>
      </w:tr>
    </w:tbl>
    <w:p w:rsidR="00A34C52" w:rsidRDefault="005B1AC0">
      <w:pPr>
        <w:numPr>
          <w:ilvl w:val="0"/>
          <w:numId w:val="11"/>
        </w:numPr>
        <w:spacing w:line="560" w:lineRule="exact"/>
        <w:ind w:firstLineChars="200" w:firstLine="560"/>
        <w:outlineLvl w:val="2"/>
        <w:rPr>
          <w:rFonts w:ascii="仿宋_GB2312" w:eastAsia="仿宋_GB2312" w:hAnsi="仿宋_GB2312" w:cs="仿宋_GB2312"/>
          <w:bCs/>
          <w:sz w:val="28"/>
          <w:szCs w:val="28"/>
        </w:rPr>
      </w:pPr>
      <w:bookmarkStart w:id="115" w:name="_Toc30363"/>
      <w:bookmarkStart w:id="116" w:name="_Toc371"/>
      <w:bookmarkStart w:id="117" w:name="_Toc25502"/>
      <w:bookmarkStart w:id="118" w:name="_Toc5885"/>
      <w:bookmarkStart w:id="119" w:name="_Toc23579"/>
      <w:bookmarkStart w:id="120" w:name="_Toc77203362"/>
      <w:bookmarkStart w:id="121" w:name="_Toc12068"/>
      <w:r>
        <w:rPr>
          <w:rFonts w:ascii="仿宋_GB2312" w:eastAsia="仿宋_GB2312" w:hAnsi="仿宋_GB2312" w:cs="仿宋_GB2312" w:hint="eastAsia"/>
          <w:bCs/>
          <w:sz w:val="28"/>
          <w:szCs w:val="28"/>
        </w:rPr>
        <w:t>项目完成数量</w:t>
      </w:r>
      <w:bookmarkEnd w:id="115"/>
      <w:bookmarkEnd w:id="116"/>
      <w:bookmarkEnd w:id="117"/>
      <w:bookmarkEnd w:id="118"/>
      <w:bookmarkEnd w:id="119"/>
      <w:bookmarkEnd w:id="120"/>
      <w:bookmarkEnd w:id="121"/>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项目验收程序、相关资料的有效性不足，绩效成果的呈现不够充分。该项指标权重15分，根据评分规则评价得分13.50分。</w:t>
      </w:r>
    </w:p>
    <w:p w:rsidR="00A34C52" w:rsidRDefault="005B1AC0">
      <w:pPr>
        <w:numPr>
          <w:ilvl w:val="0"/>
          <w:numId w:val="11"/>
        </w:numPr>
        <w:spacing w:line="560" w:lineRule="exact"/>
        <w:ind w:firstLineChars="200" w:firstLine="560"/>
        <w:outlineLvl w:val="2"/>
        <w:rPr>
          <w:rFonts w:ascii="仿宋_GB2312" w:eastAsia="仿宋_GB2312" w:hAnsi="仿宋_GB2312" w:cs="仿宋_GB2312"/>
          <w:bCs/>
          <w:sz w:val="28"/>
          <w:szCs w:val="28"/>
        </w:rPr>
      </w:pPr>
      <w:bookmarkStart w:id="122" w:name="_Toc29327"/>
      <w:bookmarkStart w:id="123" w:name="_Toc77203363"/>
      <w:bookmarkStart w:id="124" w:name="_Toc27027"/>
      <w:bookmarkStart w:id="125" w:name="_Toc7442"/>
      <w:bookmarkStart w:id="126" w:name="_Toc384"/>
      <w:r>
        <w:rPr>
          <w:rFonts w:ascii="仿宋_GB2312" w:eastAsia="仿宋_GB2312" w:hAnsi="仿宋_GB2312" w:cs="仿宋_GB2312" w:hint="eastAsia"/>
          <w:bCs/>
          <w:sz w:val="28"/>
          <w:szCs w:val="28"/>
        </w:rPr>
        <w:t>项目效率性分析</w:t>
      </w:r>
      <w:bookmarkEnd w:id="122"/>
      <w:bookmarkEnd w:id="123"/>
      <w:bookmarkEnd w:id="124"/>
      <w:bookmarkEnd w:id="125"/>
      <w:bookmarkEnd w:id="126"/>
    </w:p>
    <w:p w:rsidR="00A34C52" w:rsidRDefault="005B1AC0">
      <w:pPr>
        <w:ind w:firstLineChars="200" w:firstLine="560"/>
        <w:rPr>
          <w:rFonts w:ascii="仿宋_GB2312" w:eastAsia="仿宋_GB2312" w:hAnsi="仿宋_GB2312" w:cs="仿宋_GB2312"/>
          <w:bCs/>
          <w:kern w:val="44"/>
          <w:sz w:val="28"/>
          <w:szCs w:val="28"/>
        </w:rPr>
      </w:pPr>
      <w:r>
        <w:rPr>
          <w:rFonts w:ascii="仿宋_GB2312" w:eastAsia="仿宋_GB2312" w:hAnsi="仿宋_GB2312" w:cs="仿宋_GB2312" w:hint="eastAsia"/>
          <w:bCs/>
          <w:kern w:val="44"/>
          <w:sz w:val="28"/>
          <w:szCs w:val="28"/>
        </w:rPr>
        <w:t>（1）项目完成质量</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lastRenderedPageBreak/>
        <w:t>缺乏信息系统运维的明确质量标准，项目验收的有效性不足。该项指标权重15分，根据评分规则评价得分13.80分。</w:t>
      </w:r>
    </w:p>
    <w:p w:rsidR="00A34C52" w:rsidRDefault="005B1AC0">
      <w:pPr>
        <w:ind w:left="400" w:firstLineChars="100" w:firstLine="280"/>
        <w:rPr>
          <w:rFonts w:ascii="仿宋_GB2312" w:eastAsia="仿宋_GB2312" w:hAnsi="仿宋_GB2312" w:cs="仿宋_GB2312"/>
          <w:bCs/>
          <w:kern w:val="44"/>
          <w:sz w:val="28"/>
          <w:szCs w:val="28"/>
        </w:rPr>
      </w:pPr>
      <w:r>
        <w:rPr>
          <w:rFonts w:ascii="仿宋_GB2312" w:eastAsia="仿宋_GB2312" w:hAnsi="仿宋_GB2312" w:cs="仿宋_GB2312" w:hint="eastAsia"/>
          <w:bCs/>
          <w:kern w:val="44"/>
          <w:sz w:val="28"/>
          <w:szCs w:val="28"/>
        </w:rPr>
        <w:t>（2）项目的实施进度</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项目在年度内按计划完成。</w:t>
      </w:r>
      <w:r>
        <w:rPr>
          <w:rFonts w:ascii="仿宋_GB2312" w:eastAsia="仿宋_GB2312" w:hAnsi="仿宋_GB2312" w:cs="仿宋_GB2312"/>
          <w:kern w:val="44"/>
          <w:sz w:val="28"/>
          <w:szCs w:val="28"/>
        </w:rPr>
        <w:t>该项指标权重5分，根据评分规则评价得分</w:t>
      </w:r>
      <w:r>
        <w:rPr>
          <w:rFonts w:ascii="仿宋_GB2312" w:eastAsia="仿宋_GB2312" w:hAnsi="仿宋_GB2312" w:cs="仿宋_GB2312" w:hint="eastAsia"/>
          <w:kern w:val="44"/>
          <w:sz w:val="28"/>
          <w:szCs w:val="28"/>
        </w:rPr>
        <w:t>5.00</w:t>
      </w:r>
      <w:r>
        <w:rPr>
          <w:rFonts w:ascii="仿宋_GB2312" w:eastAsia="仿宋_GB2312" w:hAnsi="仿宋_GB2312" w:cs="仿宋_GB2312"/>
          <w:kern w:val="44"/>
          <w:sz w:val="28"/>
          <w:szCs w:val="28"/>
        </w:rPr>
        <w:t>分。</w:t>
      </w:r>
    </w:p>
    <w:p w:rsidR="00A34C52" w:rsidRDefault="005B1AC0">
      <w:pPr>
        <w:numPr>
          <w:ilvl w:val="0"/>
          <w:numId w:val="11"/>
        </w:numPr>
        <w:spacing w:line="560" w:lineRule="exact"/>
        <w:ind w:firstLineChars="200" w:firstLine="560"/>
        <w:outlineLvl w:val="2"/>
        <w:rPr>
          <w:rFonts w:ascii="仿宋_GB2312" w:eastAsia="仿宋_GB2312" w:hAnsi="仿宋_GB2312" w:cs="仿宋_GB2312"/>
          <w:bCs/>
          <w:sz w:val="28"/>
          <w:szCs w:val="28"/>
        </w:rPr>
      </w:pPr>
      <w:bookmarkStart w:id="127" w:name="_Toc18244"/>
      <w:bookmarkStart w:id="128" w:name="_Toc1484"/>
      <w:bookmarkStart w:id="129" w:name="_Toc14040"/>
      <w:bookmarkStart w:id="130" w:name="_Toc77203364"/>
      <w:bookmarkStart w:id="131" w:name="_Toc25211"/>
      <w:bookmarkStart w:id="132" w:name="_Toc4559"/>
      <w:bookmarkStart w:id="133" w:name="_Toc32143"/>
      <w:r>
        <w:rPr>
          <w:rFonts w:ascii="仿宋_GB2312" w:eastAsia="仿宋_GB2312" w:hAnsi="仿宋_GB2312" w:cs="仿宋_GB2312" w:hint="eastAsia"/>
          <w:bCs/>
          <w:sz w:val="28"/>
          <w:szCs w:val="28"/>
        </w:rPr>
        <w:t>项目产出成本</w:t>
      </w:r>
      <w:bookmarkEnd w:id="127"/>
      <w:bookmarkEnd w:id="128"/>
      <w:r>
        <w:rPr>
          <w:rFonts w:ascii="仿宋_GB2312" w:eastAsia="仿宋_GB2312" w:hAnsi="仿宋_GB2312" w:cs="仿宋_GB2312" w:hint="eastAsia"/>
          <w:bCs/>
          <w:sz w:val="28"/>
          <w:szCs w:val="28"/>
        </w:rPr>
        <w:t>节约率</w:t>
      </w:r>
      <w:bookmarkEnd w:id="129"/>
      <w:bookmarkEnd w:id="130"/>
      <w:bookmarkEnd w:id="131"/>
      <w:bookmarkEnd w:id="132"/>
      <w:bookmarkEnd w:id="133"/>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2021年批复项目资金910,000.00元，截至2021年12月31日已支付资金908,000.00元，预算执行率为99.78%，资金节约率为0.22%。但项目成本控制措施不够明确，对于延续性项目的成本测算信息不足。该项指标权重分5分，根据评分规则评价得分3.86分。</w:t>
      </w:r>
    </w:p>
    <w:p w:rsidR="00A34C52" w:rsidRDefault="005B1AC0">
      <w:pPr>
        <w:numPr>
          <w:ilvl w:val="0"/>
          <w:numId w:val="5"/>
        </w:numPr>
        <w:spacing w:line="560" w:lineRule="exact"/>
        <w:outlineLvl w:val="1"/>
        <w:rPr>
          <w:rFonts w:ascii="楷体_GB2312" w:eastAsia="楷体_GB2312" w:hAnsi="楷体_GB2312" w:cs="楷体_GB2312"/>
          <w:bCs/>
          <w:sz w:val="32"/>
          <w:szCs w:val="32"/>
        </w:rPr>
      </w:pPr>
      <w:bookmarkStart w:id="134" w:name="_Toc24895"/>
      <w:bookmarkStart w:id="135" w:name="_Toc77203365"/>
      <w:bookmarkStart w:id="136" w:name="_Toc27826"/>
      <w:bookmarkStart w:id="137" w:name="_Toc26692"/>
      <w:bookmarkStart w:id="138" w:name="_Toc10930"/>
      <w:r>
        <w:rPr>
          <w:rFonts w:ascii="楷体_GB2312" w:eastAsia="楷体_GB2312" w:hAnsi="楷体_GB2312" w:cs="楷体_GB2312" w:hint="eastAsia"/>
          <w:bCs/>
          <w:sz w:val="32"/>
          <w:szCs w:val="32"/>
        </w:rPr>
        <w:t>项目效益性分析</w:t>
      </w:r>
      <w:bookmarkEnd w:id="134"/>
      <w:bookmarkEnd w:id="135"/>
      <w:bookmarkEnd w:id="136"/>
      <w:bookmarkEnd w:id="137"/>
      <w:bookmarkEnd w:id="138"/>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效益部分从实施效益和服务对象满意度两个方面两个三级指标对项目进行考察，其中实施效益包括经济、社会和可持续影响，效益类指标共计30分，本项目实际得分23.46分，得分率78.20%。各指标的实际得分情况如下表：</w:t>
      </w:r>
    </w:p>
    <w:tbl>
      <w:tblPr>
        <w:tblW w:w="8379" w:type="dxa"/>
        <w:tblInd w:w="93" w:type="dxa"/>
        <w:tblBorders>
          <w:top w:val="single" w:sz="12" w:space="0" w:color="auto"/>
          <w:bottom w:val="single" w:sz="12" w:space="0" w:color="auto"/>
          <w:insideH w:val="dotted" w:sz="4" w:space="0" w:color="auto"/>
          <w:insideV w:val="dotted" w:sz="4" w:space="0" w:color="auto"/>
        </w:tblBorders>
        <w:tblLook w:val="04A0"/>
      </w:tblPr>
      <w:tblGrid>
        <w:gridCol w:w="1080"/>
        <w:gridCol w:w="2763"/>
        <w:gridCol w:w="1080"/>
        <w:gridCol w:w="1080"/>
        <w:gridCol w:w="1080"/>
        <w:gridCol w:w="1296"/>
      </w:tblGrid>
      <w:tr w:rsidR="00A34C52">
        <w:trPr>
          <w:trHeight w:val="480"/>
        </w:trPr>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2763"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1080"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296" w:type="dxa"/>
            <w:tcBorders>
              <w:top w:val="single" w:sz="12" w:space="0" w:color="auto"/>
              <w:bottom w:val="single" w:sz="6" w:space="0" w:color="auto"/>
            </w:tcBorders>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A34C52">
        <w:trPr>
          <w:trHeight w:val="270"/>
        </w:trPr>
        <w:tc>
          <w:tcPr>
            <w:tcW w:w="1080"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2763"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实施效益</w:t>
            </w:r>
          </w:p>
        </w:tc>
        <w:tc>
          <w:tcPr>
            <w:tcW w:w="1080"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20</w:t>
            </w:r>
          </w:p>
        </w:tc>
        <w:tc>
          <w:tcPr>
            <w:tcW w:w="1080" w:type="dxa"/>
            <w:tcBorders>
              <w:top w:val="single" w:sz="6" w:space="0" w:color="auto"/>
            </w:tcBorders>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tcBorders>
              <w:top w:val="single" w:sz="6" w:space="0" w:color="auto"/>
            </w:tcBorders>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18.66 </w:t>
            </w:r>
          </w:p>
        </w:tc>
        <w:tc>
          <w:tcPr>
            <w:tcW w:w="1296" w:type="dxa"/>
            <w:tcBorders>
              <w:top w:val="single" w:sz="6" w:space="0" w:color="auto"/>
            </w:tcBorders>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93.30%</w:t>
            </w:r>
          </w:p>
        </w:tc>
      </w:tr>
      <w:tr w:rsidR="00A34C52">
        <w:trPr>
          <w:trHeight w:val="270"/>
        </w:trPr>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2763"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满意度</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w:t>
            </w:r>
          </w:p>
        </w:tc>
        <w:tc>
          <w:tcPr>
            <w:tcW w:w="1080" w:type="dxa"/>
            <w:shd w:val="clear" w:color="auto" w:fill="auto"/>
            <w:vAlign w:val="center"/>
          </w:tcPr>
          <w:p w:rsidR="00A34C52" w:rsidRDefault="005B1AC0">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shd w:val="clear" w:color="auto" w:fill="auto"/>
            <w:vAlign w:val="center"/>
          </w:tcPr>
          <w:p w:rsidR="00A34C52" w:rsidRDefault="005B1AC0">
            <w:pPr>
              <w:widowControl/>
              <w:jc w:val="center"/>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 xml:space="preserve">4.80 </w:t>
            </w:r>
          </w:p>
        </w:tc>
        <w:tc>
          <w:tcPr>
            <w:tcW w:w="1296" w:type="dxa"/>
            <w:shd w:val="clear" w:color="auto" w:fill="auto"/>
            <w:vAlign w:val="center"/>
          </w:tcPr>
          <w:p w:rsidR="00A34C52" w:rsidRDefault="005B1AC0">
            <w:pPr>
              <w:widowControl/>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48.00%</w:t>
            </w:r>
          </w:p>
        </w:tc>
      </w:tr>
      <w:tr w:rsidR="00A34C52">
        <w:trPr>
          <w:trHeight w:val="285"/>
        </w:trPr>
        <w:tc>
          <w:tcPr>
            <w:tcW w:w="1080"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2763"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1080" w:type="dxa"/>
            <w:shd w:val="clear" w:color="auto" w:fill="auto"/>
            <w:vAlign w:val="center"/>
          </w:tcPr>
          <w:p w:rsidR="00A34C52" w:rsidRDefault="005B1AC0">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30</w:t>
            </w:r>
          </w:p>
        </w:tc>
        <w:tc>
          <w:tcPr>
            <w:tcW w:w="1080" w:type="dxa"/>
            <w:shd w:val="clear" w:color="auto" w:fill="auto"/>
            <w:vAlign w:val="center"/>
          </w:tcPr>
          <w:p w:rsidR="00A34C52" w:rsidRDefault="005B1AC0">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080" w:type="dxa"/>
            <w:shd w:val="clear" w:color="auto" w:fill="auto"/>
            <w:vAlign w:val="center"/>
          </w:tcPr>
          <w:p w:rsidR="00A34C52" w:rsidRDefault="005B1AC0">
            <w:pPr>
              <w:widowControl/>
              <w:jc w:val="center"/>
              <w:textAlignment w:val="center"/>
              <w:rPr>
                <w:rFonts w:ascii="仿宋" w:eastAsia="仿宋" w:hAnsi="仿宋" w:cs="仿宋"/>
                <w:b/>
                <w:color w:val="000000"/>
                <w:kern w:val="0"/>
                <w:sz w:val="24"/>
                <w:szCs w:val="24"/>
              </w:rPr>
            </w:pPr>
            <w:r>
              <w:rPr>
                <w:rFonts w:ascii="仿宋" w:eastAsia="仿宋" w:hAnsi="仿宋" w:cs="仿宋" w:hint="eastAsia"/>
                <w:b/>
                <w:bCs/>
                <w:color w:val="000000"/>
                <w:kern w:val="0"/>
                <w:sz w:val="24"/>
                <w:szCs w:val="24"/>
              </w:rPr>
              <w:t xml:space="preserve">23.46 </w:t>
            </w:r>
          </w:p>
        </w:tc>
        <w:tc>
          <w:tcPr>
            <w:tcW w:w="1296" w:type="dxa"/>
            <w:shd w:val="clear" w:color="auto" w:fill="auto"/>
            <w:vAlign w:val="center"/>
          </w:tcPr>
          <w:p w:rsidR="00A34C52" w:rsidRDefault="005B1AC0">
            <w:pPr>
              <w:widowControl/>
              <w:textAlignment w:val="center"/>
              <w:rPr>
                <w:rFonts w:ascii="仿宋" w:eastAsia="仿宋" w:hAnsi="仿宋" w:cs="仿宋"/>
                <w:b/>
                <w:color w:val="000000"/>
                <w:kern w:val="0"/>
                <w:sz w:val="24"/>
                <w:szCs w:val="24"/>
              </w:rPr>
            </w:pPr>
            <w:r>
              <w:rPr>
                <w:rFonts w:ascii="仿宋" w:eastAsia="仿宋" w:hAnsi="仿宋" w:cs="仿宋" w:hint="eastAsia"/>
                <w:color w:val="000000"/>
                <w:kern w:val="0"/>
                <w:sz w:val="24"/>
                <w:szCs w:val="24"/>
              </w:rPr>
              <w:t>78.20%</w:t>
            </w:r>
          </w:p>
        </w:tc>
      </w:tr>
    </w:tbl>
    <w:p w:rsidR="00A34C52" w:rsidRDefault="00A34C52">
      <w:pPr>
        <w:rPr>
          <w:rFonts w:ascii="宋体" w:eastAsia="宋体" w:hAnsi="宋体" w:cs="仿宋_GB2312"/>
          <w:b/>
          <w:kern w:val="44"/>
          <w:szCs w:val="21"/>
        </w:rPr>
      </w:pPr>
    </w:p>
    <w:p w:rsidR="00A34C52" w:rsidRDefault="005B1AC0">
      <w:pPr>
        <w:numPr>
          <w:ilvl w:val="0"/>
          <w:numId w:val="12"/>
        </w:numPr>
        <w:spacing w:line="560" w:lineRule="exact"/>
        <w:ind w:firstLineChars="200" w:firstLine="560"/>
        <w:outlineLvl w:val="2"/>
        <w:rPr>
          <w:rFonts w:ascii="仿宋_GB2312" w:eastAsia="仿宋_GB2312" w:hAnsi="仿宋_GB2312" w:cs="仿宋_GB2312"/>
          <w:bCs/>
          <w:sz w:val="28"/>
          <w:szCs w:val="28"/>
        </w:rPr>
      </w:pPr>
      <w:bookmarkStart w:id="139" w:name="_Toc77203366"/>
      <w:bookmarkStart w:id="140" w:name="_Toc8883"/>
      <w:bookmarkStart w:id="141" w:name="_Toc23857"/>
      <w:bookmarkStart w:id="142" w:name="_Toc11656"/>
      <w:r>
        <w:rPr>
          <w:rFonts w:ascii="仿宋_GB2312" w:eastAsia="仿宋_GB2312" w:hAnsi="仿宋_GB2312" w:cs="仿宋_GB2312" w:hint="eastAsia"/>
          <w:bCs/>
          <w:sz w:val="28"/>
          <w:szCs w:val="28"/>
        </w:rPr>
        <w:t>实施效益</w:t>
      </w:r>
      <w:bookmarkEnd w:id="139"/>
      <w:bookmarkEnd w:id="140"/>
      <w:bookmarkEnd w:id="141"/>
      <w:bookmarkEnd w:id="142"/>
    </w:p>
    <w:p w:rsidR="00A34C52" w:rsidRDefault="005B1AC0">
      <w:pPr>
        <w:numPr>
          <w:ilvl w:val="0"/>
          <w:numId w:val="13"/>
        </w:num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项目实施对经济和社会的影响</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推进网上办事、无纸化办公，提高办事效率，节约办公经费；增加平台覆盖面，提升数据共享度，促进政务公开、社会公众监督。该</w:t>
      </w:r>
      <w:r>
        <w:rPr>
          <w:rFonts w:ascii="仿宋_GB2312" w:eastAsia="仿宋_GB2312" w:hAnsi="仿宋_GB2312" w:cs="仿宋_GB2312" w:hint="eastAsia"/>
          <w:kern w:val="44"/>
          <w:sz w:val="28"/>
          <w:szCs w:val="28"/>
        </w:rPr>
        <w:lastRenderedPageBreak/>
        <w:t>项指标权重分15分，根据评分规则评价得分15.00分。</w:t>
      </w:r>
    </w:p>
    <w:p w:rsidR="00A34C52" w:rsidRDefault="005B1AC0">
      <w:pPr>
        <w:numPr>
          <w:ilvl w:val="0"/>
          <w:numId w:val="13"/>
        </w:num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项目可持续影响</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为保障延续性项目，信息化系统不断发展完善，对延庆区法院提高工作效率、促进政务公开，产生积极的可持续影响，但可持续影响指标设置不够明确，相关管理机制和对第三方的监管要求不明晰。该项指标权重分5分，根据评分规则评价得分3.66分。</w:t>
      </w:r>
    </w:p>
    <w:p w:rsidR="00A34C52" w:rsidRDefault="005B1AC0">
      <w:pPr>
        <w:numPr>
          <w:ilvl w:val="0"/>
          <w:numId w:val="12"/>
        </w:numPr>
        <w:spacing w:line="560" w:lineRule="exact"/>
        <w:ind w:firstLineChars="200" w:firstLine="560"/>
        <w:outlineLvl w:val="2"/>
        <w:rPr>
          <w:rFonts w:ascii="仿宋_GB2312" w:eastAsia="仿宋_GB2312" w:hAnsi="仿宋_GB2312" w:cs="仿宋_GB2312"/>
          <w:bCs/>
          <w:sz w:val="28"/>
          <w:szCs w:val="28"/>
        </w:rPr>
      </w:pPr>
      <w:bookmarkStart w:id="143" w:name="_Toc5403"/>
      <w:bookmarkStart w:id="144" w:name="_Toc22456"/>
      <w:bookmarkStart w:id="145" w:name="_Toc77203367"/>
      <w:bookmarkStart w:id="146" w:name="_Toc19554"/>
      <w:r>
        <w:rPr>
          <w:rFonts w:ascii="仿宋_GB2312" w:eastAsia="仿宋_GB2312" w:hAnsi="仿宋_GB2312" w:cs="仿宋_GB2312" w:hint="eastAsia"/>
          <w:bCs/>
          <w:sz w:val="28"/>
          <w:szCs w:val="28"/>
        </w:rPr>
        <w:t>服务对象满意度</w:t>
      </w:r>
      <w:bookmarkEnd w:id="143"/>
      <w:bookmarkEnd w:id="144"/>
      <w:bookmarkEnd w:id="145"/>
      <w:bookmarkEnd w:id="146"/>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项目未发生投诉、重大事故，但满意度调查和分析不足。</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10</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4.80</w:t>
      </w:r>
      <w:r>
        <w:rPr>
          <w:rFonts w:ascii="仿宋_GB2312" w:eastAsia="仿宋_GB2312" w:hAnsi="仿宋_GB2312" w:cs="仿宋_GB2312"/>
          <w:kern w:val="44"/>
          <w:sz w:val="28"/>
          <w:szCs w:val="28"/>
        </w:rPr>
        <w:t>分。</w:t>
      </w:r>
    </w:p>
    <w:p w:rsidR="00A34C52" w:rsidRDefault="005B1AC0">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147" w:name="_Toc516663580"/>
      <w:bookmarkStart w:id="148" w:name="_Toc30795"/>
      <w:bookmarkStart w:id="149" w:name="_Toc9678"/>
      <w:bookmarkStart w:id="150" w:name="_Toc77203369"/>
      <w:bookmarkStart w:id="151" w:name="_Toc29005"/>
      <w:bookmarkStart w:id="152" w:name="_Toc15272"/>
      <w:bookmarkEnd w:id="67"/>
      <w:r>
        <w:rPr>
          <w:rFonts w:ascii="黑体" w:eastAsia="黑体" w:hAnsi="黑体" w:cs="黑体" w:hint="eastAsia"/>
          <w:b w:val="0"/>
          <w:kern w:val="0"/>
          <w:sz w:val="32"/>
          <w:szCs w:val="32"/>
          <w:lang w:bidi="en-US"/>
        </w:rPr>
        <w:t>存在的主要问题</w:t>
      </w:r>
      <w:bookmarkEnd w:id="147"/>
      <w:bookmarkEnd w:id="148"/>
      <w:bookmarkEnd w:id="149"/>
      <w:bookmarkEnd w:id="150"/>
      <w:bookmarkEnd w:id="151"/>
      <w:bookmarkEnd w:id="152"/>
    </w:p>
    <w:p w:rsidR="00A34C52" w:rsidRDefault="005B1AC0">
      <w:pPr>
        <w:numPr>
          <w:ilvl w:val="0"/>
          <w:numId w:val="14"/>
        </w:numPr>
        <w:spacing w:line="560" w:lineRule="exact"/>
        <w:outlineLvl w:val="1"/>
        <w:rPr>
          <w:rFonts w:ascii="楷体_GB2312" w:eastAsia="楷体_GB2312" w:hAnsi="楷体_GB2312" w:cs="楷体_GB2312"/>
          <w:bCs/>
          <w:sz w:val="32"/>
          <w:szCs w:val="32"/>
        </w:rPr>
      </w:pPr>
      <w:bookmarkStart w:id="153" w:name="_Toc77203370"/>
      <w:bookmarkStart w:id="154" w:name="_Toc14536"/>
      <w:bookmarkStart w:id="155" w:name="_Toc31070"/>
      <w:bookmarkStart w:id="156" w:name="_Toc15285"/>
      <w:r>
        <w:rPr>
          <w:rFonts w:ascii="楷体_GB2312" w:eastAsia="楷体_GB2312" w:hAnsi="楷体_GB2312" w:cs="楷体_GB2312" w:hint="eastAsia"/>
          <w:bCs/>
          <w:sz w:val="32"/>
          <w:szCs w:val="32"/>
        </w:rPr>
        <w:t>项目决策方面</w:t>
      </w:r>
      <w:bookmarkEnd w:id="153"/>
      <w:bookmarkEnd w:id="154"/>
      <w:bookmarkEnd w:id="155"/>
      <w:bookmarkEnd w:id="156"/>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项目绩效目标和指标设定不够准确和明确。数量指标不够具体，未明确硬件、软件维护数量，以及是否租用专属云、专线、互联网带宽等内容。质量指标不够明确，未能约定应用系统故障次数、硬件、软件维护故障次数等具体质量要求。时效指标未能明确故障应急响应时间、故障修复时间等要求。效益指标不够量化，未能明确应用系统使用率、硬件使用率、系统正常运行率等要求。</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2.预算编制科学性不足。预算编制不够细化，项目预算91万元，包括两大项内容，</w:t>
      </w:r>
      <w:r>
        <w:rPr>
          <w:rFonts w:ascii="仿宋_GB2312" w:eastAsia="仿宋_GB2312" w:hAnsi="仿宋" w:cs="Times New Roman" w:hint="eastAsia"/>
          <w:kern w:val="0"/>
          <w:sz w:val="28"/>
          <w:szCs w:val="28"/>
          <w:lang w:bidi="en-US"/>
        </w:rPr>
        <w:t>信</w:t>
      </w:r>
      <w:r>
        <w:rPr>
          <w:rFonts w:ascii="仿宋_GB2312" w:eastAsia="仿宋_GB2312" w:hAnsi="仿宋" w:cs="Times New Roman"/>
          <w:kern w:val="0"/>
          <w:sz w:val="28"/>
          <w:szCs w:val="28"/>
          <w:lang w:bidi="en-US"/>
        </w:rPr>
        <w:t>息化基础环境运维</w:t>
      </w:r>
      <w:r>
        <w:rPr>
          <w:rFonts w:ascii="仿宋_GB2312" w:eastAsia="仿宋_GB2312" w:hAnsi="仿宋" w:cs="Times New Roman" w:hint="eastAsia"/>
          <w:kern w:val="0"/>
          <w:sz w:val="28"/>
          <w:szCs w:val="28"/>
          <w:lang w:bidi="en-US"/>
        </w:rPr>
        <w:t>和</w:t>
      </w:r>
      <w:r>
        <w:rPr>
          <w:rFonts w:ascii="仿宋_GB2312" w:eastAsia="仿宋_GB2312" w:hAnsi="仿宋" w:cs="Times New Roman"/>
          <w:kern w:val="0"/>
          <w:sz w:val="28"/>
          <w:szCs w:val="28"/>
          <w:lang w:bidi="en-US"/>
        </w:rPr>
        <w:t>信息安全系统运维</w:t>
      </w:r>
      <w:r>
        <w:rPr>
          <w:rFonts w:ascii="仿宋_GB2312" w:eastAsia="仿宋_GB2312" w:hAnsi="仿宋_GB2312" w:cs="仿宋_GB2312" w:hint="eastAsia"/>
          <w:kern w:val="44"/>
          <w:sz w:val="28"/>
          <w:szCs w:val="28"/>
        </w:rPr>
        <w:t>，但细化不足，对于工作量和预算测算标准缺少说明，预算测算信息不足，未明确各项运维的工作量和标准的细化内容。</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以上1-2问题属于限期整改类，应在评价结束后在下一年度内完</w:t>
      </w:r>
      <w:r>
        <w:rPr>
          <w:rFonts w:ascii="仿宋_GB2312" w:eastAsia="仿宋_GB2312" w:hAnsi="仿宋_GB2312" w:cs="仿宋_GB2312" w:hint="eastAsia"/>
          <w:kern w:val="44"/>
          <w:sz w:val="28"/>
          <w:szCs w:val="28"/>
        </w:rPr>
        <w:lastRenderedPageBreak/>
        <w:t>成整改。</w:t>
      </w:r>
    </w:p>
    <w:p w:rsidR="00A34C52" w:rsidRDefault="005B1AC0">
      <w:pPr>
        <w:numPr>
          <w:ilvl w:val="0"/>
          <w:numId w:val="14"/>
        </w:numPr>
        <w:spacing w:line="560" w:lineRule="exact"/>
        <w:outlineLvl w:val="1"/>
        <w:rPr>
          <w:rFonts w:ascii="楷体_GB2312" w:eastAsia="楷体_GB2312" w:hAnsi="楷体_GB2312" w:cs="楷体_GB2312"/>
          <w:bCs/>
          <w:sz w:val="32"/>
          <w:szCs w:val="32"/>
        </w:rPr>
      </w:pPr>
      <w:bookmarkStart w:id="157" w:name="_Toc9417"/>
      <w:bookmarkStart w:id="158" w:name="_Toc3318"/>
      <w:bookmarkStart w:id="159" w:name="_Toc4802"/>
      <w:bookmarkStart w:id="160" w:name="_Toc77203371"/>
      <w:r>
        <w:rPr>
          <w:rFonts w:ascii="楷体_GB2312" w:eastAsia="楷体_GB2312" w:hAnsi="楷体_GB2312" w:cs="楷体_GB2312" w:hint="eastAsia"/>
          <w:bCs/>
          <w:sz w:val="32"/>
          <w:szCs w:val="32"/>
        </w:rPr>
        <w:t>项目过程管理方面</w:t>
      </w:r>
      <w:bookmarkEnd w:id="157"/>
      <w:bookmarkEnd w:id="158"/>
      <w:bookmarkEnd w:id="159"/>
      <w:bookmarkEnd w:id="160"/>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项目实施方案的有效性不足。项目实施方案为第三方运维服务商进行信息系统运维的工作计划，现有实施方案中未能体现延庆区法院对系统运维的采购方式、进度、质量、验收等要求，与项目实施方案中体现项目实施主体有效管理项目的基本要求不符，实施方案的有效性不足。</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对于第三方运维服务商的遴选不够规范。延庆区法院于2021年5月26日与基础环境运维服务商北京华宇信息技术有限公司签订了基础环境运维服务合同，合同标的金额59.8万元，但未见对第三方运维服务商的遴选信息。</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3.合同倒签。延庆区法院</w:t>
      </w:r>
      <w:bookmarkStart w:id="161" w:name="_GoBack"/>
      <w:bookmarkEnd w:id="161"/>
      <w:r>
        <w:rPr>
          <w:rFonts w:ascii="仿宋_GB2312" w:eastAsia="仿宋_GB2312" w:hAnsi="仿宋_GB2312" w:cs="仿宋_GB2312" w:hint="eastAsia"/>
          <w:kern w:val="44"/>
          <w:sz w:val="28"/>
          <w:szCs w:val="28"/>
        </w:rPr>
        <w:t>与基础环境运维服务商北京华宇信息技术有限公司签署的运维服务合同时间为2021年5月26日，而实际运维服务的时间为2021年4月1日至2022年3月31日。与安全运维服务商网际天娇信息安全技术服务（北京）有限公司签署的运维服务合同时间为2021年4月7日，而实际运维服务的时间为2020年12月31日至2021年12月31日。合同签订时间均滞后于合同约定的实际运维时间。</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4.对第三方运维的监管机制不够明晰，缺乏相应的管理制度，缺少监管信息。</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5.项目验收不够规范。项目验收单验收意见过于笼统，不够细化明确，未见具体验收人签字和验收时间，验收要素不完整，验收不够</w:t>
      </w:r>
      <w:r>
        <w:rPr>
          <w:rFonts w:ascii="仿宋_GB2312" w:eastAsia="仿宋_GB2312" w:hAnsi="仿宋_GB2312" w:cs="仿宋_GB2312" w:hint="eastAsia"/>
          <w:kern w:val="44"/>
          <w:sz w:val="28"/>
          <w:szCs w:val="28"/>
        </w:rPr>
        <w:lastRenderedPageBreak/>
        <w:t>严谨和规范。</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以上问题属于限期整改类，应在评价结束后在下一年度内完成整改。</w:t>
      </w:r>
    </w:p>
    <w:p w:rsidR="00A34C52" w:rsidRDefault="005B1AC0">
      <w:pPr>
        <w:numPr>
          <w:ilvl w:val="0"/>
          <w:numId w:val="14"/>
        </w:numPr>
        <w:spacing w:line="560" w:lineRule="exact"/>
        <w:outlineLvl w:val="1"/>
        <w:rPr>
          <w:rFonts w:ascii="楷体_GB2312" w:eastAsia="楷体_GB2312" w:hAnsi="楷体_GB2312" w:cs="楷体_GB2312"/>
          <w:bCs/>
          <w:sz w:val="32"/>
          <w:szCs w:val="32"/>
        </w:rPr>
      </w:pPr>
      <w:r>
        <w:rPr>
          <w:rFonts w:ascii="楷体_GB2312" w:eastAsia="楷体_GB2312" w:hAnsi="楷体_GB2312" w:cs="楷体_GB2312" w:hint="eastAsia"/>
          <w:bCs/>
          <w:sz w:val="32"/>
          <w:szCs w:val="32"/>
        </w:rPr>
        <w:t>项目效益方面</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 xml:space="preserve">1.项目绩效成果呈现的不够充分，缺少相关支撑信息。对于未来的运维模式和管理机制呈现的不够充分，项目的可持续性影响说明不够充分。未撰写项目绩效报告，项目管理要素不完整。 </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 xml:space="preserve">2.满意度调查不够充分。未见相关满意度调查信息，满意度信息不足。  </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以上问题属于限期整改类，应在评价结束后在下一年度内完成整改。</w:t>
      </w:r>
    </w:p>
    <w:p w:rsidR="00A34C52" w:rsidRDefault="005B1AC0">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162" w:name="_Toc13469"/>
      <w:bookmarkStart w:id="163" w:name="_Toc16337"/>
      <w:bookmarkStart w:id="164" w:name="_Toc8825"/>
      <w:bookmarkStart w:id="165" w:name="_Toc516663581"/>
      <w:bookmarkStart w:id="166" w:name="_Toc77203374"/>
      <w:bookmarkStart w:id="167" w:name="_Toc12454"/>
      <w:r>
        <w:rPr>
          <w:rFonts w:ascii="黑体" w:eastAsia="黑体" w:hAnsi="黑体" w:cs="黑体" w:hint="eastAsia"/>
          <w:b w:val="0"/>
          <w:kern w:val="0"/>
          <w:sz w:val="32"/>
          <w:szCs w:val="32"/>
          <w:lang w:bidi="en-US"/>
        </w:rPr>
        <w:t>有关建议</w:t>
      </w:r>
      <w:bookmarkEnd w:id="162"/>
      <w:bookmarkEnd w:id="163"/>
      <w:bookmarkEnd w:id="164"/>
      <w:bookmarkEnd w:id="165"/>
      <w:bookmarkEnd w:id="166"/>
      <w:bookmarkEnd w:id="167"/>
    </w:p>
    <w:p w:rsidR="00A34C52" w:rsidRDefault="005B1AC0">
      <w:pPr>
        <w:numPr>
          <w:ilvl w:val="0"/>
          <w:numId w:val="15"/>
        </w:numPr>
        <w:spacing w:line="560" w:lineRule="exact"/>
        <w:outlineLvl w:val="1"/>
        <w:rPr>
          <w:rFonts w:ascii="楷体_GB2312" w:eastAsia="楷体_GB2312" w:hAnsi="楷体_GB2312" w:cs="楷体_GB2312"/>
          <w:bCs/>
          <w:sz w:val="32"/>
          <w:szCs w:val="32"/>
        </w:rPr>
      </w:pPr>
      <w:bookmarkStart w:id="168" w:name="_Toc12160"/>
      <w:bookmarkStart w:id="169" w:name="_Toc10391"/>
      <w:bookmarkStart w:id="170" w:name="_Toc23802"/>
      <w:bookmarkStart w:id="171" w:name="_Toc77203375"/>
      <w:bookmarkStart w:id="172" w:name="_Toc516663582"/>
      <w:r>
        <w:rPr>
          <w:rFonts w:ascii="楷体_GB2312" w:eastAsia="楷体_GB2312" w:hAnsi="楷体_GB2312" w:cs="楷体_GB2312" w:hint="eastAsia"/>
          <w:bCs/>
          <w:sz w:val="32"/>
          <w:szCs w:val="32"/>
        </w:rPr>
        <w:t>项目决策方面</w:t>
      </w:r>
      <w:bookmarkEnd w:id="168"/>
      <w:bookmarkEnd w:id="169"/>
      <w:bookmarkEnd w:id="170"/>
      <w:bookmarkEnd w:id="171"/>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1.明确项目绩效目标，细化绩效指标的设定。对涉及的硬件、软件维护数量予以细化，明确各项维护质量标准，提高绩效指标的的针对性和可量化性，以便方便考核、评估绩效目标的实现程度。</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2.合理测算项目预算。信息化运维作为持续性项目，应根据历史数据，合理测算运维的工作量和相关标准，明确甲乙方负责的内容，科学测算项目预算，避免项目预算固化。</w:t>
      </w:r>
    </w:p>
    <w:p w:rsidR="00A34C52" w:rsidRDefault="005B1AC0">
      <w:pPr>
        <w:numPr>
          <w:ilvl w:val="0"/>
          <w:numId w:val="15"/>
        </w:numPr>
        <w:spacing w:line="560" w:lineRule="exact"/>
        <w:outlineLvl w:val="1"/>
        <w:rPr>
          <w:rFonts w:ascii="楷体_GB2312" w:eastAsia="楷体_GB2312" w:hAnsi="楷体_GB2312" w:cs="楷体_GB2312"/>
          <w:bCs/>
          <w:sz w:val="32"/>
          <w:szCs w:val="32"/>
        </w:rPr>
      </w:pPr>
      <w:bookmarkStart w:id="173" w:name="_Toc22545"/>
      <w:bookmarkStart w:id="174" w:name="_Toc29302"/>
      <w:bookmarkStart w:id="175" w:name="_Toc77203376"/>
      <w:bookmarkStart w:id="176" w:name="_Toc4124"/>
      <w:r>
        <w:rPr>
          <w:rFonts w:ascii="楷体_GB2312" w:eastAsia="楷体_GB2312" w:hAnsi="楷体_GB2312" w:cs="楷体_GB2312" w:hint="eastAsia"/>
          <w:bCs/>
          <w:sz w:val="32"/>
          <w:szCs w:val="32"/>
        </w:rPr>
        <w:t>项目管理方面</w:t>
      </w:r>
      <w:bookmarkEnd w:id="173"/>
      <w:bookmarkEnd w:id="174"/>
      <w:bookmarkEnd w:id="175"/>
      <w:bookmarkEnd w:id="176"/>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1.完善、优化项目实施方案。实施方案中要体现项目实施主体对信息系统运维的采购方式、实施进度、工作质量、项目验收等具体要</w:t>
      </w:r>
      <w:r>
        <w:rPr>
          <w:rFonts w:ascii="仿宋_GB2312" w:eastAsia="仿宋_GB2312" w:hAnsi="仿宋_GB2312" w:cs="仿宋_GB2312" w:hint="eastAsia"/>
          <w:kern w:val="44"/>
          <w:sz w:val="28"/>
          <w:szCs w:val="28"/>
        </w:rPr>
        <w:lastRenderedPageBreak/>
        <w:t>求，提高实施方案的有效性。</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2.规范第三方运维服务商的遴选机制、程序。加强过程管理，严格规范第三方服务商遴选过程、完善相关手续。</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3.提高项目管理的精细化水平。作为持续性项目，应建立健全对第三方运维和监管的管理制度，加强对第三方运维的监管和验收，提高项目管理的制度化和规范化水平。</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4.严格遵守政府采购法、合同法，避免出现管理风险。加强合同管理，避免出现合同倒签的情况，合同订立需与合同履行期限一致。</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5.规范项目验收环节。制定、完善项目验收管理办法，提升项目验收手续、验收资料的规范化、制度化。</w:t>
      </w:r>
    </w:p>
    <w:p w:rsidR="00A34C52" w:rsidRDefault="005B1AC0">
      <w:pPr>
        <w:numPr>
          <w:ilvl w:val="0"/>
          <w:numId w:val="15"/>
        </w:numPr>
        <w:spacing w:line="560" w:lineRule="exact"/>
        <w:outlineLvl w:val="1"/>
        <w:rPr>
          <w:rFonts w:ascii="楷体_GB2312" w:eastAsia="楷体_GB2312" w:hAnsi="楷体_GB2312" w:cs="楷体_GB2312"/>
          <w:bCs/>
          <w:sz w:val="32"/>
          <w:szCs w:val="32"/>
        </w:rPr>
      </w:pPr>
      <w:bookmarkStart w:id="177" w:name="_Toc16303"/>
      <w:bookmarkStart w:id="178" w:name="_Toc18925"/>
      <w:bookmarkStart w:id="179" w:name="_Toc10175"/>
      <w:bookmarkStart w:id="180" w:name="_Toc77203378"/>
      <w:r>
        <w:rPr>
          <w:rFonts w:ascii="楷体_GB2312" w:eastAsia="楷体_GB2312" w:hAnsi="楷体_GB2312" w:cs="楷体_GB2312" w:hint="eastAsia"/>
          <w:bCs/>
          <w:sz w:val="32"/>
          <w:szCs w:val="32"/>
        </w:rPr>
        <w:t>项目效益方面</w:t>
      </w:r>
      <w:bookmarkEnd w:id="177"/>
      <w:bookmarkEnd w:id="178"/>
      <w:bookmarkEnd w:id="179"/>
      <w:bookmarkEnd w:id="180"/>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1.注重项目绩效成果的归集工作，并及时进行分析、评价，形成绩效报告，体现财政资金使用的效益性。</w:t>
      </w:r>
    </w:p>
    <w:p w:rsidR="00A34C52" w:rsidRDefault="005B1AC0">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2.重视服务对象满意度的分析与评估，以便发现问题对信息系统持续改进，提高工作效率与质量。</w:t>
      </w:r>
    </w:p>
    <w:p w:rsidR="00A34C52" w:rsidRDefault="005B1AC0">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181" w:name="_Toc77203379"/>
      <w:bookmarkStart w:id="182" w:name="_Toc26739"/>
      <w:bookmarkStart w:id="183" w:name="_Toc13431"/>
      <w:bookmarkStart w:id="184" w:name="_Toc25246"/>
      <w:bookmarkStart w:id="185" w:name="_Toc969"/>
      <w:r>
        <w:rPr>
          <w:rFonts w:ascii="黑体" w:eastAsia="黑体" w:hAnsi="黑体" w:cs="黑体" w:hint="eastAsia"/>
          <w:b w:val="0"/>
          <w:kern w:val="0"/>
          <w:sz w:val="32"/>
          <w:szCs w:val="32"/>
          <w:lang w:bidi="en-US"/>
        </w:rPr>
        <w:t>其他需要说明的问题</w:t>
      </w:r>
    </w:p>
    <w:p w:rsidR="00A34C52" w:rsidRDefault="005B1AC0">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无。</w:t>
      </w:r>
      <w:bookmarkEnd w:id="172"/>
      <w:bookmarkEnd w:id="181"/>
      <w:bookmarkEnd w:id="182"/>
      <w:bookmarkEnd w:id="183"/>
      <w:bookmarkEnd w:id="184"/>
      <w:bookmarkEnd w:id="185"/>
    </w:p>
    <w:sectPr w:rsidR="00A34C52" w:rsidSect="00DC43ED">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14C" w:rsidRDefault="0001014C" w:rsidP="00A34C52">
      <w:r>
        <w:separator/>
      </w:r>
    </w:p>
  </w:endnote>
  <w:endnote w:type="continuationSeparator" w:id="1">
    <w:p w:rsidR="0001014C" w:rsidRDefault="0001014C" w:rsidP="00A34C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DC3" w:rsidRDefault="00787DC3">
    <w:pPr>
      <w:pStyle w:val="a9"/>
    </w:pPr>
    <w:r>
      <w:pict>
        <v:shapetype id="_x0000_t202" coordsize="21600,21600" o:spt="202" path="m,l,21600r21600,l21600,xe">
          <v:stroke joinstyle="miter"/>
          <v:path gradientshapeok="t" o:connecttype="rect"/>
        </v:shapetype>
        <v:shape id="_x0000_s2049" type="#_x0000_t202" style="position:absolute;margin-left:0;margin-top:0;width:4.6pt;height:11pt;z-index:251659264;mso-wrap-style:none;mso-position-horizontal:center;mso-position-horizontal-relative:margin"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4oSfyi4CAABSBAAADgAAAAAAAAABACAAAAAgAQAAZHJzL2Uyb0RvYy54bWxQSwUGAAAA&#10;AAYABgBZAQAAwAUAAAAA&#10;" filled="f" stroked="f" strokeweight=".5pt">
          <v:textbox style="mso-fit-shape-to-text:t" inset="0,0,0,0">
            <w:txbxContent>
              <w:p w:rsidR="00787DC3" w:rsidRDefault="00787DC3">
                <w:pPr>
                  <w:pStyle w:val="a9"/>
                </w:pPr>
                <w:fldSimple w:instr=" PAGE  \* MERGEFORMAT ">
                  <w:r w:rsidR="00DC43ED">
                    <w:rPr>
                      <w:noProof/>
                    </w:rPr>
                    <w:t>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14C" w:rsidRDefault="0001014C" w:rsidP="00A34C52">
      <w:r>
        <w:separator/>
      </w:r>
    </w:p>
  </w:footnote>
  <w:footnote w:type="continuationSeparator" w:id="1">
    <w:p w:rsidR="0001014C" w:rsidRDefault="0001014C" w:rsidP="00A34C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1003ED"/>
    <w:multiLevelType w:val="singleLevel"/>
    <w:tmpl w:val="801003ED"/>
    <w:lvl w:ilvl="0">
      <w:start w:val="1"/>
      <w:numFmt w:val="decimal"/>
      <w:suff w:val="nothing"/>
      <w:lvlText w:val="（%1）"/>
      <w:lvlJc w:val="left"/>
      <w:pPr>
        <w:ind w:left="640" w:firstLine="0"/>
      </w:pPr>
    </w:lvl>
  </w:abstractNum>
  <w:abstractNum w:abstractNumId="1">
    <w:nsid w:val="8320A65E"/>
    <w:multiLevelType w:val="singleLevel"/>
    <w:tmpl w:val="8320A65E"/>
    <w:lvl w:ilvl="0">
      <w:start w:val="1"/>
      <w:numFmt w:val="chineseCounting"/>
      <w:suff w:val="nothing"/>
      <w:lvlText w:val="%1、"/>
      <w:lvlJc w:val="left"/>
      <w:pPr>
        <w:ind w:left="0" w:firstLine="420"/>
      </w:pPr>
      <w:rPr>
        <w:rFonts w:hint="eastAsia"/>
      </w:rPr>
    </w:lvl>
  </w:abstractNum>
  <w:abstractNum w:abstractNumId="2">
    <w:nsid w:val="9750FE19"/>
    <w:multiLevelType w:val="singleLevel"/>
    <w:tmpl w:val="9750FE19"/>
    <w:lvl w:ilvl="0">
      <w:start w:val="1"/>
      <w:numFmt w:val="chineseCounting"/>
      <w:suff w:val="nothing"/>
      <w:lvlText w:val="（%1）"/>
      <w:lvlJc w:val="left"/>
      <w:pPr>
        <w:ind w:left="0" w:firstLine="420"/>
      </w:pPr>
      <w:rPr>
        <w:rFonts w:hint="eastAsia"/>
      </w:rPr>
    </w:lvl>
  </w:abstractNum>
  <w:abstractNum w:abstractNumId="3">
    <w:nsid w:val="B0274473"/>
    <w:multiLevelType w:val="singleLevel"/>
    <w:tmpl w:val="B0274473"/>
    <w:lvl w:ilvl="0">
      <w:start w:val="2"/>
      <w:numFmt w:val="decimal"/>
      <w:suff w:val="nothing"/>
      <w:lvlText w:val="（%1）"/>
      <w:lvlJc w:val="left"/>
    </w:lvl>
  </w:abstractNum>
  <w:abstractNum w:abstractNumId="4">
    <w:nsid w:val="B3B88104"/>
    <w:multiLevelType w:val="singleLevel"/>
    <w:tmpl w:val="B3B88104"/>
    <w:lvl w:ilvl="0">
      <w:start w:val="1"/>
      <w:numFmt w:val="decimal"/>
      <w:suff w:val="nothing"/>
      <w:lvlText w:val="（%1）"/>
      <w:lvlJc w:val="left"/>
    </w:lvl>
  </w:abstractNum>
  <w:abstractNum w:abstractNumId="5">
    <w:nsid w:val="CD296E4C"/>
    <w:multiLevelType w:val="singleLevel"/>
    <w:tmpl w:val="CD296E4C"/>
    <w:lvl w:ilvl="0">
      <w:start w:val="1"/>
      <w:numFmt w:val="chineseCounting"/>
      <w:suff w:val="nothing"/>
      <w:lvlText w:val="（%1）"/>
      <w:lvlJc w:val="left"/>
      <w:pPr>
        <w:ind w:left="0" w:firstLine="420"/>
      </w:pPr>
      <w:rPr>
        <w:rFonts w:hint="eastAsia"/>
      </w:rPr>
    </w:lvl>
  </w:abstractNum>
  <w:abstractNum w:abstractNumId="6">
    <w:nsid w:val="CE30C9CC"/>
    <w:multiLevelType w:val="singleLevel"/>
    <w:tmpl w:val="CE30C9CC"/>
    <w:lvl w:ilvl="0">
      <w:start w:val="1"/>
      <w:numFmt w:val="chineseCounting"/>
      <w:suff w:val="nothing"/>
      <w:lvlText w:val="（%1）"/>
      <w:lvlJc w:val="left"/>
      <w:pPr>
        <w:ind w:left="0" w:firstLine="420"/>
      </w:pPr>
      <w:rPr>
        <w:rFonts w:hint="eastAsia"/>
      </w:rPr>
    </w:lvl>
  </w:abstractNum>
  <w:abstractNum w:abstractNumId="7">
    <w:nsid w:val="0F7AB233"/>
    <w:multiLevelType w:val="multilevel"/>
    <w:tmpl w:val="0F7AB233"/>
    <w:lvl w:ilvl="0">
      <w:start w:val="1"/>
      <w:numFmt w:val="chineseCounting"/>
      <w:suff w:val="nothing"/>
      <w:lvlText w:val="%1、"/>
      <w:lvlJc w:val="left"/>
      <w:pPr>
        <w:ind w:left="0" w:firstLine="400"/>
      </w:pPr>
      <w:rPr>
        <w:rFonts w:hint="eastAsia"/>
      </w:rPr>
    </w:lvl>
    <w:lvl w:ilvl="1">
      <w:start w:val="1"/>
      <w:numFmt w:val="decimal"/>
      <w:suff w:val="nothing"/>
      <w:lvlText w:val="%2．"/>
      <w:lvlJc w:val="left"/>
      <w:pPr>
        <w:ind w:left="0" w:firstLine="400"/>
      </w:pPr>
      <w:rPr>
        <w:rFonts w:hint="eastAsia"/>
      </w:rPr>
    </w:lvl>
    <w:lvl w:ilvl="2">
      <w:start w:val="1"/>
      <w:numFmt w:val="decimal"/>
      <w:suff w:val="nothing"/>
      <w:lvlText w:val="（%3）"/>
      <w:lvlJc w:val="left"/>
      <w:pPr>
        <w:ind w:left="0" w:firstLine="402"/>
      </w:pPr>
      <w:rPr>
        <w:rFonts w:hint="eastAsia"/>
      </w:rPr>
    </w:lvl>
    <w:lvl w:ilvl="3">
      <w:start w:val="1"/>
      <w:numFmt w:val="decimalEnclosedCircleChinese"/>
      <w:suff w:val="nothing"/>
      <w:lvlText w:val="%4 "/>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8">
    <w:nsid w:val="2F1AF8B5"/>
    <w:multiLevelType w:val="singleLevel"/>
    <w:tmpl w:val="2F1AF8B5"/>
    <w:lvl w:ilvl="0">
      <w:start w:val="1"/>
      <w:numFmt w:val="chineseCounting"/>
      <w:suff w:val="nothing"/>
      <w:lvlText w:val="（%1）"/>
      <w:lvlJc w:val="left"/>
      <w:pPr>
        <w:ind w:left="0" w:firstLine="420"/>
      </w:pPr>
      <w:rPr>
        <w:rFonts w:hint="eastAsia"/>
      </w:rPr>
    </w:lvl>
  </w:abstractNum>
  <w:abstractNum w:abstractNumId="9">
    <w:nsid w:val="3DD6BE6C"/>
    <w:multiLevelType w:val="singleLevel"/>
    <w:tmpl w:val="3DD6BE6C"/>
    <w:lvl w:ilvl="0">
      <w:start w:val="1"/>
      <w:numFmt w:val="decimal"/>
      <w:suff w:val="nothing"/>
      <w:lvlText w:val="%1．"/>
      <w:lvlJc w:val="left"/>
      <w:pPr>
        <w:ind w:left="0" w:firstLine="400"/>
      </w:pPr>
      <w:rPr>
        <w:rFonts w:hint="default"/>
      </w:rPr>
    </w:lvl>
  </w:abstractNum>
  <w:abstractNum w:abstractNumId="10">
    <w:nsid w:val="44F120BD"/>
    <w:multiLevelType w:val="singleLevel"/>
    <w:tmpl w:val="44F120BD"/>
    <w:lvl w:ilvl="0">
      <w:start w:val="1"/>
      <w:numFmt w:val="decimal"/>
      <w:suff w:val="nothing"/>
      <w:lvlText w:val="%1．"/>
      <w:lvlJc w:val="left"/>
      <w:pPr>
        <w:ind w:left="0" w:firstLine="400"/>
      </w:pPr>
      <w:rPr>
        <w:rFonts w:hint="default"/>
      </w:rPr>
    </w:lvl>
  </w:abstractNum>
  <w:abstractNum w:abstractNumId="11">
    <w:nsid w:val="5D1403D9"/>
    <w:multiLevelType w:val="multilevel"/>
    <w:tmpl w:val="5D1403D9"/>
    <w:lvl w:ilvl="0">
      <w:start w:val="2"/>
      <w:numFmt w:val="japaneseCounting"/>
      <w:lvlText w:val="（%1）"/>
      <w:lvlJc w:val="left"/>
      <w:pPr>
        <w:ind w:left="1720" w:hanging="1080"/>
      </w:pPr>
      <w:rPr>
        <w:rFonts w:ascii="楷体_GB2312" w:eastAsia="楷体_GB2312" w:hAnsi="楷体_GB2312" w:cs="楷体_GB2312"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2">
    <w:nsid w:val="68085586"/>
    <w:multiLevelType w:val="singleLevel"/>
    <w:tmpl w:val="68085586"/>
    <w:lvl w:ilvl="0">
      <w:start w:val="1"/>
      <w:numFmt w:val="decimal"/>
      <w:suff w:val="nothing"/>
      <w:lvlText w:val="%1．"/>
      <w:lvlJc w:val="left"/>
      <w:pPr>
        <w:ind w:left="0" w:firstLine="400"/>
      </w:pPr>
      <w:rPr>
        <w:rFonts w:hint="default"/>
      </w:rPr>
    </w:lvl>
  </w:abstractNum>
  <w:abstractNum w:abstractNumId="13">
    <w:nsid w:val="7760CF9C"/>
    <w:multiLevelType w:val="singleLevel"/>
    <w:tmpl w:val="7760CF9C"/>
    <w:lvl w:ilvl="0">
      <w:start w:val="1"/>
      <w:numFmt w:val="chineseCounting"/>
      <w:suff w:val="nothing"/>
      <w:lvlText w:val="（%1）"/>
      <w:lvlJc w:val="left"/>
      <w:pPr>
        <w:ind w:left="0" w:firstLine="420"/>
      </w:pPr>
      <w:rPr>
        <w:rFonts w:hint="eastAsia"/>
      </w:rPr>
    </w:lvl>
  </w:abstractNum>
  <w:abstractNum w:abstractNumId="14">
    <w:nsid w:val="7D465CD0"/>
    <w:multiLevelType w:val="singleLevel"/>
    <w:tmpl w:val="7D465CD0"/>
    <w:lvl w:ilvl="0">
      <w:start w:val="1"/>
      <w:numFmt w:val="decimal"/>
      <w:suff w:val="nothing"/>
      <w:lvlText w:val="%1．"/>
      <w:lvlJc w:val="left"/>
      <w:pPr>
        <w:ind w:left="0" w:firstLine="400"/>
      </w:pPr>
      <w:rPr>
        <w:rFonts w:hint="default"/>
      </w:rPr>
    </w:lvl>
  </w:abstractNum>
  <w:num w:numId="1">
    <w:abstractNumId w:val="1"/>
  </w:num>
  <w:num w:numId="2">
    <w:abstractNumId w:val="13"/>
  </w:num>
  <w:num w:numId="3">
    <w:abstractNumId w:val="8"/>
  </w:num>
  <w:num w:numId="4">
    <w:abstractNumId w:val="11"/>
  </w:num>
  <w:num w:numId="5">
    <w:abstractNumId w:val="2"/>
  </w:num>
  <w:num w:numId="6">
    <w:abstractNumId w:val="9"/>
  </w:num>
  <w:num w:numId="7">
    <w:abstractNumId w:val="3"/>
  </w:num>
  <w:num w:numId="8">
    <w:abstractNumId w:val="10"/>
  </w:num>
  <w:num w:numId="9">
    <w:abstractNumId w:val="0"/>
  </w:num>
  <w:num w:numId="10">
    <w:abstractNumId w:val="7"/>
  </w:num>
  <w:num w:numId="11">
    <w:abstractNumId w:val="12"/>
  </w:num>
  <w:num w:numId="12">
    <w:abstractNumId w:val="14"/>
  </w:num>
  <w:num w:numId="13">
    <w:abstractNumId w:val="4"/>
  </w:num>
  <w:num w:numId="14">
    <w:abstractNumId w:val="6"/>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7170"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WQxNDdhMjBiZmM4NmI4MGM0MzRlZTUwMDUyZjkxYzcifQ=="/>
  </w:docVars>
  <w:rsids>
    <w:rsidRoot w:val="004824CF"/>
    <w:rsid w:val="0001014C"/>
    <w:rsid w:val="000113AD"/>
    <w:rsid w:val="000116E3"/>
    <w:rsid w:val="000120A3"/>
    <w:rsid w:val="00017A8A"/>
    <w:rsid w:val="00027EF1"/>
    <w:rsid w:val="00030E57"/>
    <w:rsid w:val="00031B71"/>
    <w:rsid w:val="000470B5"/>
    <w:rsid w:val="00047CA8"/>
    <w:rsid w:val="00051071"/>
    <w:rsid w:val="00061F38"/>
    <w:rsid w:val="00062C04"/>
    <w:rsid w:val="000847AF"/>
    <w:rsid w:val="000A4A46"/>
    <w:rsid w:val="000A7A1A"/>
    <w:rsid w:val="000B347C"/>
    <w:rsid w:val="000B777A"/>
    <w:rsid w:val="000C310D"/>
    <w:rsid w:val="000C3A23"/>
    <w:rsid w:val="000C662E"/>
    <w:rsid w:val="000D1468"/>
    <w:rsid w:val="000D3B57"/>
    <w:rsid w:val="000F0C0F"/>
    <w:rsid w:val="000F7E5D"/>
    <w:rsid w:val="00101119"/>
    <w:rsid w:val="00106F7F"/>
    <w:rsid w:val="0011296F"/>
    <w:rsid w:val="001177C1"/>
    <w:rsid w:val="00124BFA"/>
    <w:rsid w:val="0014520C"/>
    <w:rsid w:val="00145727"/>
    <w:rsid w:val="00145AE8"/>
    <w:rsid w:val="00146E66"/>
    <w:rsid w:val="001519A9"/>
    <w:rsid w:val="00153BD5"/>
    <w:rsid w:val="00176EB8"/>
    <w:rsid w:val="001822CD"/>
    <w:rsid w:val="0018651E"/>
    <w:rsid w:val="001874E2"/>
    <w:rsid w:val="001919C2"/>
    <w:rsid w:val="001937DB"/>
    <w:rsid w:val="001A09D0"/>
    <w:rsid w:val="001A1752"/>
    <w:rsid w:val="001A3E81"/>
    <w:rsid w:val="001E02E7"/>
    <w:rsid w:val="001E6F98"/>
    <w:rsid w:val="001F5575"/>
    <w:rsid w:val="00200A7F"/>
    <w:rsid w:val="00211C70"/>
    <w:rsid w:val="002460B1"/>
    <w:rsid w:val="0025099B"/>
    <w:rsid w:val="00250B4B"/>
    <w:rsid w:val="002675C2"/>
    <w:rsid w:val="0027082C"/>
    <w:rsid w:val="00270D84"/>
    <w:rsid w:val="00275677"/>
    <w:rsid w:val="00287F7E"/>
    <w:rsid w:val="0029037F"/>
    <w:rsid w:val="002A1EA8"/>
    <w:rsid w:val="002A431A"/>
    <w:rsid w:val="002A63D3"/>
    <w:rsid w:val="002C06F4"/>
    <w:rsid w:val="002C27DF"/>
    <w:rsid w:val="002D0AAC"/>
    <w:rsid w:val="002D184A"/>
    <w:rsid w:val="002D2472"/>
    <w:rsid w:val="002D2D1C"/>
    <w:rsid w:val="002D782B"/>
    <w:rsid w:val="002E378B"/>
    <w:rsid w:val="002F35CA"/>
    <w:rsid w:val="00301EF3"/>
    <w:rsid w:val="00307088"/>
    <w:rsid w:val="0031046C"/>
    <w:rsid w:val="00312255"/>
    <w:rsid w:val="00313862"/>
    <w:rsid w:val="00320E2B"/>
    <w:rsid w:val="003268B4"/>
    <w:rsid w:val="00327B49"/>
    <w:rsid w:val="00336665"/>
    <w:rsid w:val="00347422"/>
    <w:rsid w:val="003538B0"/>
    <w:rsid w:val="00354D5E"/>
    <w:rsid w:val="003556D5"/>
    <w:rsid w:val="00387403"/>
    <w:rsid w:val="00394A41"/>
    <w:rsid w:val="003A1BFB"/>
    <w:rsid w:val="003B64C0"/>
    <w:rsid w:val="003C06E3"/>
    <w:rsid w:val="003D27EC"/>
    <w:rsid w:val="003D64A6"/>
    <w:rsid w:val="003D6BAF"/>
    <w:rsid w:val="003D7214"/>
    <w:rsid w:val="003F6A00"/>
    <w:rsid w:val="00404407"/>
    <w:rsid w:val="00407005"/>
    <w:rsid w:val="0040755A"/>
    <w:rsid w:val="00424462"/>
    <w:rsid w:val="00425818"/>
    <w:rsid w:val="00427CD2"/>
    <w:rsid w:val="00431894"/>
    <w:rsid w:val="00434DFA"/>
    <w:rsid w:val="00453294"/>
    <w:rsid w:val="004603EC"/>
    <w:rsid w:val="004645C5"/>
    <w:rsid w:val="004824CF"/>
    <w:rsid w:val="004855E5"/>
    <w:rsid w:val="00486024"/>
    <w:rsid w:val="0048650A"/>
    <w:rsid w:val="00490CB0"/>
    <w:rsid w:val="004A3D6E"/>
    <w:rsid w:val="004A47D1"/>
    <w:rsid w:val="004B2099"/>
    <w:rsid w:val="004B25D3"/>
    <w:rsid w:val="004C3BA2"/>
    <w:rsid w:val="004D5207"/>
    <w:rsid w:val="004D66AB"/>
    <w:rsid w:val="004D6BFA"/>
    <w:rsid w:val="004E485B"/>
    <w:rsid w:val="004F4841"/>
    <w:rsid w:val="00510D33"/>
    <w:rsid w:val="005114F8"/>
    <w:rsid w:val="00512E92"/>
    <w:rsid w:val="00514C3D"/>
    <w:rsid w:val="00521DAE"/>
    <w:rsid w:val="005348FE"/>
    <w:rsid w:val="00534AAB"/>
    <w:rsid w:val="0054037B"/>
    <w:rsid w:val="00555466"/>
    <w:rsid w:val="0055753B"/>
    <w:rsid w:val="00571E86"/>
    <w:rsid w:val="00573425"/>
    <w:rsid w:val="0058068B"/>
    <w:rsid w:val="00584E12"/>
    <w:rsid w:val="005B097F"/>
    <w:rsid w:val="005B1AC0"/>
    <w:rsid w:val="005C1710"/>
    <w:rsid w:val="005C1CD3"/>
    <w:rsid w:val="005C72DD"/>
    <w:rsid w:val="005D1606"/>
    <w:rsid w:val="005E318B"/>
    <w:rsid w:val="005E3E47"/>
    <w:rsid w:val="005E676A"/>
    <w:rsid w:val="005E7E34"/>
    <w:rsid w:val="005F6AAB"/>
    <w:rsid w:val="00600F0F"/>
    <w:rsid w:val="00601989"/>
    <w:rsid w:val="006231CB"/>
    <w:rsid w:val="006269B3"/>
    <w:rsid w:val="0063479D"/>
    <w:rsid w:val="006442D4"/>
    <w:rsid w:val="00647344"/>
    <w:rsid w:val="00652B6D"/>
    <w:rsid w:val="0065679B"/>
    <w:rsid w:val="00660792"/>
    <w:rsid w:val="00663C7C"/>
    <w:rsid w:val="00667E1D"/>
    <w:rsid w:val="006752CC"/>
    <w:rsid w:val="00675819"/>
    <w:rsid w:val="006771B1"/>
    <w:rsid w:val="006A1AE6"/>
    <w:rsid w:val="006A2B3E"/>
    <w:rsid w:val="006A2DB3"/>
    <w:rsid w:val="006A38CE"/>
    <w:rsid w:val="006B2659"/>
    <w:rsid w:val="006B3FCA"/>
    <w:rsid w:val="006B586A"/>
    <w:rsid w:val="006E1613"/>
    <w:rsid w:val="006E21A8"/>
    <w:rsid w:val="006E27F9"/>
    <w:rsid w:val="006F5DFD"/>
    <w:rsid w:val="006F6121"/>
    <w:rsid w:val="00706307"/>
    <w:rsid w:val="0071028C"/>
    <w:rsid w:val="00715B01"/>
    <w:rsid w:val="00725074"/>
    <w:rsid w:val="00725C0C"/>
    <w:rsid w:val="00726133"/>
    <w:rsid w:val="00737F5E"/>
    <w:rsid w:val="007429DD"/>
    <w:rsid w:val="00754D59"/>
    <w:rsid w:val="0075567D"/>
    <w:rsid w:val="007600AB"/>
    <w:rsid w:val="007619A2"/>
    <w:rsid w:val="00762939"/>
    <w:rsid w:val="00765A5F"/>
    <w:rsid w:val="00770CBD"/>
    <w:rsid w:val="00783535"/>
    <w:rsid w:val="00787DC3"/>
    <w:rsid w:val="007A30B5"/>
    <w:rsid w:val="007A4706"/>
    <w:rsid w:val="007D210A"/>
    <w:rsid w:val="007E7F54"/>
    <w:rsid w:val="007F01D1"/>
    <w:rsid w:val="007F35C4"/>
    <w:rsid w:val="007F6CAF"/>
    <w:rsid w:val="00801E29"/>
    <w:rsid w:val="00802CF2"/>
    <w:rsid w:val="00804224"/>
    <w:rsid w:val="00806262"/>
    <w:rsid w:val="00821CB8"/>
    <w:rsid w:val="00834CB7"/>
    <w:rsid w:val="00834D9A"/>
    <w:rsid w:val="0084137F"/>
    <w:rsid w:val="00843285"/>
    <w:rsid w:val="00845193"/>
    <w:rsid w:val="008571B6"/>
    <w:rsid w:val="00865547"/>
    <w:rsid w:val="00872A62"/>
    <w:rsid w:val="00875EF9"/>
    <w:rsid w:val="0088255C"/>
    <w:rsid w:val="00883530"/>
    <w:rsid w:val="00890BFF"/>
    <w:rsid w:val="008948FF"/>
    <w:rsid w:val="008965BD"/>
    <w:rsid w:val="008A098E"/>
    <w:rsid w:val="008A6A01"/>
    <w:rsid w:val="008A6F04"/>
    <w:rsid w:val="008B3F87"/>
    <w:rsid w:val="008B5774"/>
    <w:rsid w:val="008C30F1"/>
    <w:rsid w:val="008C6719"/>
    <w:rsid w:val="008D4501"/>
    <w:rsid w:val="008D6E8A"/>
    <w:rsid w:val="0090533F"/>
    <w:rsid w:val="00906A71"/>
    <w:rsid w:val="00907AA8"/>
    <w:rsid w:val="00913C84"/>
    <w:rsid w:val="0091722D"/>
    <w:rsid w:val="00934D3F"/>
    <w:rsid w:val="0093625A"/>
    <w:rsid w:val="00950AFB"/>
    <w:rsid w:val="00952DDA"/>
    <w:rsid w:val="00953181"/>
    <w:rsid w:val="00960F4F"/>
    <w:rsid w:val="0096650B"/>
    <w:rsid w:val="00970EBF"/>
    <w:rsid w:val="00973D11"/>
    <w:rsid w:val="009916FA"/>
    <w:rsid w:val="009C0F46"/>
    <w:rsid w:val="009C14CE"/>
    <w:rsid w:val="009C1D38"/>
    <w:rsid w:val="009D3760"/>
    <w:rsid w:val="009E5F9B"/>
    <w:rsid w:val="009E6674"/>
    <w:rsid w:val="009F3CA0"/>
    <w:rsid w:val="009F3FCC"/>
    <w:rsid w:val="00A04436"/>
    <w:rsid w:val="00A34C52"/>
    <w:rsid w:val="00A3553E"/>
    <w:rsid w:val="00A50C4D"/>
    <w:rsid w:val="00A80155"/>
    <w:rsid w:val="00A81C92"/>
    <w:rsid w:val="00A94314"/>
    <w:rsid w:val="00AB06FB"/>
    <w:rsid w:val="00AB4021"/>
    <w:rsid w:val="00AB40A2"/>
    <w:rsid w:val="00AB448A"/>
    <w:rsid w:val="00AC0B2B"/>
    <w:rsid w:val="00AC28E8"/>
    <w:rsid w:val="00AC2EB0"/>
    <w:rsid w:val="00AD61D0"/>
    <w:rsid w:val="00AE3FC8"/>
    <w:rsid w:val="00AE4D2B"/>
    <w:rsid w:val="00AF00F5"/>
    <w:rsid w:val="00AF5329"/>
    <w:rsid w:val="00B11274"/>
    <w:rsid w:val="00B12487"/>
    <w:rsid w:val="00B21DCE"/>
    <w:rsid w:val="00B25E00"/>
    <w:rsid w:val="00B30CE4"/>
    <w:rsid w:val="00B510E4"/>
    <w:rsid w:val="00B6486A"/>
    <w:rsid w:val="00B70470"/>
    <w:rsid w:val="00B706A4"/>
    <w:rsid w:val="00BA53CA"/>
    <w:rsid w:val="00BB202D"/>
    <w:rsid w:val="00BB3104"/>
    <w:rsid w:val="00BB3893"/>
    <w:rsid w:val="00BC17D3"/>
    <w:rsid w:val="00BD0BCF"/>
    <w:rsid w:val="00BD6C39"/>
    <w:rsid w:val="00BE2FE4"/>
    <w:rsid w:val="00C21B7A"/>
    <w:rsid w:val="00C3142F"/>
    <w:rsid w:val="00C34783"/>
    <w:rsid w:val="00C51E2C"/>
    <w:rsid w:val="00C520C7"/>
    <w:rsid w:val="00C547AC"/>
    <w:rsid w:val="00C55D3B"/>
    <w:rsid w:val="00C56D59"/>
    <w:rsid w:val="00C602E8"/>
    <w:rsid w:val="00C63D4D"/>
    <w:rsid w:val="00C818A7"/>
    <w:rsid w:val="00C903DA"/>
    <w:rsid w:val="00C90E81"/>
    <w:rsid w:val="00C91E18"/>
    <w:rsid w:val="00CA108C"/>
    <w:rsid w:val="00CA4754"/>
    <w:rsid w:val="00CA4CF0"/>
    <w:rsid w:val="00CA5946"/>
    <w:rsid w:val="00CB288E"/>
    <w:rsid w:val="00CB3363"/>
    <w:rsid w:val="00CC686D"/>
    <w:rsid w:val="00CF419C"/>
    <w:rsid w:val="00D11C9E"/>
    <w:rsid w:val="00D14279"/>
    <w:rsid w:val="00D14591"/>
    <w:rsid w:val="00D15B44"/>
    <w:rsid w:val="00D3539E"/>
    <w:rsid w:val="00D4594A"/>
    <w:rsid w:val="00D45A1C"/>
    <w:rsid w:val="00D5364D"/>
    <w:rsid w:val="00D53D26"/>
    <w:rsid w:val="00D57672"/>
    <w:rsid w:val="00D60609"/>
    <w:rsid w:val="00D6771A"/>
    <w:rsid w:val="00D67EE8"/>
    <w:rsid w:val="00D706A6"/>
    <w:rsid w:val="00D73044"/>
    <w:rsid w:val="00D7383E"/>
    <w:rsid w:val="00D75078"/>
    <w:rsid w:val="00D80E1B"/>
    <w:rsid w:val="00D95887"/>
    <w:rsid w:val="00DB2954"/>
    <w:rsid w:val="00DB29BF"/>
    <w:rsid w:val="00DB7C74"/>
    <w:rsid w:val="00DC0E8A"/>
    <w:rsid w:val="00DC1120"/>
    <w:rsid w:val="00DC43ED"/>
    <w:rsid w:val="00DC6AB1"/>
    <w:rsid w:val="00DC77E5"/>
    <w:rsid w:val="00DD0050"/>
    <w:rsid w:val="00DE504A"/>
    <w:rsid w:val="00DE632A"/>
    <w:rsid w:val="00DF568F"/>
    <w:rsid w:val="00E001D7"/>
    <w:rsid w:val="00E14EB6"/>
    <w:rsid w:val="00E304BF"/>
    <w:rsid w:val="00E36E71"/>
    <w:rsid w:val="00E55BC5"/>
    <w:rsid w:val="00E62AB4"/>
    <w:rsid w:val="00E839A4"/>
    <w:rsid w:val="00E87163"/>
    <w:rsid w:val="00EA037D"/>
    <w:rsid w:val="00EA0438"/>
    <w:rsid w:val="00EC7275"/>
    <w:rsid w:val="00ED22A3"/>
    <w:rsid w:val="00ED5DF2"/>
    <w:rsid w:val="00EE4EC8"/>
    <w:rsid w:val="00F00D3E"/>
    <w:rsid w:val="00F1307A"/>
    <w:rsid w:val="00F16848"/>
    <w:rsid w:val="00F21D69"/>
    <w:rsid w:val="00F3467A"/>
    <w:rsid w:val="00F41A1F"/>
    <w:rsid w:val="00F60299"/>
    <w:rsid w:val="00F60EFF"/>
    <w:rsid w:val="00F6301B"/>
    <w:rsid w:val="00F7225C"/>
    <w:rsid w:val="00F72CA9"/>
    <w:rsid w:val="00F87058"/>
    <w:rsid w:val="00FA021A"/>
    <w:rsid w:val="00FA3A47"/>
    <w:rsid w:val="00FA5E76"/>
    <w:rsid w:val="00FB2C29"/>
    <w:rsid w:val="00FB31B4"/>
    <w:rsid w:val="00FB3728"/>
    <w:rsid w:val="00FB6632"/>
    <w:rsid w:val="00FD04AD"/>
    <w:rsid w:val="00FF0482"/>
    <w:rsid w:val="00FF0B06"/>
    <w:rsid w:val="00FF1B6C"/>
    <w:rsid w:val="00FF2926"/>
    <w:rsid w:val="00FF446C"/>
    <w:rsid w:val="01871852"/>
    <w:rsid w:val="01FA75C2"/>
    <w:rsid w:val="02151F5D"/>
    <w:rsid w:val="0233386D"/>
    <w:rsid w:val="02916500"/>
    <w:rsid w:val="02B9341E"/>
    <w:rsid w:val="02CB1CF7"/>
    <w:rsid w:val="02F42E5E"/>
    <w:rsid w:val="042876E7"/>
    <w:rsid w:val="04594368"/>
    <w:rsid w:val="048E7480"/>
    <w:rsid w:val="04B46E6D"/>
    <w:rsid w:val="05876BD1"/>
    <w:rsid w:val="05BF7509"/>
    <w:rsid w:val="05C05B2C"/>
    <w:rsid w:val="05C83080"/>
    <w:rsid w:val="05CF3896"/>
    <w:rsid w:val="05D45367"/>
    <w:rsid w:val="062036DC"/>
    <w:rsid w:val="06485B93"/>
    <w:rsid w:val="065A3ABE"/>
    <w:rsid w:val="06C35A28"/>
    <w:rsid w:val="06EC048E"/>
    <w:rsid w:val="071F37E4"/>
    <w:rsid w:val="07AB458E"/>
    <w:rsid w:val="07B65858"/>
    <w:rsid w:val="07DE4453"/>
    <w:rsid w:val="07E86406"/>
    <w:rsid w:val="08021F03"/>
    <w:rsid w:val="081F66DD"/>
    <w:rsid w:val="085963BE"/>
    <w:rsid w:val="08763A67"/>
    <w:rsid w:val="08AC4379"/>
    <w:rsid w:val="08C36EB5"/>
    <w:rsid w:val="09591C60"/>
    <w:rsid w:val="097A7FD3"/>
    <w:rsid w:val="099F6326"/>
    <w:rsid w:val="09AC51F4"/>
    <w:rsid w:val="09DA6BC1"/>
    <w:rsid w:val="09DF1555"/>
    <w:rsid w:val="09F72B37"/>
    <w:rsid w:val="0A1827D7"/>
    <w:rsid w:val="0A197091"/>
    <w:rsid w:val="0AAE58EC"/>
    <w:rsid w:val="0AF055C0"/>
    <w:rsid w:val="0B056D1D"/>
    <w:rsid w:val="0B0C55A3"/>
    <w:rsid w:val="0B354959"/>
    <w:rsid w:val="0BE64C7B"/>
    <w:rsid w:val="0C7A28A0"/>
    <w:rsid w:val="0CAE01EE"/>
    <w:rsid w:val="0CDD56B7"/>
    <w:rsid w:val="0D0176CE"/>
    <w:rsid w:val="0D480AAD"/>
    <w:rsid w:val="0D8E2C6D"/>
    <w:rsid w:val="0DB1596D"/>
    <w:rsid w:val="0DE533FE"/>
    <w:rsid w:val="0DFE246D"/>
    <w:rsid w:val="0E1A3C41"/>
    <w:rsid w:val="0E1C5C8A"/>
    <w:rsid w:val="0E9235F2"/>
    <w:rsid w:val="0EB87440"/>
    <w:rsid w:val="0F2C6214"/>
    <w:rsid w:val="0F73140B"/>
    <w:rsid w:val="0F827BE2"/>
    <w:rsid w:val="0F8459E7"/>
    <w:rsid w:val="0FD91EF8"/>
    <w:rsid w:val="106F4679"/>
    <w:rsid w:val="107C0AC4"/>
    <w:rsid w:val="10A55AC5"/>
    <w:rsid w:val="10E76023"/>
    <w:rsid w:val="10EC02A4"/>
    <w:rsid w:val="113035A1"/>
    <w:rsid w:val="113911B0"/>
    <w:rsid w:val="114950F1"/>
    <w:rsid w:val="114A6B08"/>
    <w:rsid w:val="11AC051D"/>
    <w:rsid w:val="11CF0642"/>
    <w:rsid w:val="11E90AE8"/>
    <w:rsid w:val="11FC13A8"/>
    <w:rsid w:val="122825AB"/>
    <w:rsid w:val="123A47A4"/>
    <w:rsid w:val="12761959"/>
    <w:rsid w:val="12844B5F"/>
    <w:rsid w:val="12BE53D5"/>
    <w:rsid w:val="12F81301"/>
    <w:rsid w:val="13841283"/>
    <w:rsid w:val="13B87E82"/>
    <w:rsid w:val="14081F50"/>
    <w:rsid w:val="140F746A"/>
    <w:rsid w:val="14B92F7F"/>
    <w:rsid w:val="14C43166"/>
    <w:rsid w:val="150E4DA7"/>
    <w:rsid w:val="152D38D2"/>
    <w:rsid w:val="153616F9"/>
    <w:rsid w:val="15842905"/>
    <w:rsid w:val="15887D48"/>
    <w:rsid w:val="158C0FC4"/>
    <w:rsid w:val="159700A9"/>
    <w:rsid w:val="15CB2FC8"/>
    <w:rsid w:val="15DD0268"/>
    <w:rsid w:val="15FB517D"/>
    <w:rsid w:val="161C36A4"/>
    <w:rsid w:val="161E74F7"/>
    <w:rsid w:val="162F0A5F"/>
    <w:rsid w:val="16342FB8"/>
    <w:rsid w:val="164D0F49"/>
    <w:rsid w:val="165450C8"/>
    <w:rsid w:val="16955512"/>
    <w:rsid w:val="16A20B69"/>
    <w:rsid w:val="16A6065A"/>
    <w:rsid w:val="16D231FD"/>
    <w:rsid w:val="16F9596D"/>
    <w:rsid w:val="173E6AE4"/>
    <w:rsid w:val="17471444"/>
    <w:rsid w:val="1763654B"/>
    <w:rsid w:val="176606D1"/>
    <w:rsid w:val="1783551C"/>
    <w:rsid w:val="1787183D"/>
    <w:rsid w:val="17BA717E"/>
    <w:rsid w:val="17D411EF"/>
    <w:rsid w:val="18132663"/>
    <w:rsid w:val="186D4723"/>
    <w:rsid w:val="18D67438"/>
    <w:rsid w:val="18EB3F81"/>
    <w:rsid w:val="191C404E"/>
    <w:rsid w:val="19353F17"/>
    <w:rsid w:val="198C70D4"/>
    <w:rsid w:val="1A18150E"/>
    <w:rsid w:val="1A4C59BC"/>
    <w:rsid w:val="1AA337EE"/>
    <w:rsid w:val="1AA75E35"/>
    <w:rsid w:val="1AED4CEE"/>
    <w:rsid w:val="1AFA0BF0"/>
    <w:rsid w:val="1AFF47DC"/>
    <w:rsid w:val="1B1738D4"/>
    <w:rsid w:val="1B631DDD"/>
    <w:rsid w:val="1B733B75"/>
    <w:rsid w:val="1C01726E"/>
    <w:rsid w:val="1C502ABD"/>
    <w:rsid w:val="1C821221"/>
    <w:rsid w:val="1C945D59"/>
    <w:rsid w:val="1C9A47BD"/>
    <w:rsid w:val="1CBB4733"/>
    <w:rsid w:val="1CEE616B"/>
    <w:rsid w:val="1D293CB5"/>
    <w:rsid w:val="1D6E5D93"/>
    <w:rsid w:val="1D794BDF"/>
    <w:rsid w:val="1D8036C3"/>
    <w:rsid w:val="1D9C0459"/>
    <w:rsid w:val="1DA02655"/>
    <w:rsid w:val="1DB536C5"/>
    <w:rsid w:val="1E193E07"/>
    <w:rsid w:val="1E1F39B9"/>
    <w:rsid w:val="1E2E630E"/>
    <w:rsid w:val="1E562965"/>
    <w:rsid w:val="1E5D0C3B"/>
    <w:rsid w:val="1E6D26F3"/>
    <w:rsid w:val="1EA506FE"/>
    <w:rsid w:val="1EC612D4"/>
    <w:rsid w:val="1EE82D37"/>
    <w:rsid w:val="1F356024"/>
    <w:rsid w:val="1F547D36"/>
    <w:rsid w:val="1FBD28F6"/>
    <w:rsid w:val="200E7F92"/>
    <w:rsid w:val="204964BA"/>
    <w:rsid w:val="20786BD9"/>
    <w:rsid w:val="208C6B12"/>
    <w:rsid w:val="209239FD"/>
    <w:rsid w:val="20FC73FD"/>
    <w:rsid w:val="21257143"/>
    <w:rsid w:val="21AD6D40"/>
    <w:rsid w:val="21BF2747"/>
    <w:rsid w:val="21E12424"/>
    <w:rsid w:val="220F3557"/>
    <w:rsid w:val="22552843"/>
    <w:rsid w:val="22664960"/>
    <w:rsid w:val="226F0499"/>
    <w:rsid w:val="22A56D19"/>
    <w:rsid w:val="22B8577A"/>
    <w:rsid w:val="233A6B89"/>
    <w:rsid w:val="233D06CE"/>
    <w:rsid w:val="234436D4"/>
    <w:rsid w:val="23703CB9"/>
    <w:rsid w:val="23A35F91"/>
    <w:rsid w:val="23C927A8"/>
    <w:rsid w:val="23CD6CF2"/>
    <w:rsid w:val="24133523"/>
    <w:rsid w:val="245C2091"/>
    <w:rsid w:val="24713750"/>
    <w:rsid w:val="24831FDA"/>
    <w:rsid w:val="254E4396"/>
    <w:rsid w:val="255274E3"/>
    <w:rsid w:val="25627E42"/>
    <w:rsid w:val="256F2C00"/>
    <w:rsid w:val="257C53A7"/>
    <w:rsid w:val="25F0369F"/>
    <w:rsid w:val="2699536E"/>
    <w:rsid w:val="26A24ACF"/>
    <w:rsid w:val="27AA1890"/>
    <w:rsid w:val="27D43D1A"/>
    <w:rsid w:val="27FA25B3"/>
    <w:rsid w:val="280B2A12"/>
    <w:rsid w:val="280D3B8A"/>
    <w:rsid w:val="280F5E8D"/>
    <w:rsid w:val="285443B9"/>
    <w:rsid w:val="286F2FA1"/>
    <w:rsid w:val="28A576A5"/>
    <w:rsid w:val="28D505A3"/>
    <w:rsid w:val="2924732A"/>
    <w:rsid w:val="292A5CD7"/>
    <w:rsid w:val="298E4C8F"/>
    <w:rsid w:val="29A12C44"/>
    <w:rsid w:val="29B82CB2"/>
    <w:rsid w:val="29FB1394"/>
    <w:rsid w:val="2A3717E6"/>
    <w:rsid w:val="2A9A7ECE"/>
    <w:rsid w:val="2A9D67A7"/>
    <w:rsid w:val="2ABE21FE"/>
    <w:rsid w:val="2B2552E7"/>
    <w:rsid w:val="2B2A2FA5"/>
    <w:rsid w:val="2B55755F"/>
    <w:rsid w:val="2BEC74D1"/>
    <w:rsid w:val="2BF36EA8"/>
    <w:rsid w:val="2BFE204A"/>
    <w:rsid w:val="2C477D91"/>
    <w:rsid w:val="2C646B95"/>
    <w:rsid w:val="2C90730E"/>
    <w:rsid w:val="2CA13945"/>
    <w:rsid w:val="2CA7500E"/>
    <w:rsid w:val="2D283FDF"/>
    <w:rsid w:val="2D872CCF"/>
    <w:rsid w:val="2DEA7573"/>
    <w:rsid w:val="2E3B1F69"/>
    <w:rsid w:val="2E452049"/>
    <w:rsid w:val="2E626351"/>
    <w:rsid w:val="2E9458AA"/>
    <w:rsid w:val="2EAE40F8"/>
    <w:rsid w:val="2EDC0400"/>
    <w:rsid w:val="2EEA7A87"/>
    <w:rsid w:val="2F7155EC"/>
    <w:rsid w:val="2FA25366"/>
    <w:rsid w:val="2FAD1429"/>
    <w:rsid w:val="301A1FCC"/>
    <w:rsid w:val="301E0747"/>
    <w:rsid w:val="304A4F45"/>
    <w:rsid w:val="305C1993"/>
    <w:rsid w:val="30C773D6"/>
    <w:rsid w:val="30D37E45"/>
    <w:rsid w:val="30D750F1"/>
    <w:rsid w:val="311D6966"/>
    <w:rsid w:val="317C04DD"/>
    <w:rsid w:val="31886E82"/>
    <w:rsid w:val="318D0861"/>
    <w:rsid w:val="31EC01A1"/>
    <w:rsid w:val="320317B2"/>
    <w:rsid w:val="3207424E"/>
    <w:rsid w:val="320E349A"/>
    <w:rsid w:val="325915B4"/>
    <w:rsid w:val="325F115A"/>
    <w:rsid w:val="328C0C95"/>
    <w:rsid w:val="328D5BA3"/>
    <w:rsid w:val="32FA388A"/>
    <w:rsid w:val="33216BD9"/>
    <w:rsid w:val="337F22D4"/>
    <w:rsid w:val="33D053DE"/>
    <w:rsid w:val="33D53F47"/>
    <w:rsid w:val="33E45440"/>
    <w:rsid w:val="342E0FF9"/>
    <w:rsid w:val="342F7A89"/>
    <w:rsid w:val="34614C5E"/>
    <w:rsid w:val="348B0B67"/>
    <w:rsid w:val="34A41893"/>
    <w:rsid w:val="34D870ED"/>
    <w:rsid w:val="34DB550E"/>
    <w:rsid w:val="351F2835"/>
    <w:rsid w:val="35650230"/>
    <w:rsid w:val="35E825E5"/>
    <w:rsid w:val="369E0EF6"/>
    <w:rsid w:val="36A94F0A"/>
    <w:rsid w:val="36AD4E95"/>
    <w:rsid w:val="36C577D4"/>
    <w:rsid w:val="373C0FEE"/>
    <w:rsid w:val="37631D52"/>
    <w:rsid w:val="379003FF"/>
    <w:rsid w:val="37F1012E"/>
    <w:rsid w:val="380F2752"/>
    <w:rsid w:val="38543DC8"/>
    <w:rsid w:val="38550D30"/>
    <w:rsid w:val="38554E37"/>
    <w:rsid w:val="3861534B"/>
    <w:rsid w:val="38832151"/>
    <w:rsid w:val="3890595B"/>
    <w:rsid w:val="38BE2F41"/>
    <w:rsid w:val="38C033A5"/>
    <w:rsid w:val="38FA1F08"/>
    <w:rsid w:val="397F785A"/>
    <w:rsid w:val="39E4143D"/>
    <w:rsid w:val="3A865B06"/>
    <w:rsid w:val="3A946897"/>
    <w:rsid w:val="3AA768DE"/>
    <w:rsid w:val="3AAA04B4"/>
    <w:rsid w:val="3ACB0B41"/>
    <w:rsid w:val="3AF137E3"/>
    <w:rsid w:val="3AF35CDF"/>
    <w:rsid w:val="3B1B2FFF"/>
    <w:rsid w:val="3B417784"/>
    <w:rsid w:val="3B59615D"/>
    <w:rsid w:val="3B7B68ED"/>
    <w:rsid w:val="3B8D4E54"/>
    <w:rsid w:val="3BC728D0"/>
    <w:rsid w:val="3C1B6030"/>
    <w:rsid w:val="3C2A3A07"/>
    <w:rsid w:val="3CA34797"/>
    <w:rsid w:val="3CCA31C7"/>
    <w:rsid w:val="3D0243F7"/>
    <w:rsid w:val="3D10334B"/>
    <w:rsid w:val="3D17730C"/>
    <w:rsid w:val="3D501BA7"/>
    <w:rsid w:val="3D8449A1"/>
    <w:rsid w:val="3DA22991"/>
    <w:rsid w:val="3DAB52CC"/>
    <w:rsid w:val="3DEE4511"/>
    <w:rsid w:val="3E1508B5"/>
    <w:rsid w:val="3E90275C"/>
    <w:rsid w:val="3E9D3EC9"/>
    <w:rsid w:val="3EDA3DFC"/>
    <w:rsid w:val="3F877E48"/>
    <w:rsid w:val="3FE427A7"/>
    <w:rsid w:val="3FFC1167"/>
    <w:rsid w:val="40291570"/>
    <w:rsid w:val="40B10E42"/>
    <w:rsid w:val="40B36C44"/>
    <w:rsid w:val="40BA4B7E"/>
    <w:rsid w:val="40D52426"/>
    <w:rsid w:val="41723778"/>
    <w:rsid w:val="419D4283"/>
    <w:rsid w:val="41CA01DE"/>
    <w:rsid w:val="41E37787"/>
    <w:rsid w:val="423C69EA"/>
    <w:rsid w:val="424E2033"/>
    <w:rsid w:val="4255348D"/>
    <w:rsid w:val="427A213E"/>
    <w:rsid w:val="42BA6DF8"/>
    <w:rsid w:val="42EE6118"/>
    <w:rsid w:val="431F0359"/>
    <w:rsid w:val="43340C18"/>
    <w:rsid w:val="43516107"/>
    <w:rsid w:val="435C019A"/>
    <w:rsid w:val="436C25BC"/>
    <w:rsid w:val="43776D56"/>
    <w:rsid w:val="437A3E83"/>
    <w:rsid w:val="43F37F35"/>
    <w:rsid w:val="441428A0"/>
    <w:rsid w:val="4431412F"/>
    <w:rsid w:val="4454331F"/>
    <w:rsid w:val="453250A4"/>
    <w:rsid w:val="4554734F"/>
    <w:rsid w:val="458918DA"/>
    <w:rsid w:val="459E5A67"/>
    <w:rsid w:val="45C46415"/>
    <w:rsid w:val="45C9701F"/>
    <w:rsid w:val="45D466E2"/>
    <w:rsid w:val="45F428E0"/>
    <w:rsid w:val="46076AE9"/>
    <w:rsid w:val="46090F87"/>
    <w:rsid w:val="46613521"/>
    <w:rsid w:val="46872807"/>
    <w:rsid w:val="46B725E2"/>
    <w:rsid w:val="46C403FE"/>
    <w:rsid w:val="46E17EB6"/>
    <w:rsid w:val="46F54B62"/>
    <w:rsid w:val="47471AB7"/>
    <w:rsid w:val="478C25E5"/>
    <w:rsid w:val="47EE0A00"/>
    <w:rsid w:val="480929E4"/>
    <w:rsid w:val="484418FD"/>
    <w:rsid w:val="488050EA"/>
    <w:rsid w:val="48984FC5"/>
    <w:rsid w:val="48AB6F46"/>
    <w:rsid w:val="48C22822"/>
    <w:rsid w:val="490B5F77"/>
    <w:rsid w:val="491D3EFC"/>
    <w:rsid w:val="49225C15"/>
    <w:rsid w:val="49252F99"/>
    <w:rsid w:val="495F4514"/>
    <w:rsid w:val="49C622E4"/>
    <w:rsid w:val="49F07BA6"/>
    <w:rsid w:val="4A095FF6"/>
    <w:rsid w:val="4A253068"/>
    <w:rsid w:val="4A323552"/>
    <w:rsid w:val="4A4259CA"/>
    <w:rsid w:val="4A82036E"/>
    <w:rsid w:val="4AEB4B7F"/>
    <w:rsid w:val="4AFA0812"/>
    <w:rsid w:val="4B0C49C6"/>
    <w:rsid w:val="4B0E33CA"/>
    <w:rsid w:val="4B141895"/>
    <w:rsid w:val="4B2801FD"/>
    <w:rsid w:val="4B285466"/>
    <w:rsid w:val="4B776719"/>
    <w:rsid w:val="4B846DFD"/>
    <w:rsid w:val="4B8F4302"/>
    <w:rsid w:val="4B9E7909"/>
    <w:rsid w:val="4BD4700F"/>
    <w:rsid w:val="4BEA0B92"/>
    <w:rsid w:val="4BEE22DF"/>
    <w:rsid w:val="4BF038AE"/>
    <w:rsid w:val="4BFD4E69"/>
    <w:rsid w:val="4BFE6267"/>
    <w:rsid w:val="4C883D82"/>
    <w:rsid w:val="4CEC5B28"/>
    <w:rsid w:val="4CFC0FF6"/>
    <w:rsid w:val="4D0C4969"/>
    <w:rsid w:val="4D9D3829"/>
    <w:rsid w:val="4DC66910"/>
    <w:rsid w:val="4DDE1EAC"/>
    <w:rsid w:val="4E0A269E"/>
    <w:rsid w:val="4E3B0634"/>
    <w:rsid w:val="4E4940E5"/>
    <w:rsid w:val="4E7740AE"/>
    <w:rsid w:val="4F0C47F7"/>
    <w:rsid w:val="4F134A42"/>
    <w:rsid w:val="4F5906D5"/>
    <w:rsid w:val="4F5A192F"/>
    <w:rsid w:val="4F76776A"/>
    <w:rsid w:val="4FA91166"/>
    <w:rsid w:val="4FAE1D52"/>
    <w:rsid w:val="4FBC5831"/>
    <w:rsid w:val="4FD00ACF"/>
    <w:rsid w:val="4FEA2911"/>
    <w:rsid w:val="4FFC1D50"/>
    <w:rsid w:val="50393A9E"/>
    <w:rsid w:val="50493828"/>
    <w:rsid w:val="50B4107E"/>
    <w:rsid w:val="51446AA1"/>
    <w:rsid w:val="5147420C"/>
    <w:rsid w:val="51777DFD"/>
    <w:rsid w:val="51A23E50"/>
    <w:rsid w:val="51E43733"/>
    <w:rsid w:val="51E72140"/>
    <w:rsid w:val="5219315D"/>
    <w:rsid w:val="52372B85"/>
    <w:rsid w:val="52C53E09"/>
    <w:rsid w:val="52D464CF"/>
    <w:rsid w:val="52E5233B"/>
    <w:rsid w:val="532E2075"/>
    <w:rsid w:val="533F5418"/>
    <w:rsid w:val="535216A1"/>
    <w:rsid w:val="539E3E71"/>
    <w:rsid w:val="53A65B5F"/>
    <w:rsid w:val="53F81EBC"/>
    <w:rsid w:val="543C5B7E"/>
    <w:rsid w:val="544A3D1E"/>
    <w:rsid w:val="54640A90"/>
    <w:rsid w:val="54A92AE8"/>
    <w:rsid w:val="54BB7994"/>
    <w:rsid w:val="54D566F1"/>
    <w:rsid w:val="54F77CF7"/>
    <w:rsid w:val="54FE110E"/>
    <w:rsid w:val="55486565"/>
    <w:rsid w:val="55766E6E"/>
    <w:rsid w:val="557D644E"/>
    <w:rsid w:val="55854469"/>
    <w:rsid w:val="55937A20"/>
    <w:rsid w:val="559636FD"/>
    <w:rsid w:val="559E3374"/>
    <w:rsid w:val="55A40F21"/>
    <w:rsid w:val="55E31E7D"/>
    <w:rsid w:val="56113D7B"/>
    <w:rsid w:val="56757125"/>
    <w:rsid w:val="56A0282F"/>
    <w:rsid w:val="56F3111F"/>
    <w:rsid w:val="56FB2013"/>
    <w:rsid w:val="570B0B2B"/>
    <w:rsid w:val="577A63FD"/>
    <w:rsid w:val="57933D94"/>
    <w:rsid w:val="57B66DEA"/>
    <w:rsid w:val="58000950"/>
    <w:rsid w:val="58306174"/>
    <w:rsid w:val="58415292"/>
    <w:rsid w:val="584E1402"/>
    <w:rsid w:val="590E6880"/>
    <w:rsid w:val="598704B1"/>
    <w:rsid w:val="599B21FE"/>
    <w:rsid w:val="59B63CDD"/>
    <w:rsid w:val="5A32680C"/>
    <w:rsid w:val="5A3769F1"/>
    <w:rsid w:val="5A631883"/>
    <w:rsid w:val="5A751DEA"/>
    <w:rsid w:val="5A9912BD"/>
    <w:rsid w:val="5ABA77FD"/>
    <w:rsid w:val="5AC74793"/>
    <w:rsid w:val="5AE753D1"/>
    <w:rsid w:val="5AE96334"/>
    <w:rsid w:val="5B25059C"/>
    <w:rsid w:val="5B90055D"/>
    <w:rsid w:val="5C1C1FAB"/>
    <w:rsid w:val="5C6977DE"/>
    <w:rsid w:val="5C74228C"/>
    <w:rsid w:val="5C772F12"/>
    <w:rsid w:val="5CE70D7E"/>
    <w:rsid w:val="5D287866"/>
    <w:rsid w:val="5D7B346D"/>
    <w:rsid w:val="5D997B9D"/>
    <w:rsid w:val="5E1060A2"/>
    <w:rsid w:val="5E2345E1"/>
    <w:rsid w:val="5E4C1698"/>
    <w:rsid w:val="5E592D62"/>
    <w:rsid w:val="5E6261E1"/>
    <w:rsid w:val="5E70058E"/>
    <w:rsid w:val="5E7B56A3"/>
    <w:rsid w:val="5E98670E"/>
    <w:rsid w:val="5F052ABF"/>
    <w:rsid w:val="5F0D7FD9"/>
    <w:rsid w:val="5F472550"/>
    <w:rsid w:val="5F4B2345"/>
    <w:rsid w:val="5F603322"/>
    <w:rsid w:val="5F8108E9"/>
    <w:rsid w:val="601B1346"/>
    <w:rsid w:val="603C3A0F"/>
    <w:rsid w:val="604068A7"/>
    <w:rsid w:val="60AB4119"/>
    <w:rsid w:val="60E20DDA"/>
    <w:rsid w:val="60E824E1"/>
    <w:rsid w:val="6136410C"/>
    <w:rsid w:val="61601925"/>
    <w:rsid w:val="617A5F38"/>
    <w:rsid w:val="621C2B4B"/>
    <w:rsid w:val="622F1809"/>
    <w:rsid w:val="62301725"/>
    <w:rsid w:val="62726741"/>
    <w:rsid w:val="62E55AA2"/>
    <w:rsid w:val="631F3C4B"/>
    <w:rsid w:val="634F08A9"/>
    <w:rsid w:val="63ED42CD"/>
    <w:rsid w:val="640F141E"/>
    <w:rsid w:val="642A7489"/>
    <w:rsid w:val="64553E02"/>
    <w:rsid w:val="645E6B2B"/>
    <w:rsid w:val="646B211F"/>
    <w:rsid w:val="648F335C"/>
    <w:rsid w:val="64B43692"/>
    <w:rsid w:val="64D127DF"/>
    <w:rsid w:val="64FA4A6C"/>
    <w:rsid w:val="65024186"/>
    <w:rsid w:val="65097BA0"/>
    <w:rsid w:val="6523360F"/>
    <w:rsid w:val="652553AF"/>
    <w:rsid w:val="65BC6026"/>
    <w:rsid w:val="65BD2897"/>
    <w:rsid w:val="65DD5A69"/>
    <w:rsid w:val="66540909"/>
    <w:rsid w:val="667E3A3F"/>
    <w:rsid w:val="66931603"/>
    <w:rsid w:val="66BD2D49"/>
    <w:rsid w:val="66D306CB"/>
    <w:rsid w:val="6711031F"/>
    <w:rsid w:val="67204E8B"/>
    <w:rsid w:val="673246DF"/>
    <w:rsid w:val="676324C3"/>
    <w:rsid w:val="677F6346"/>
    <w:rsid w:val="67B11913"/>
    <w:rsid w:val="67BF15D1"/>
    <w:rsid w:val="67F90CA0"/>
    <w:rsid w:val="681C3DB2"/>
    <w:rsid w:val="68250D23"/>
    <w:rsid w:val="682C3F7D"/>
    <w:rsid w:val="68367C0B"/>
    <w:rsid w:val="684C3601"/>
    <w:rsid w:val="68923B67"/>
    <w:rsid w:val="68AD2729"/>
    <w:rsid w:val="68CD2DF1"/>
    <w:rsid w:val="68ED3493"/>
    <w:rsid w:val="695B4A24"/>
    <w:rsid w:val="696738C0"/>
    <w:rsid w:val="69B875FD"/>
    <w:rsid w:val="69FD14B4"/>
    <w:rsid w:val="6A5F216E"/>
    <w:rsid w:val="6A94371C"/>
    <w:rsid w:val="6A994DB4"/>
    <w:rsid w:val="6A9F242C"/>
    <w:rsid w:val="6ACE4BFE"/>
    <w:rsid w:val="6AE35B67"/>
    <w:rsid w:val="6AEB57B0"/>
    <w:rsid w:val="6B190D2E"/>
    <w:rsid w:val="6B43739A"/>
    <w:rsid w:val="6B9A098B"/>
    <w:rsid w:val="6BA719DB"/>
    <w:rsid w:val="6BAE4965"/>
    <w:rsid w:val="6BE242D3"/>
    <w:rsid w:val="6BEA59EE"/>
    <w:rsid w:val="6C0703C8"/>
    <w:rsid w:val="6C327B3B"/>
    <w:rsid w:val="6C932FC3"/>
    <w:rsid w:val="6CF472C9"/>
    <w:rsid w:val="6CF748E0"/>
    <w:rsid w:val="6D025E6E"/>
    <w:rsid w:val="6D3904DD"/>
    <w:rsid w:val="6D567A0A"/>
    <w:rsid w:val="6D6500DA"/>
    <w:rsid w:val="6DC003E5"/>
    <w:rsid w:val="6E097153"/>
    <w:rsid w:val="6E6B7519"/>
    <w:rsid w:val="6EE8472C"/>
    <w:rsid w:val="6F3F39FB"/>
    <w:rsid w:val="6F421F46"/>
    <w:rsid w:val="6F5D478C"/>
    <w:rsid w:val="6F97347C"/>
    <w:rsid w:val="6F9A7E28"/>
    <w:rsid w:val="6FBB0C95"/>
    <w:rsid w:val="6FC27788"/>
    <w:rsid w:val="701814CC"/>
    <w:rsid w:val="706A3949"/>
    <w:rsid w:val="70B93805"/>
    <w:rsid w:val="713D6905"/>
    <w:rsid w:val="71817DDF"/>
    <w:rsid w:val="718330AE"/>
    <w:rsid w:val="719D77B4"/>
    <w:rsid w:val="719E532A"/>
    <w:rsid w:val="71B62CB1"/>
    <w:rsid w:val="71CE6BCA"/>
    <w:rsid w:val="722F0678"/>
    <w:rsid w:val="723A1ED0"/>
    <w:rsid w:val="72477A52"/>
    <w:rsid w:val="7252121A"/>
    <w:rsid w:val="728C3ECF"/>
    <w:rsid w:val="733704AF"/>
    <w:rsid w:val="73502F45"/>
    <w:rsid w:val="7352749C"/>
    <w:rsid w:val="73997999"/>
    <w:rsid w:val="73A41284"/>
    <w:rsid w:val="73BC23E0"/>
    <w:rsid w:val="73C4683B"/>
    <w:rsid w:val="73CD1EF7"/>
    <w:rsid w:val="73FC037B"/>
    <w:rsid w:val="742F7C25"/>
    <w:rsid w:val="748441E9"/>
    <w:rsid w:val="74B447DD"/>
    <w:rsid w:val="74DA0E50"/>
    <w:rsid w:val="74F27449"/>
    <w:rsid w:val="75207D73"/>
    <w:rsid w:val="75D6158B"/>
    <w:rsid w:val="76697C65"/>
    <w:rsid w:val="767321F3"/>
    <w:rsid w:val="769A4F57"/>
    <w:rsid w:val="76B16007"/>
    <w:rsid w:val="76F50AF3"/>
    <w:rsid w:val="771D7F03"/>
    <w:rsid w:val="77412296"/>
    <w:rsid w:val="77585F7B"/>
    <w:rsid w:val="7762452D"/>
    <w:rsid w:val="778E39B8"/>
    <w:rsid w:val="77B1060A"/>
    <w:rsid w:val="77B6520E"/>
    <w:rsid w:val="77C4682D"/>
    <w:rsid w:val="77E32918"/>
    <w:rsid w:val="783249FD"/>
    <w:rsid w:val="78565B21"/>
    <w:rsid w:val="78A34761"/>
    <w:rsid w:val="78EF6251"/>
    <w:rsid w:val="794D276D"/>
    <w:rsid w:val="7960471F"/>
    <w:rsid w:val="79913615"/>
    <w:rsid w:val="79927E6B"/>
    <w:rsid w:val="799405C8"/>
    <w:rsid w:val="79AC6640"/>
    <w:rsid w:val="7A1D3082"/>
    <w:rsid w:val="7ACD0A2E"/>
    <w:rsid w:val="7B482534"/>
    <w:rsid w:val="7BB94FCC"/>
    <w:rsid w:val="7BC92AB9"/>
    <w:rsid w:val="7C093CE8"/>
    <w:rsid w:val="7C2A65B5"/>
    <w:rsid w:val="7CA0289E"/>
    <w:rsid w:val="7CEC0F0F"/>
    <w:rsid w:val="7CEC58EA"/>
    <w:rsid w:val="7CEF7382"/>
    <w:rsid w:val="7CF94051"/>
    <w:rsid w:val="7D0E5A5A"/>
    <w:rsid w:val="7D175381"/>
    <w:rsid w:val="7D3C1910"/>
    <w:rsid w:val="7D617936"/>
    <w:rsid w:val="7D6B5811"/>
    <w:rsid w:val="7D94748A"/>
    <w:rsid w:val="7D9A6AAF"/>
    <w:rsid w:val="7DC51861"/>
    <w:rsid w:val="7DD21995"/>
    <w:rsid w:val="7E422113"/>
    <w:rsid w:val="7E431733"/>
    <w:rsid w:val="7E4960BC"/>
    <w:rsid w:val="7EA076E5"/>
    <w:rsid w:val="7EE46585"/>
    <w:rsid w:val="7EF03B35"/>
    <w:rsid w:val="7F403EC5"/>
    <w:rsid w:val="7F6452A1"/>
    <w:rsid w:val="7F967E36"/>
    <w:rsid w:val="7FC3739A"/>
    <w:rsid w:val="7FE642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0" w:unhideWhenUsed="0" w:qFormat="1"/>
    <w:lsdException w:name="Date"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C5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A34C5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34C52"/>
    <w:pPr>
      <w:keepNext/>
      <w:keepLines/>
      <w:spacing w:line="520" w:lineRule="atLeast"/>
      <w:ind w:firstLineChars="200" w:firstLine="200"/>
      <w:outlineLvl w:val="1"/>
    </w:pPr>
    <w:rPr>
      <w:rFonts w:asciiTheme="majorHAnsi" w:eastAsiaTheme="majorEastAsia" w:hAnsiTheme="majorHAnsi" w:cstheme="majorBidi"/>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A34C52"/>
    <w:pPr>
      <w:widowControl/>
      <w:autoSpaceDE w:val="0"/>
      <w:autoSpaceDN w:val="0"/>
      <w:adjustRightInd w:val="0"/>
      <w:spacing w:after="200" w:line="360" w:lineRule="atLeast"/>
      <w:ind w:firstLine="420"/>
      <w:jc w:val="left"/>
    </w:pPr>
    <w:rPr>
      <w:rFonts w:ascii="宋体" w:eastAsia="宋体"/>
      <w:sz w:val="24"/>
      <w:szCs w:val="21"/>
    </w:rPr>
  </w:style>
  <w:style w:type="paragraph" w:styleId="a4">
    <w:name w:val="annotation text"/>
    <w:basedOn w:val="a"/>
    <w:link w:val="Char0"/>
    <w:uiPriority w:val="99"/>
    <w:semiHidden/>
    <w:unhideWhenUsed/>
    <w:qFormat/>
    <w:rsid w:val="00A34C52"/>
    <w:pPr>
      <w:jc w:val="left"/>
    </w:pPr>
  </w:style>
  <w:style w:type="paragraph" w:styleId="a5">
    <w:name w:val="Body Text"/>
    <w:basedOn w:val="a"/>
    <w:link w:val="Char1"/>
    <w:qFormat/>
    <w:rsid w:val="00A34C52"/>
    <w:pPr>
      <w:widowControl/>
      <w:autoSpaceDE w:val="0"/>
      <w:autoSpaceDN w:val="0"/>
      <w:adjustRightInd w:val="0"/>
      <w:spacing w:after="200" w:line="400" w:lineRule="atLeast"/>
      <w:jc w:val="left"/>
    </w:pPr>
    <w:rPr>
      <w:rFonts w:ascii="宋体" w:eastAsia="宋体" w:hAnsi="Cambria" w:cs="Times New Roman"/>
      <w:color w:val="000000"/>
      <w:kern w:val="0"/>
      <w:sz w:val="24"/>
      <w:lang w:eastAsia="en-US" w:bidi="en-US"/>
    </w:rPr>
  </w:style>
  <w:style w:type="paragraph" w:styleId="a6">
    <w:name w:val="Body Text Indent"/>
    <w:basedOn w:val="a"/>
    <w:link w:val="Char2"/>
    <w:qFormat/>
    <w:rsid w:val="00A34C52"/>
    <w:pPr>
      <w:widowControl/>
      <w:spacing w:after="200" w:line="276" w:lineRule="auto"/>
      <w:ind w:firstLine="420"/>
      <w:jc w:val="left"/>
    </w:pPr>
    <w:rPr>
      <w:rFonts w:ascii="Cambria" w:eastAsia="宋体" w:hAnsi="Cambria" w:cs="Times New Roman"/>
      <w:kern w:val="0"/>
      <w:sz w:val="22"/>
      <w:lang w:eastAsia="en-US" w:bidi="en-US"/>
    </w:rPr>
  </w:style>
  <w:style w:type="paragraph" w:styleId="3">
    <w:name w:val="toc 3"/>
    <w:basedOn w:val="a"/>
    <w:next w:val="a"/>
    <w:uiPriority w:val="39"/>
    <w:unhideWhenUsed/>
    <w:qFormat/>
    <w:rsid w:val="00A34C52"/>
    <w:pPr>
      <w:widowControl/>
      <w:spacing w:after="100" w:line="276" w:lineRule="auto"/>
      <w:ind w:left="440"/>
      <w:jc w:val="left"/>
    </w:pPr>
    <w:rPr>
      <w:kern w:val="0"/>
      <w:sz w:val="22"/>
    </w:rPr>
  </w:style>
  <w:style w:type="paragraph" w:styleId="a7">
    <w:name w:val="Date"/>
    <w:basedOn w:val="a"/>
    <w:next w:val="a"/>
    <w:link w:val="Char3"/>
    <w:uiPriority w:val="99"/>
    <w:semiHidden/>
    <w:unhideWhenUsed/>
    <w:qFormat/>
    <w:rsid w:val="00A34C52"/>
    <w:pPr>
      <w:ind w:leftChars="2500" w:left="100"/>
    </w:pPr>
  </w:style>
  <w:style w:type="paragraph" w:styleId="20">
    <w:name w:val="Body Text Indent 2"/>
    <w:basedOn w:val="a"/>
    <w:link w:val="2Char0"/>
    <w:qFormat/>
    <w:rsid w:val="00A34C52"/>
    <w:pPr>
      <w:widowControl/>
      <w:spacing w:after="200" w:line="420" w:lineRule="atLeast"/>
      <w:ind w:firstLine="480"/>
      <w:jc w:val="left"/>
    </w:pPr>
    <w:rPr>
      <w:rFonts w:ascii="Cambria" w:eastAsia="宋体" w:hAnsi="Cambria" w:cs="Times New Roman"/>
      <w:kern w:val="0"/>
      <w:sz w:val="24"/>
      <w:lang w:eastAsia="en-US" w:bidi="en-US"/>
    </w:rPr>
  </w:style>
  <w:style w:type="paragraph" w:styleId="a8">
    <w:name w:val="Balloon Text"/>
    <w:basedOn w:val="a"/>
    <w:link w:val="Char4"/>
    <w:uiPriority w:val="99"/>
    <w:semiHidden/>
    <w:unhideWhenUsed/>
    <w:qFormat/>
    <w:rsid w:val="00A34C52"/>
    <w:rPr>
      <w:sz w:val="18"/>
      <w:szCs w:val="18"/>
    </w:rPr>
  </w:style>
  <w:style w:type="paragraph" w:styleId="a9">
    <w:name w:val="footer"/>
    <w:basedOn w:val="a"/>
    <w:link w:val="Char5"/>
    <w:uiPriority w:val="99"/>
    <w:unhideWhenUsed/>
    <w:qFormat/>
    <w:rsid w:val="00A34C52"/>
    <w:pPr>
      <w:tabs>
        <w:tab w:val="center" w:pos="4153"/>
        <w:tab w:val="right" w:pos="8306"/>
      </w:tabs>
      <w:snapToGrid w:val="0"/>
      <w:jc w:val="left"/>
    </w:pPr>
    <w:rPr>
      <w:sz w:val="18"/>
      <w:szCs w:val="18"/>
    </w:rPr>
  </w:style>
  <w:style w:type="paragraph" w:styleId="aa">
    <w:name w:val="header"/>
    <w:basedOn w:val="a"/>
    <w:link w:val="Char6"/>
    <w:unhideWhenUsed/>
    <w:qFormat/>
    <w:rsid w:val="00A34C5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A34C52"/>
    <w:pPr>
      <w:widowControl/>
      <w:tabs>
        <w:tab w:val="right" w:leader="dot" w:pos="8296"/>
      </w:tabs>
      <w:spacing w:line="520" w:lineRule="atLeast"/>
      <w:jc w:val="left"/>
    </w:pPr>
    <w:rPr>
      <w:kern w:val="0"/>
      <w:sz w:val="28"/>
      <w:szCs w:val="28"/>
    </w:rPr>
  </w:style>
  <w:style w:type="paragraph" w:styleId="ab">
    <w:name w:val="Subtitle"/>
    <w:basedOn w:val="a"/>
    <w:next w:val="a"/>
    <w:link w:val="Char7"/>
    <w:qFormat/>
    <w:rsid w:val="00A34C52"/>
    <w:pPr>
      <w:spacing w:line="312" w:lineRule="auto"/>
      <w:ind w:firstLineChars="200" w:firstLine="200"/>
      <w:jc w:val="left"/>
      <w:outlineLvl w:val="2"/>
    </w:pPr>
    <w:rPr>
      <w:rFonts w:asciiTheme="majorHAnsi" w:eastAsia="黑体" w:hAnsiTheme="majorHAnsi" w:cstheme="majorBidi"/>
      <w:bCs/>
      <w:kern w:val="28"/>
      <w:sz w:val="24"/>
      <w:szCs w:val="32"/>
    </w:rPr>
  </w:style>
  <w:style w:type="paragraph" w:styleId="21">
    <w:name w:val="toc 2"/>
    <w:basedOn w:val="a"/>
    <w:next w:val="a"/>
    <w:uiPriority w:val="39"/>
    <w:unhideWhenUsed/>
    <w:qFormat/>
    <w:rsid w:val="00A34C52"/>
    <w:pPr>
      <w:widowControl/>
      <w:spacing w:after="100" w:line="276" w:lineRule="auto"/>
      <w:ind w:left="220"/>
      <w:jc w:val="left"/>
    </w:pPr>
    <w:rPr>
      <w:kern w:val="0"/>
      <w:sz w:val="22"/>
    </w:rPr>
  </w:style>
  <w:style w:type="paragraph" w:styleId="ac">
    <w:name w:val="annotation subject"/>
    <w:basedOn w:val="a4"/>
    <w:next w:val="a4"/>
    <w:link w:val="Char8"/>
    <w:uiPriority w:val="99"/>
    <w:semiHidden/>
    <w:unhideWhenUsed/>
    <w:qFormat/>
    <w:rsid w:val="00A34C52"/>
    <w:rPr>
      <w:b/>
      <w:bCs/>
    </w:rPr>
  </w:style>
  <w:style w:type="table" w:styleId="ad">
    <w:name w:val="Table Grid"/>
    <w:basedOn w:val="a1"/>
    <w:uiPriority w:val="59"/>
    <w:qFormat/>
    <w:rsid w:val="00A34C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rsid w:val="00A34C52"/>
  </w:style>
  <w:style w:type="character" w:styleId="af">
    <w:name w:val="Hyperlink"/>
    <w:basedOn w:val="a0"/>
    <w:uiPriority w:val="99"/>
    <w:unhideWhenUsed/>
    <w:qFormat/>
    <w:rsid w:val="00A34C52"/>
    <w:rPr>
      <w:color w:val="0000FF" w:themeColor="hyperlink"/>
      <w:u w:val="single"/>
    </w:rPr>
  </w:style>
  <w:style w:type="character" w:styleId="af0">
    <w:name w:val="annotation reference"/>
    <w:basedOn w:val="a0"/>
    <w:uiPriority w:val="99"/>
    <w:semiHidden/>
    <w:unhideWhenUsed/>
    <w:qFormat/>
    <w:rsid w:val="00A34C52"/>
    <w:rPr>
      <w:sz w:val="21"/>
      <w:szCs w:val="21"/>
    </w:rPr>
  </w:style>
  <w:style w:type="character" w:customStyle="1" w:styleId="Char6">
    <w:name w:val="页眉 Char"/>
    <w:basedOn w:val="a0"/>
    <w:link w:val="aa"/>
    <w:uiPriority w:val="99"/>
    <w:semiHidden/>
    <w:qFormat/>
    <w:rsid w:val="00A34C52"/>
    <w:rPr>
      <w:sz w:val="18"/>
      <w:szCs w:val="18"/>
    </w:rPr>
  </w:style>
  <w:style w:type="character" w:customStyle="1" w:styleId="Char5">
    <w:name w:val="页脚 Char"/>
    <w:basedOn w:val="a0"/>
    <w:link w:val="a9"/>
    <w:uiPriority w:val="99"/>
    <w:qFormat/>
    <w:rsid w:val="00A34C52"/>
    <w:rPr>
      <w:sz w:val="18"/>
      <w:szCs w:val="18"/>
    </w:rPr>
  </w:style>
  <w:style w:type="character" w:customStyle="1" w:styleId="1Char">
    <w:name w:val="标题 1 Char"/>
    <w:basedOn w:val="a0"/>
    <w:link w:val="1"/>
    <w:uiPriority w:val="9"/>
    <w:qFormat/>
    <w:rsid w:val="00A34C52"/>
    <w:rPr>
      <w:b/>
      <w:bCs/>
      <w:kern w:val="44"/>
      <w:sz w:val="44"/>
      <w:szCs w:val="44"/>
    </w:rPr>
  </w:style>
  <w:style w:type="paragraph" w:styleId="af1">
    <w:name w:val="List Paragraph"/>
    <w:basedOn w:val="a"/>
    <w:uiPriority w:val="34"/>
    <w:qFormat/>
    <w:rsid w:val="00A34C52"/>
    <w:pPr>
      <w:ind w:firstLineChars="200" w:firstLine="420"/>
    </w:pPr>
  </w:style>
  <w:style w:type="character" w:customStyle="1" w:styleId="Char4">
    <w:name w:val="批注框文本 Char"/>
    <w:basedOn w:val="a0"/>
    <w:link w:val="a8"/>
    <w:uiPriority w:val="99"/>
    <w:semiHidden/>
    <w:qFormat/>
    <w:rsid w:val="00A34C52"/>
    <w:rPr>
      <w:sz w:val="18"/>
      <w:szCs w:val="18"/>
    </w:rPr>
  </w:style>
  <w:style w:type="paragraph" w:customStyle="1" w:styleId="TOC1">
    <w:name w:val="TOC 标题1"/>
    <w:basedOn w:val="1"/>
    <w:next w:val="a"/>
    <w:uiPriority w:val="39"/>
    <w:semiHidden/>
    <w:unhideWhenUsed/>
    <w:qFormat/>
    <w:rsid w:val="00A34C5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uiPriority w:val="9"/>
    <w:qFormat/>
    <w:rsid w:val="00A34C52"/>
    <w:rPr>
      <w:rFonts w:asciiTheme="majorHAnsi" w:eastAsiaTheme="majorEastAsia" w:hAnsiTheme="majorHAnsi" w:cstheme="majorBidi"/>
      <w:bCs/>
      <w:sz w:val="24"/>
      <w:szCs w:val="32"/>
    </w:rPr>
  </w:style>
  <w:style w:type="character" w:customStyle="1" w:styleId="2Char0">
    <w:name w:val="正文文本缩进 2 Char"/>
    <w:basedOn w:val="a0"/>
    <w:link w:val="20"/>
    <w:qFormat/>
    <w:rsid w:val="00A34C52"/>
    <w:rPr>
      <w:rFonts w:ascii="Cambria" w:eastAsia="宋体" w:hAnsi="Cambria" w:cs="Times New Roman"/>
      <w:kern w:val="0"/>
      <w:sz w:val="24"/>
      <w:lang w:eastAsia="en-US" w:bidi="en-US"/>
    </w:rPr>
  </w:style>
  <w:style w:type="character" w:customStyle="1" w:styleId="Char">
    <w:name w:val="正文缩进 Char"/>
    <w:link w:val="a3"/>
    <w:qFormat/>
    <w:rsid w:val="00A34C52"/>
    <w:rPr>
      <w:rFonts w:ascii="宋体" w:eastAsia="宋体"/>
      <w:sz w:val="24"/>
      <w:szCs w:val="21"/>
    </w:rPr>
  </w:style>
  <w:style w:type="character" w:customStyle="1" w:styleId="Char2">
    <w:name w:val="正文文本缩进 Char"/>
    <w:basedOn w:val="a0"/>
    <w:link w:val="a6"/>
    <w:qFormat/>
    <w:rsid w:val="00A34C52"/>
    <w:rPr>
      <w:rFonts w:ascii="Cambria" w:eastAsia="宋体" w:hAnsi="Cambria" w:cs="Times New Roman"/>
      <w:kern w:val="0"/>
      <w:sz w:val="22"/>
      <w:lang w:eastAsia="en-US" w:bidi="en-US"/>
    </w:rPr>
  </w:style>
  <w:style w:type="character" w:customStyle="1" w:styleId="Char1">
    <w:name w:val="正文文本 Char"/>
    <w:basedOn w:val="a0"/>
    <w:link w:val="a5"/>
    <w:qFormat/>
    <w:rsid w:val="00A34C52"/>
    <w:rPr>
      <w:rFonts w:ascii="宋体" w:eastAsia="宋体" w:hAnsi="Cambria" w:cs="Times New Roman"/>
      <w:color w:val="000000"/>
      <w:kern w:val="0"/>
      <w:sz w:val="24"/>
      <w:lang w:eastAsia="en-US" w:bidi="en-US"/>
    </w:rPr>
  </w:style>
  <w:style w:type="character" w:customStyle="1" w:styleId="Char0">
    <w:name w:val="批注文字 Char"/>
    <w:basedOn w:val="a0"/>
    <w:link w:val="a4"/>
    <w:uiPriority w:val="99"/>
    <w:semiHidden/>
    <w:qFormat/>
    <w:rsid w:val="00A34C52"/>
  </w:style>
  <w:style w:type="character" w:customStyle="1" w:styleId="Char8">
    <w:name w:val="批注主题 Char"/>
    <w:basedOn w:val="Char0"/>
    <w:link w:val="ac"/>
    <w:uiPriority w:val="99"/>
    <w:semiHidden/>
    <w:qFormat/>
    <w:rsid w:val="00A34C52"/>
    <w:rPr>
      <w:b/>
      <w:bCs/>
    </w:rPr>
  </w:style>
  <w:style w:type="character" w:customStyle="1" w:styleId="Char3">
    <w:name w:val="日期 Char"/>
    <w:basedOn w:val="a0"/>
    <w:link w:val="a7"/>
    <w:uiPriority w:val="99"/>
    <w:semiHidden/>
    <w:qFormat/>
    <w:rsid w:val="00A34C52"/>
  </w:style>
  <w:style w:type="character" w:customStyle="1" w:styleId="Char7">
    <w:name w:val="副标题 Char"/>
    <w:basedOn w:val="a0"/>
    <w:link w:val="ab"/>
    <w:qFormat/>
    <w:rsid w:val="00A34C52"/>
    <w:rPr>
      <w:rFonts w:asciiTheme="majorHAnsi" w:eastAsia="黑体" w:hAnsiTheme="majorHAnsi" w:cstheme="majorBidi"/>
      <w:bCs/>
      <w:kern w:val="28"/>
      <w:sz w:val="24"/>
      <w:szCs w:val="32"/>
    </w:rPr>
  </w:style>
  <w:style w:type="paragraph" w:customStyle="1" w:styleId="af2">
    <w:name w:val="表格"/>
    <w:basedOn w:val="a"/>
    <w:qFormat/>
    <w:rsid w:val="00A34C52"/>
    <w:pPr>
      <w:jc w:val="center"/>
    </w:pPr>
    <w:rPr>
      <w:rFonts w:ascii="Verdana" w:eastAsia="仿宋_GB2312" w:hAnsi="Verdana" w:cs="Times New Roman"/>
      <w:lang w:eastAsia="en-US"/>
    </w:rPr>
  </w:style>
  <w:style w:type="paragraph" w:customStyle="1" w:styleId="WPSOffice1">
    <w:name w:val="WPSOffice手动目录 1"/>
    <w:qFormat/>
    <w:rsid w:val="00A34C52"/>
  </w:style>
  <w:style w:type="paragraph" w:customStyle="1" w:styleId="WPSOffice2">
    <w:name w:val="WPSOffice手动目录 2"/>
    <w:qFormat/>
    <w:rsid w:val="00A34C52"/>
    <w:pPr>
      <w:ind w:leftChars="200" w:left="200"/>
    </w:pPr>
  </w:style>
  <w:style w:type="paragraph" w:customStyle="1" w:styleId="WPSOffice3">
    <w:name w:val="WPSOffice手动目录 3"/>
    <w:qFormat/>
    <w:rsid w:val="00A34C52"/>
    <w:pPr>
      <w:ind w:leftChars="400" w:left="400"/>
    </w:pPr>
  </w:style>
</w:styles>
</file>

<file path=word/webSettings.xml><?xml version="1.0" encoding="utf-8"?>
<w:webSettings xmlns:r="http://schemas.openxmlformats.org/officeDocument/2006/relationships" xmlns:w="http://schemas.openxmlformats.org/wordprocessingml/2006/main">
  <w:divs>
    <w:div w:id="264070544">
      <w:bodyDiv w:val="1"/>
      <w:marLeft w:val="0"/>
      <w:marRight w:val="0"/>
      <w:marTop w:val="0"/>
      <w:marBottom w:val="0"/>
      <w:divBdr>
        <w:top w:val="none" w:sz="0" w:space="0" w:color="auto"/>
        <w:left w:val="none" w:sz="0" w:space="0" w:color="auto"/>
        <w:bottom w:val="none" w:sz="0" w:space="0" w:color="auto"/>
        <w:right w:val="none" w:sz="0" w:space="0" w:color="auto"/>
      </w:divBdr>
    </w:div>
    <w:div w:id="1760953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AC035D6-8221-4EAB-848F-FE853C2B6D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1100</Words>
  <Characters>6270</Characters>
  <Application>Microsoft Office Word</Application>
  <DocSecurity>0</DocSecurity>
  <Lines>52</Lines>
  <Paragraphs>14</Paragraphs>
  <ScaleCrop>false</ScaleCrop>
  <Company>Microsoft</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8</cp:revision>
  <cp:lastPrinted>2020-08-20T02:36:00Z</cp:lastPrinted>
  <dcterms:created xsi:type="dcterms:W3CDTF">2021-08-21T02:11:00Z</dcterms:created>
  <dcterms:modified xsi:type="dcterms:W3CDTF">2022-08-24T01:55:00Z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1EAC2A526C85435CB2ADF04681E7AAA9</vt:lpwstr>
  </property>
</Properties>
</file>