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36E5" w:rsidRDefault="00E640BE">
      <w:pPr>
        <w:spacing w:line="560" w:lineRule="exact"/>
        <w:jc w:val="center"/>
        <w:rPr>
          <w:rFonts w:ascii="方正小标宋简体" w:eastAsia="方正小标宋简体"/>
          <w:sz w:val="36"/>
          <w:szCs w:val="36"/>
        </w:rPr>
      </w:pPr>
      <w:r>
        <w:rPr>
          <w:rFonts w:ascii="方正小标宋简体" w:eastAsia="方正小标宋简体" w:hint="eastAsia"/>
          <w:sz w:val="36"/>
          <w:szCs w:val="36"/>
        </w:rPr>
        <w:t>北京市延庆区人民法院部门整体</w:t>
      </w:r>
    </w:p>
    <w:p w:rsidR="003236E5" w:rsidRDefault="00E640BE">
      <w:pPr>
        <w:spacing w:line="560" w:lineRule="exact"/>
        <w:jc w:val="center"/>
        <w:rPr>
          <w:rFonts w:ascii="方正小标宋简体" w:eastAsia="方正小标宋简体"/>
          <w:sz w:val="36"/>
          <w:szCs w:val="36"/>
        </w:rPr>
      </w:pPr>
      <w:r>
        <w:rPr>
          <w:rFonts w:ascii="方正小标宋简体" w:eastAsia="方正小标宋简体" w:hint="eastAsia"/>
          <w:sz w:val="36"/>
          <w:szCs w:val="36"/>
        </w:rPr>
        <w:t>绩效评价报告</w:t>
      </w:r>
    </w:p>
    <w:p w:rsidR="003236E5" w:rsidRDefault="00E640BE">
      <w:pPr>
        <w:spacing w:line="600" w:lineRule="exact"/>
        <w:ind w:firstLineChars="200" w:firstLine="640"/>
        <w:rPr>
          <w:rFonts w:ascii="黑体" w:eastAsia="黑体" w:hAnsi="黑体" w:cs="宋体"/>
          <w:color w:val="000000"/>
          <w:kern w:val="0"/>
          <w:sz w:val="32"/>
          <w:szCs w:val="32"/>
        </w:rPr>
      </w:pPr>
      <w:r>
        <w:rPr>
          <w:rFonts w:ascii="黑体" w:eastAsia="黑体" w:hAnsi="黑体" w:cs="宋体" w:hint="eastAsia"/>
          <w:color w:val="000000"/>
          <w:kern w:val="0"/>
          <w:sz w:val="32"/>
          <w:szCs w:val="32"/>
        </w:rPr>
        <w:t>一、部门概况</w:t>
      </w:r>
    </w:p>
    <w:p w:rsidR="003236E5" w:rsidRDefault="00E640BE">
      <w:pPr>
        <w:spacing w:line="600" w:lineRule="exact"/>
        <w:ind w:firstLineChars="200" w:firstLine="640"/>
        <w:rPr>
          <w:rFonts w:ascii="楷体_GB2312" w:eastAsia="楷体_GB2312"/>
          <w:sz w:val="32"/>
          <w:szCs w:val="32"/>
        </w:rPr>
      </w:pPr>
      <w:r>
        <w:rPr>
          <w:rFonts w:ascii="楷体_GB2312" w:eastAsia="楷体_GB2312" w:hint="eastAsia"/>
          <w:sz w:val="32"/>
          <w:szCs w:val="32"/>
        </w:rPr>
        <w:t>（一）机构设置及职责工作任务情况</w:t>
      </w:r>
    </w:p>
    <w:p w:rsidR="006E216B" w:rsidRPr="006E216B" w:rsidRDefault="006E216B" w:rsidP="006E216B">
      <w:pPr>
        <w:spacing w:line="600" w:lineRule="exact"/>
        <w:ind w:firstLineChars="200" w:firstLine="640"/>
        <w:rPr>
          <w:rFonts w:ascii="仿宋_GB2312" w:eastAsia="仿宋_GB2312" w:hAnsi="宋体" w:cs="宋体"/>
          <w:color w:val="000000"/>
          <w:kern w:val="0"/>
          <w:sz w:val="32"/>
          <w:szCs w:val="32"/>
        </w:rPr>
      </w:pPr>
      <w:r w:rsidRPr="006E216B">
        <w:rPr>
          <w:rFonts w:ascii="仿宋_GB2312" w:eastAsia="仿宋_GB2312" w:hAnsi="宋体" w:cs="宋体" w:hint="eastAsia"/>
          <w:color w:val="000000"/>
          <w:kern w:val="0"/>
          <w:sz w:val="32"/>
          <w:szCs w:val="32"/>
        </w:rPr>
        <w:t>北京市延庆区人民法院（以下简称“延庆区法院”）是国家的审判机关，依照法律规定独立行使审判权。通过行使国家审判权，惩办犯罪分子，解决民事纠纷、经济纠纷、行政纠纷，保护社会主义的全民所有制财产、集体所有制财产和公民合法的私有财产，保护公民的人身权利、民主权利和其他权利，维护社会主义法治和社会秩序，保障社会主义建设事业的顺利进行。</w:t>
      </w:r>
    </w:p>
    <w:p w:rsidR="006E216B" w:rsidRPr="008546CB" w:rsidRDefault="006E216B" w:rsidP="006E216B">
      <w:pPr>
        <w:spacing w:line="600" w:lineRule="exact"/>
        <w:ind w:firstLineChars="200" w:firstLine="640"/>
        <w:rPr>
          <w:rFonts w:ascii="仿宋_GB2312" w:eastAsia="仿宋_GB2312" w:hAnsi="宋体" w:hint="eastAsia"/>
          <w:sz w:val="28"/>
          <w:szCs w:val="28"/>
        </w:rPr>
      </w:pPr>
      <w:r w:rsidRPr="006E216B">
        <w:rPr>
          <w:rFonts w:ascii="仿宋_GB2312" w:eastAsia="仿宋_GB2312" w:hAnsi="宋体" w:cs="宋体" w:hint="eastAsia"/>
          <w:color w:val="000000"/>
          <w:kern w:val="0"/>
          <w:sz w:val="32"/>
          <w:szCs w:val="32"/>
        </w:rPr>
        <w:t>北京市延庆区人民法院内设立案庭（诉讼服务中心）、刑事审判庭、民事审判</w:t>
      </w:r>
      <w:r w:rsidRPr="006E216B">
        <w:rPr>
          <w:rFonts w:ascii="仿宋_GB2312" w:eastAsia="仿宋_GB2312" w:hAnsi="宋体" w:cs="宋体"/>
          <w:color w:val="000000"/>
          <w:kern w:val="0"/>
          <w:sz w:val="32"/>
          <w:szCs w:val="32"/>
        </w:rPr>
        <w:t>一庭（环境资源审判庭）</w:t>
      </w:r>
      <w:r w:rsidRPr="006E216B">
        <w:rPr>
          <w:rFonts w:ascii="仿宋_GB2312" w:eastAsia="仿宋_GB2312" w:hAnsi="宋体" w:cs="宋体" w:hint="eastAsia"/>
          <w:color w:val="000000"/>
          <w:kern w:val="0"/>
          <w:sz w:val="32"/>
          <w:szCs w:val="32"/>
        </w:rPr>
        <w:t>、综合</w:t>
      </w:r>
      <w:r w:rsidRPr="006E216B">
        <w:rPr>
          <w:rFonts w:ascii="仿宋_GB2312" w:eastAsia="仿宋_GB2312" w:hAnsi="宋体" w:cs="宋体"/>
          <w:color w:val="000000"/>
          <w:kern w:val="0"/>
          <w:sz w:val="32"/>
          <w:szCs w:val="32"/>
        </w:rPr>
        <w:t>办公室</w:t>
      </w:r>
      <w:r w:rsidRPr="006E216B">
        <w:rPr>
          <w:rFonts w:ascii="仿宋_GB2312" w:eastAsia="仿宋_GB2312" w:hAnsi="宋体" w:cs="宋体" w:hint="eastAsia"/>
          <w:color w:val="000000"/>
          <w:kern w:val="0"/>
          <w:sz w:val="32"/>
          <w:szCs w:val="32"/>
        </w:rPr>
        <w:t>、民事</w:t>
      </w:r>
      <w:r w:rsidRPr="006E216B">
        <w:rPr>
          <w:rFonts w:ascii="仿宋_GB2312" w:eastAsia="仿宋_GB2312" w:hAnsi="宋体" w:cs="宋体"/>
          <w:color w:val="000000"/>
          <w:kern w:val="0"/>
          <w:sz w:val="32"/>
          <w:szCs w:val="32"/>
        </w:rPr>
        <w:t>审判二庭</w:t>
      </w:r>
      <w:r w:rsidRPr="006E216B">
        <w:rPr>
          <w:rFonts w:ascii="仿宋_GB2312" w:eastAsia="仿宋_GB2312" w:hAnsi="宋体" w:cs="宋体" w:hint="eastAsia"/>
          <w:color w:val="000000"/>
          <w:kern w:val="0"/>
          <w:sz w:val="32"/>
          <w:szCs w:val="32"/>
        </w:rPr>
        <w:t>、行政</w:t>
      </w:r>
      <w:r w:rsidRPr="006E216B">
        <w:rPr>
          <w:rFonts w:ascii="仿宋_GB2312" w:eastAsia="仿宋_GB2312" w:hAnsi="宋体" w:cs="宋体"/>
          <w:color w:val="000000"/>
          <w:kern w:val="0"/>
          <w:sz w:val="32"/>
          <w:szCs w:val="32"/>
        </w:rPr>
        <w:t>审判庭（</w:t>
      </w:r>
      <w:r w:rsidRPr="006E216B">
        <w:rPr>
          <w:rFonts w:ascii="仿宋_GB2312" w:eastAsia="仿宋_GB2312" w:hAnsi="宋体" w:cs="宋体" w:hint="eastAsia"/>
          <w:color w:val="000000"/>
          <w:kern w:val="0"/>
          <w:sz w:val="32"/>
          <w:szCs w:val="32"/>
        </w:rPr>
        <w:t>综合</w:t>
      </w:r>
      <w:r w:rsidRPr="006E216B">
        <w:rPr>
          <w:rFonts w:ascii="仿宋_GB2312" w:eastAsia="仿宋_GB2312" w:hAnsi="宋体" w:cs="宋体"/>
          <w:color w:val="000000"/>
          <w:kern w:val="0"/>
          <w:sz w:val="32"/>
          <w:szCs w:val="32"/>
        </w:rPr>
        <w:t>审判庭）</w:t>
      </w:r>
      <w:r w:rsidRPr="006E216B">
        <w:rPr>
          <w:rFonts w:ascii="仿宋_GB2312" w:eastAsia="仿宋_GB2312" w:hAnsi="宋体" w:cs="宋体" w:hint="eastAsia"/>
          <w:color w:val="000000"/>
          <w:kern w:val="0"/>
          <w:sz w:val="32"/>
          <w:szCs w:val="32"/>
        </w:rPr>
        <w:t>、执行局、审判</w:t>
      </w:r>
      <w:r w:rsidRPr="006E216B">
        <w:rPr>
          <w:rFonts w:ascii="仿宋_GB2312" w:eastAsia="仿宋_GB2312" w:hAnsi="宋体" w:cs="宋体"/>
          <w:color w:val="000000"/>
          <w:kern w:val="0"/>
          <w:sz w:val="32"/>
          <w:szCs w:val="32"/>
        </w:rPr>
        <w:t>管理办公室（</w:t>
      </w:r>
      <w:r w:rsidRPr="006E216B">
        <w:rPr>
          <w:rFonts w:ascii="仿宋_GB2312" w:eastAsia="仿宋_GB2312" w:hAnsi="宋体" w:cs="宋体" w:hint="eastAsia"/>
          <w:color w:val="000000"/>
          <w:kern w:val="0"/>
          <w:sz w:val="32"/>
          <w:szCs w:val="32"/>
        </w:rPr>
        <w:t>研究室</w:t>
      </w:r>
      <w:r w:rsidRPr="006E216B">
        <w:rPr>
          <w:rFonts w:ascii="仿宋_GB2312" w:eastAsia="仿宋_GB2312" w:hAnsi="宋体" w:cs="宋体"/>
          <w:color w:val="000000"/>
          <w:kern w:val="0"/>
          <w:sz w:val="32"/>
          <w:szCs w:val="32"/>
        </w:rPr>
        <w:t>）</w:t>
      </w:r>
      <w:r w:rsidRPr="006E216B">
        <w:rPr>
          <w:rFonts w:ascii="仿宋_GB2312" w:eastAsia="仿宋_GB2312" w:hAnsi="宋体" w:cs="宋体" w:hint="eastAsia"/>
          <w:color w:val="000000"/>
          <w:kern w:val="0"/>
          <w:sz w:val="32"/>
          <w:szCs w:val="32"/>
        </w:rPr>
        <w:t>、八达岭</w:t>
      </w:r>
      <w:r w:rsidRPr="006E216B">
        <w:rPr>
          <w:rFonts w:ascii="仿宋_GB2312" w:eastAsia="仿宋_GB2312" w:hAnsi="宋体" w:cs="宋体"/>
          <w:color w:val="000000"/>
          <w:kern w:val="0"/>
          <w:sz w:val="32"/>
          <w:szCs w:val="32"/>
        </w:rPr>
        <w:t>人民法庭</w:t>
      </w:r>
      <w:r w:rsidRPr="006E216B">
        <w:rPr>
          <w:rFonts w:ascii="仿宋_GB2312" w:eastAsia="仿宋_GB2312" w:hAnsi="宋体" w:cs="宋体" w:hint="eastAsia"/>
          <w:color w:val="000000"/>
          <w:kern w:val="0"/>
          <w:sz w:val="32"/>
          <w:szCs w:val="32"/>
        </w:rPr>
        <w:t>、永宁</w:t>
      </w:r>
      <w:r w:rsidRPr="006E216B">
        <w:rPr>
          <w:rFonts w:ascii="仿宋_GB2312" w:eastAsia="仿宋_GB2312" w:hAnsi="宋体" w:cs="宋体"/>
          <w:color w:val="000000"/>
          <w:kern w:val="0"/>
          <w:sz w:val="32"/>
          <w:szCs w:val="32"/>
        </w:rPr>
        <w:t>人民法庭</w:t>
      </w:r>
      <w:r w:rsidRPr="006E216B">
        <w:rPr>
          <w:rFonts w:ascii="仿宋_GB2312" w:eastAsia="仿宋_GB2312" w:hAnsi="宋体" w:cs="宋体" w:hint="eastAsia"/>
          <w:color w:val="000000"/>
          <w:kern w:val="0"/>
          <w:sz w:val="32"/>
          <w:szCs w:val="32"/>
        </w:rPr>
        <w:t>、沈家营</w:t>
      </w:r>
      <w:r w:rsidRPr="006E216B">
        <w:rPr>
          <w:rFonts w:ascii="仿宋_GB2312" w:eastAsia="仿宋_GB2312" w:hAnsi="宋体" w:cs="宋体"/>
          <w:color w:val="000000"/>
          <w:kern w:val="0"/>
          <w:sz w:val="32"/>
          <w:szCs w:val="32"/>
        </w:rPr>
        <w:t>人民法庭</w:t>
      </w:r>
      <w:r w:rsidRPr="006E216B">
        <w:rPr>
          <w:rFonts w:ascii="仿宋_GB2312" w:eastAsia="仿宋_GB2312" w:hAnsi="宋体" w:cs="宋体" w:hint="eastAsia"/>
          <w:color w:val="000000"/>
          <w:kern w:val="0"/>
          <w:sz w:val="32"/>
          <w:szCs w:val="32"/>
        </w:rPr>
        <w:t>、政治部（机关</w:t>
      </w:r>
      <w:r w:rsidRPr="006E216B">
        <w:rPr>
          <w:rFonts w:ascii="仿宋_GB2312" w:eastAsia="仿宋_GB2312" w:hAnsi="宋体" w:cs="宋体"/>
          <w:color w:val="000000"/>
          <w:kern w:val="0"/>
          <w:sz w:val="32"/>
          <w:szCs w:val="32"/>
        </w:rPr>
        <w:t>党委、机</w:t>
      </w:r>
      <w:r w:rsidRPr="006E216B">
        <w:rPr>
          <w:rFonts w:ascii="仿宋_GB2312" w:eastAsia="仿宋_GB2312" w:hAnsi="宋体" w:cs="宋体" w:hint="eastAsia"/>
          <w:color w:val="000000"/>
          <w:kern w:val="0"/>
          <w:sz w:val="32"/>
          <w:szCs w:val="32"/>
        </w:rPr>
        <w:t>关</w:t>
      </w:r>
      <w:r w:rsidRPr="006E216B">
        <w:rPr>
          <w:rFonts w:ascii="仿宋_GB2312" w:eastAsia="仿宋_GB2312" w:hAnsi="宋体" w:cs="宋体"/>
          <w:color w:val="000000"/>
          <w:kern w:val="0"/>
          <w:sz w:val="32"/>
          <w:szCs w:val="32"/>
        </w:rPr>
        <w:t>纪委</w:t>
      </w:r>
      <w:r w:rsidRPr="006E216B">
        <w:rPr>
          <w:rFonts w:ascii="仿宋_GB2312" w:eastAsia="仿宋_GB2312" w:hAnsi="宋体" w:cs="宋体" w:hint="eastAsia"/>
          <w:color w:val="000000"/>
          <w:kern w:val="0"/>
          <w:sz w:val="32"/>
          <w:szCs w:val="32"/>
        </w:rPr>
        <w:t>）、司法</w:t>
      </w:r>
      <w:r w:rsidRPr="006E216B">
        <w:rPr>
          <w:rFonts w:ascii="仿宋_GB2312" w:eastAsia="仿宋_GB2312" w:hAnsi="宋体" w:cs="宋体"/>
          <w:color w:val="000000"/>
          <w:kern w:val="0"/>
          <w:sz w:val="32"/>
          <w:szCs w:val="32"/>
        </w:rPr>
        <w:t>警察大队</w:t>
      </w:r>
      <w:r w:rsidRPr="006E216B">
        <w:rPr>
          <w:rFonts w:ascii="仿宋_GB2312" w:eastAsia="仿宋_GB2312" w:hAnsi="宋体" w:cs="宋体" w:hint="eastAsia"/>
          <w:color w:val="000000"/>
          <w:kern w:val="0"/>
          <w:sz w:val="32"/>
          <w:szCs w:val="32"/>
        </w:rPr>
        <w:t>13个职能部门和1个综合事务中心</w:t>
      </w:r>
      <w:r w:rsidRPr="008546CB">
        <w:rPr>
          <w:rFonts w:ascii="仿宋_GB2312" w:eastAsia="仿宋_GB2312" w:hAnsi="宋体" w:hint="eastAsia"/>
          <w:sz w:val="28"/>
          <w:szCs w:val="28"/>
        </w:rPr>
        <w:t>。</w:t>
      </w:r>
    </w:p>
    <w:p w:rsidR="003236E5" w:rsidRDefault="00E640BE">
      <w:pPr>
        <w:spacing w:line="600" w:lineRule="exact"/>
        <w:ind w:firstLineChars="200" w:firstLine="640"/>
        <w:rPr>
          <w:rFonts w:ascii="楷体_GB2312" w:eastAsia="楷体_GB2312"/>
          <w:sz w:val="32"/>
          <w:szCs w:val="32"/>
        </w:rPr>
      </w:pPr>
      <w:r>
        <w:rPr>
          <w:rFonts w:ascii="楷体_GB2312" w:eastAsia="楷体_GB2312" w:hint="eastAsia"/>
          <w:sz w:val="32"/>
          <w:szCs w:val="32"/>
        </w:rPr>
        <w:t>（二）部门整体绩效目标设立情况</w:t>
      </w:r>
    </w:p>
    <w:p w:rsidR="003236E5" w:rsidRDefault="00E640BE">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1</w:t>
      </w:r>
      <w:r>
        <w:rPr>
          <w:rFonts w:ascii="仿宋_GB2312" w:eastAsia="仿宋_GB2312" w:hAnsi="宋体" w:cs="宋体"/>
          <w:color w:val="000000"/>
          <w:kern w:val="0"/>
          <w:sz w:val="32"/>
          <w:szCs w:val="32"/>
        </w:rPr>
        <w:t>.</w:t>
      </w:r>
      <w:r>
        <w:rPr>
          <w:rFonts w:ascii="仿宋_GB2312" w:eastAsia="仿宋_GB2312" w:hAnsi="宋体" w:cs="宋体" w:hint="eastAsia"/>
          <w:color w:val="000000"/>
          <w:kern w:val="0"/>
          <w:sz w:val="32"/>
          <w:szCs w:val="32"/>
        </w:rPr>
        <w:t>绩效目标设立依据</w:t>
      </w:r>
    </w:p>
    <w:p w:rsidR="003236E5" w:rsidRDefault="00E640BE">
      <w:pPr>
        <w:spacing w:line="600" w:lineRule="exact"/>
        <w:ind w:firstLineChars="200" w:firstLine="640"/>
        <w:rPr>
          <w:rFonts w:ascii="仿宋_GB2312" w:eastAsia="仿宋_GB2312"/>
          <w:sz w:val="32"/>
          <w:szCs w:val="32"/>
        </w:rPr>
      </w:pPr>
      <w:r>
        <w:rPr>
          <w:rFonts w:ascii="仿宋_GB2312" w:eastAsia="仿宋_GB2312" w:hint="eastAsia"/>
          <w:sz w:val="32"/>
          <w:szCs w:val="32"/>
        </w:rPr>
        <w:t>延庆区法院整体绩效目标的设立依据为单位职能职责和2021年度主要工作任务。总体绩效目标是深入学习贯彻落实党的十九大、十九届二中、三中、四中、五中全会精神、习近平总书记系列重要讲话精神、习近平法治思想及市委十</w:t>
      </w:r>
      <w:r>
        <w:rPr>
          <w:rFonts w:ascii="仿宋_GB2312" w:eastAsia="仿宋_GB2312" w:hint="eastAsia"/>
          <w:sz w:val="32"/>
          <w:szCs w:val="32"/>
        </w:rPr>
        <w:lastRenderedPageBreak/>
        <w:t>二届十五次、十六次全会、区委相关会议精神，坚持司法为民、公正司法的主线，坚定不移贯彻新发展理念，统筹抓好执法办案、服务大局、司法改革、队伍建设等各项工作，努力为区域高质量发展提供优质司法服务和保障。</w:t>
      </w:r>
    </w:p>
    <w:p w:rsidR="003236E5" w:rsidRDefault="00E640BE">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w:t>
      </w:r>
      <w:r>
        <w:rPr>
          <w:rFonts w:ascii="仿宋_GB2312" w:eastAsia="仿宋_GB2312" w:hAnsi="宋体" w:cs="宋体"/>
          <w:color w:val="000000"/>
          <w:kern w:val="0"/>
          <w:sz w:val="32"/>
          <w:szCs w:val="32"/>
        </w:rPr>
        <w:t>.</w:t>
      </w:r>
      <w:r>
        <w:rPr>
          <w:rFonts w:ascii="仿宋_GB2312" w:eastAsia="仿宋_GB2312" w:hAnsi="宋体" w:cs="宋体" w:hint="eastAsia"/>
          <w:color w:val="000000"/>
          <w:kern w:val="0"/>
          <w:sz w:val="32"/>
          <w:szCs w:val="32"/>
        </w:rPr>
        <w:t>目标与职责任务匹配情况</w:t>
      </w:r>
    </w:p>
    <w:p w:rsidR="003236E5" w:rsidRDefault="00E640BE">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int="eastAsia"/>
          <w:sz w:val="32"/>
          <w:szCs w:val="32"/>
        </w:rPr>
        <w:t>延庆区法院</w:t>
      </w:r>
      <w:r>
        <w:rPr>
          <w:rFonts w:ascii="仿宋_GB2312" w:eastAsia="仿宋_GB2312" w:hAnsi="宋体" w:cs="宋体" w:hint="eastAsia"/>
          <w:color w:val="000000"/>
          <w:kern w:val="0"/>
          <w:sz w:val="32"/>
          <w:szCs w:val="32"/>
        </w:rPr>
        <w:t>绩效目标与职责任务匹配情况从以下八个方面体现：</w:t>
      </w:r>
    </w:p>
    <w:p w:rsidR="003236E5" w:rsidRDefault="00E640BE">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（1）忠诚履行人民法院的政治责任</w:t>
      </w:r>
    </w:p>
    <w:p w:rsidR="003236E5" w:rsidRDefault="00E640BE">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牢固站稳人民法院首先是政治机关的立场，将旗帜鲜明讲政治摆在首位，深入学习贯彻习近平法治思想，增强“四个意识”，坚定“四个自信”，做到“两个维护”，确保把准方向、扛起责任。坚持党对法院工作的绝对领导，认真贯彻《中国共产党政法工作条例》，严格执行重大事项请示报告制度，将市委区委等各项决策部署不折不扣地落实到位。</w:t>
      </w:r>
    </w:p>
    <w:p w:rsidR="003236E5" w:rsidRDefault="00E640BE">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（2）为高质量绿色发展提供司法保障</w:t>
      </w:r>
    </w:p>
    <w:p w:rsidR="003236E5" w:rsidRDefault="00E640BE">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坚持生态优先、绿色发展，妥善审理环境资源案件，以最严密的司法手段守护好绿水青山。服务打好污染防治攻坚战，为延庆区实现高质量绿色发展提供更有力的司法保障。</w:t>
      </w:r>
    </w:p>
    <w:p w:rsidR="003236E5" w:rsidRDefault="00E640BE">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（3）精准服务保障区域经济高质量发展</w:t>
      </w:r>
    </w:p>
    <w:p w:rsidR="003236E5" w:rsidRDefault="00E640BE">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服务保障冬奥会筹办举办，市域社会治理现代化，法治建设年等重点工作推进。为市场主体提供线上线下融合、便捷的权利救济渠道和诉讼服务，积极营造市场化、法治化、国际化营商环境。深化司法公开，建设更加开放、动态、透</w:t>
      </w:r>
      <w:r>
        <w:rPr>
          <w:rFonts w:ascii="仿宋_GB2312" w:eastAsia="仿宋_GB2312" w:hAnsi="宋体" w:cs="宋体" w:hint="eastAsia"/>
          <w:color w:val="000000"/>
          <w:kern w:val="0"/>
          <w:sz w:val="32"/>
          <w:szCs w:val="32"/>
        </w:rPr>
        <w:lastRenderedPageBreak/>
        <w:t>明、便民的阳光司法机制。自觉把延庆法院各项工作放在延庆发展大局中谋划推进，找准服务保障大局的切入点、结合点、着力点，为“十四五”开好局。</w:t>
      </w:r>
    </w:p>
    <w:p w:rsidR="003236E5" w:rsidRDefault="00E640BE">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（4）突出抓好司法为民工作</w:t>
      </w:r>
    </w:p>
    <w:p w:rsidR="003236E5" w:rsidRDefault="00E640BE">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始终坚持以人民为中心的发展思想，筑牢民生司法保障防线，不断增进人民群众的获得感、幸福感、安全感。围绕抓好发展和安全两件大事，依法惩治各类刑事犯罪，巩固扫黑除恶专项斗争成果，推动扫黑除恶专项斗争常治长效。</w:t>
      </w:r>
    </w:p>
    <w:p w:rsidR="003236E5" w:rsidRDefault="00E640BE">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以司法手段促进解决群众关注的难点堵点痛点问题，紧紧围绕区中心工作，着力预防和化解各种风险，积极回应人民群众关切，加大执行工作力度，妥善审理涉民生案件，切实实施民法典并做好宣传工作，依法审理教育、就业、医疗、社会保障等民生领域案件。</w:t>
      </w:r>
    </w:p>
    <w:p w:rsidR="003236E5" w:rsidRDefault="00E640BE">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（5）推进乡村法治体系建设</w:t>
      </w:r>
    </w:p>
    <w:p w:rsidR="003236E5" w:rsidRDefault="00E640BE">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充分发挥司法职能，紧紧围绕“十四五”规划，扎实服务“六稳”“六保”、三大攻坚战，依法服务巩固拓展脱贫攻坚成果同乡村振兴有效衔接，推动健全自治、法治、德治相结合的乡村治理体系，助力推进美丽乡村建设。</w:t>
      </w:r>
    </w:p>
    <w:p w:rsidR="003236E5" w:rsidRDefault="00E640BE">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（6）持续加强审判规范化建设</w:t>
      </w:r>
    </w:p>
    <w:p w:rsidR="003236E5" w:rsidRDefault="00E640BE">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加强院庭长审判监督管理，对重大敏感案件实现全程动态监管。对发回改判、撤诉超审限、诉讼保全、虚假诉讼和合议庭不规范等案件开展专项评查，坚决纠正审判工作中的不严格、不规范、不公正、不文明等问题。</w:t>
      </w:r>
    </w:p>
    <w:p w:rsidR="003236E5" w:rsidRDefault="00E640BE">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lastRenderedPageBreak/>
        <w:t>加强行政争议实质性化解，服务“放管服”改革；深化一站式多元解纷和诉讼服务体系建设，提升诉讼服务水平，为人民群众提供质量更好、效率更高、成本更低的司法产品。</w:t>
      </w:r>
    </w:p>
    <w:p w:rsidR="003236E5" w:rsidRDefault="00E640BE">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（7）深入开展司法体制综合配套改革</w:t>
      </w:r>
    </w:p>
    <w:p w:rsidR="003236E5" w:rsidRDefault="00E640BE">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全面落实司法责任制，狠抓审判团队建设，有效破解审判团队管理困局。深化民事诉讼程序繁简分流改革试点，推动小额诉讼、简易程序和独任制程序应用尽用。深入推进司法体制综合配套改革，强化诉源治理、强化监督管理、提升案件质量，努力解决影响司法公正与效率的深层次问题；持续开展民事诉讼程序繁简分流改革试点工作，进一步提升司法效能。</w:t>
      </w:r>
    </w:p>
    <w:p w:rsidR="003236E5" w:rsidRDefault="00E640BE">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（8）坚持不懈狠抓队伍建设</w:t>
      </w:r>
    </w:p>
    <w:p w:rsidR="003236E5" w:rsidRDefault="00E640BE">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切实履行管党治党主体责任，不断强化各级党组织的政治属性和政治功能。围绕审判能力现代化目标要求，突出实效导向，创新教育培训模式，不断提高干警的法律政策运用能力、防控风险能力、群众工作能力、科技应用能力、舆论引导能力。</w:t>
      </w:r>
    </w:p>
    <w:p w:rsidR="003236E5" w:rsidRDefault="00E640BE">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深入开展政法队伍教育整顿，加强思想淬炼，健全从严管理监督体系，持续正风肃纪反腐，努力建设一支党和人民信得过、靠得住、能放心的法院队伍。</w:t>
      </w:r>
    </w:p>
    <w:p w:rsidR="003236E5" w:rsidRDefault="00E640BE">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3</w:t>
      </w:r>
      <w:r>
        <w:rPr>
          <w:rFonts w:ascii="仿宋_GB2312" w:eastAsia="仿宋_GB2312" w:hAnsi="宋体" w:cs="宋体"/>
          <w:color w:val="000000"/>
          <w:kern w:val="0"/>
          <w:sz w:val="32"/>
          <w:szCs w:val="32"/>
        </w:rPr>
        <w:t>.</w:t>
      </w:r>
      <w:r>
        <w:rPr>
          <w:rFonts w:ascii="仿宋_GB2312" w:eastAsia="仿宋_GB2312" w:hAnsi="宋体" w:cs="宋体" w:hint="eastAsia"/>
          <w:color w:val="000000"/>
          <w:kern w:val="0"/>
          <w:sz w:val="32"/>
          <w:szCs w:val="32"/>
        </w:rPr>
        <w:t>目标合理性</w:t>
      </w:r>
    </w:p>
    <w:p w:rsidR="003236E5" w:rsidRDefault="00E640BE">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延庆区法院部门整体绩效目标以习近平新时代中国特色社会主义思想为指导，学习贯彻好党的十九大和十九届二</w:t>
      </w:r>
      <w:r>
        <w:rPr>
          <w:rFonts w:ascii="仿宋_GB2312" w:eastAsia="仿宋_GB2312" w:hAnsi="宋体" w:cs="宋体" w:hint="eastAsia"/>
          <w:color w:val="000000"/>
          <w:kern w:val="0"/>
          <w:sz w:val="32"/>
          <w:szCs w:val="32"/>
        </w:rPr>
        <w:lastRenderedPageBreak/>
        <w:t>中、三中、四中、五中全会精神，紧密联系部门职能职责设置，与</w:t>
      </w:r>
      <w:r>
        <w:rPr>
          <w:rFonts w:ascii="仿宋_GB2312" w:eastAsia="仿宋_GB2312" w:hint="eastAsia"/>
          <w:sz w:val="32"/>
          <w:szCs w:val="32"/>
        </w:rPr>
        <w:t>2021年度工作任务匹配度较高，</w:t>
      </w:r>
      <w:r>
        <w:rPr>
          <w:rFonts w:ascii="仿宋_GB2312" w:eastAsia="仿宋_GB2312" w:hAnsi="宋体" w:cs="宋体" w:hint="eastAsia"/>
          <w:color w:val="000000"/>
          <w:kern w:val="0"/>
          <w:sz w:val="32"/>
          <w:szCs w:val="32"/>
        </w:rPr>
        <w:t>目标设置合理，与职责任务相匹配。</w:t>
      </w:r>
    </w:p>
    <w:p w:rsidR="003236E5" w:rsidRDefault="00E640BE">
      <w:pPr>
        <w:spacing w:line="600" w:lineRule="exact"/>
        <w:ind w:firstLineChars="200" w:firstLine="640"/>
        <w:rPr>
          <w:rFonts w:ascii="黑体" w:eastAsia="黑体" w:hAnsi="黑体" w:cs="宋体"/>
          <w:color w:val="000000"/>
          <w:kern w:val="0"/>
          <w:sz w:val="32"/>
          <w:szCs w:val="32"/>
        </w:rPr>
      </w:pPr>
      <w:r>
        <w:rPr>
          <w:rFonts w:ascii="黑体" w:eastAsia="黑体" w:hAnsi="黑体" w:cs="宋体" w:hint="eastAsia"/>
          <w:color w:val="000000"/>
          <w:kern w:val="0"/>
          <w:sz w:val="32"/>
          <w:szCs w:val="32"/>
        </w:rPr>
        <w:t>二</w:t>
      </w:r>
      <w:r>
        <w:rPr>
          <w:rFonts w:ascii="黑体" w:eastAsia="黑体" w:hAnsi="黑体" w:cs="宋体"/>
          <w:color w:val="000000"/>
          <w:kern w:val="0"/>
          <w:sz w:val="32"/>
          <w:szCs w:val="32"/>
        </w:rPr>
        <w:t>、</w:t>
      </w:r>
      <w:r>
        <w:rPr>
          <w:rFonts w:ascii="黑体" w:eastAsia="黑体" w:hAnsi="黑体" w:cs="宋体" w:hint="eastAsia"/>
          <w:color w:val="000000"/>
          <w:kern w:val="0"/>
          <w:sz w:val="32"/>
          <w:szCs w:val="32"/>
        </w:rPr>
        <w:t>当年</w:t>
      </w:r>
      <w:r>
        <w:rPr>
          <w:rFonts w:ascii="黑体" w:eastAsia="黑体" w:hAnsi="黑体" w:cs="宋体"/>
          <w:color w:val="000000"/>
          <w:kern w:val="0"/>
          <w:sz w:val="32"/>
          <w:szCs w:val="32"/>
        </w:rPr>
        <w:t>预算执行情况</w:t>
      </w:r>
    </w:p>
    <w:p w:rsidR="003236E5" w:rsidRDefault="00E640BE" w:rsidP="006E6A5C">
      <w:pPr>
        <w:spacing w:line="600" w:lineRule="exact"/>
        <w:ind w:left="5" w:firstLineChars="198" w:firstLine="634"/>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2021年</w:t>
      </w:r>
      <w:r>
        <w:rPr>
          <w:rFonts w:ascii="仿宋_GB2312" w:eastAsia="仿宋_GB2312" w:hAnsi="宋体" w:cs="宋体"/>
          <w:color w:val="000000"/>
          <w:kern w:val="0"/>
          <w:sz w:val="32"/>
          <w:szCs w:val="32"/>
        </w:rPr>
        <w:t>全年</w:t>
      </w:r>
      <w:r>
        <w:rPr>
          <w:rFonts w:ascii="仿宋_GB2312" w:eastAsia="仿宋_GB2312" w:hAnsi="宋体" w:cs="宋体" w:hint="eastAsia"/>
          <w:color w:val="000000"/>
          <w:kern w:val="0"/>
          <w:sz w:val="32"/>
          <w:szCs w:val="32"/>
        </w:rPr>
        <w:t>预算数12,448.1万元</w:t>
      </w:r>
      <w:r>
        <w:rPr>
          <w:rFonts w:ascii="仿宋_GB2312" w:eastAsia="仿宋_GB2312" w:hAnsi="宋体" w:cs="宋体"/>
          <w:color w:val="000000"/>
          <w:kern w:val="0"/>
          <w:sz w:val="32"/>
          <w:szCs w:val="32"/>
        </w:rPr>
        <w:t>，</w:t>
      </w:r>
      <w:r>
        <w:rPr>
          <w:rFonts w:ascii="仿宋_GB2312" w:eastAsia="仿宋_GB2312" w:hAnsi="宋体" w:cs="宋体" w:hint="eastAsia"/>
          <w:color w:val="000000"/>
          <w:kern w:val="0"/>
          <w:sz w:val="32"/>
          <w:szCs w:val="32"/>
        </w:rPr>
        <w:t>其中</w:t>
      </w:r>
      <w:r>
        <w:rPr>
          <w:rFonts w:ascii="仿宋_GB2312" w:eastAsia="仿宋_GB2312" w:hAnsi="宋体" w:cs="宋体"/>
          <w:color w:val="000000"/>
          <w:kern w:val="0"/>
          <w:sz w:val="32"/>
          <w:szCs w:val="32"/>
        </w:rPr>
        <w:t>，基本</w:t>
      </w:r>
      <w:r>
        <w:rPr>
          <w:rFonts w:ascii="仿宋_GB2312" w:eastAsia="仿宋_GB2312" w:hAnsi="宋体" w:cs="宋体" w:hint="eastAsia"/>
          <w:color w:val="000000"/>
          <w:kern w:val="0"/>
          <w:sz w:val="32"/>
          <w:szCs w:val="32"/>
        </w:rPr>
        <w:t>支出</w:t>
      </w:r>
      <w:r>
        <w:rPr>
          <w:rFonts w:ascii="仿宋_GB2312" w:eastAsia="仿宋_GB2312" w:hAnsi="宋体" w:cs="宋体"/>
          <w:color w:val="000000"/>
          <w:kern w:val="0"/>
          <w:sz w:val="32"/>
          <w:szCs w:val="32"/>
        </w:rPr>
        <w:t>预算数</w:t>
      </w:r>
      <w:r>
        <w:rPr>
          <w:rFonts w:ascii="仿宋_GB2312" w:eastAsia="仿宋_GB2312" w:hAnsi="宋体" w:cs="宋体" w:hint="eastAsia"/>
          <w:color w:val="000000"/>
          <w:kern w:val="0"/>
          <w:sz w:val="32"/>
          <w:szCs w:val="32"/>
        </w:rPr>
        <w:t>9,181.31</w:t>
      </w:r>
      <w:r>
        <w:rPr>
          <w:rFonts w:ascii="仿宋_GB2312" w:eastAsia="仿宋_GB2312" w:hAnsi="宋体" w:cs="宋体"/>
          <w:color w:val="000000"/>
          <w:kern w:val="0"/>
          <w:sz w:val="32"/>
          <w:szCs w:val="32"/>
        </w:rPr>
        <w:t>万元，</w:t>
      </w:r>
      <w:r>
        <w:rPr>
          <w:rFonts w:ascii="仿宋_GB2312" w:eastAsia="仿宋_GB2312" w:hAnsi="宋体" w:cs="宋体" w:hint="eastAsia"/>
          <w:color w:val="000000"/>
          <w:kern w:val="0"/>
          <w:sz w:val="32"/>
          <w:szCs w:val="32"/>
        </w:rPr>
        <w:t>项目支出预算数3,266.79</w:t>
      </w:r>
      <w:r>
        <w:rPr>
          <w:rFonts w:ascii="仿宋_GB2312" w:eastAsia="仿宋_GB2312" w:hAnsi="宋体" w:cs="宋体"/>
          <w:color w:val="000000"/>
          <w:kern w:val="0"/>
          <w:sz w:val="32"/>
          <w:szCs w:val="32"/>
        </w:rPr>
        <w:t>万元，其他支出</w:t>
      </w:r>
      <w:r>
        <w:rPr>
          <w:rFonts w:ascii="仿宋_GB2312" w:eastAsia="仿宋_GB2312" w:hAnsi="宋体" w:cs="宋体" w:hint="eastAsia"/>
          <w:color w:val="000000"/>
          <w:kern w:val="0"/>
          <w:sz w:val="32"/>
          <w:szCs w:val="32"/>
        </w:rPr>
        <w:t>预算数0</w:t>
      </w:r>
      <w:r>
        <w:rPr>
          <w:rFonts w:ascii="仿宋_GB2312" w:eastAsia="仿宋_GB2312" w:hAnsi="宋体" w:cs="宋体"/>
          <w:color w:val="000000"/>
          <w:kern w:val="0"/>
          <w:sz w:val="32"/>
          <w:szCs w:val="32"/>
        </w:rPr>
        <w:t>万元</w:t>
      </w:r>
      <w:r>
        <w:rPr>
          <w:rFonts w:ascii="仿宋_GB2312" w:eastAsia="仿宋_GB2312" w:hAnsi="宋体" w:cs="宋体" w:hint="eastAsia"/>
          <w:color w:val="000000"/>
          <w:kern w:val="0"/>
          <w:sz w:val="32"/>
          <w:szCs w:val="32"/>
        </w:rPr>
        <w:t>。</w:t>
      </w:r>
      <w:r>
        <w:rPr>
          <w:rFonts w:ascii="仿宋_GB2312" w:eastAsia="仿宋_GB2312" w:hAnsi="宋体" w:cs="宋体"/>
          <w:color w:val="000000"/>
          <w:kern w:val="0"/>
          <w:sz w:val="32"/>
          <w:szCs w:val="32"/>
        </w:rPr>
        <w:t>资金总体</w:t>
      </w:r>
      <w:r>
        <w:rPr>
          <w:rFonts w:ascii="仿宋_GB2312" w:eastAsia="仿宋_GB2312" w:hAnsi="宋体" w:cs="宋体" w:hint="eastAsia"/>
          <w:color w:val="000000"/>
          <w:kern w:val="0"/>
          <w:sz w:val="32"/>
          <w:szCs w:val="32"/>
        </w:rPr>
        <w:t>支出11,916.13</w:t>
      </w:r>
      <w:r>
        <w:rPr>
          <w:rFonts w:ascii="仿宋_GB2312" w:eastAsia="仿宋_GB2312" w:hAnsi="宋体" w:cs="宋体"/>
          <w:color w:val="000000"/>
          <w:kern w:val="0"/>
          <w:sz w:val="32"/>
          <w:szCs w:val="32"/>
        </w:rPr>
        <w:t>万元，其中，基本支出</w:t>
      </w:r>
      <w:r>
        <w:rPr>
          <w:rFonts w:ascii="仿宋_GB2312" w:eastAsia="仿宋_GB2312" w:hAnsi="宋体" w:cs="宋体" w:hint="eastAsia"/>
          <w:color w:val="000000"/>
          <w:kern w:val="0"/>
          <w:sz w:val="32"/>
          <w:szCs w:val="32"/>
        </w:rPr>
        <w:t>8,942.8</w:t>
      </w:r>
      <w:r>
        <w:rPr>
          <w:rFonts w:ascii="仿宋_GB2312" w:eastAsia="仿宋_GB2312" w:hAnsi="宋体" w:cs="宋体"/>
          <w:color w:val="000000"/>
          <w:kern w:val="0"/>
          <w:sz w:val="32"/>
          <w:szCs w:val="32"/>
        </w:rPr>
        <w:t>万元，项目</w:t>
      </w:r>
      <w:r>
        <w:rPr>
          <w:rFonts w:ascii="仿宋_GB2312" w:eastAsia="仿宋_GB2312" w:hAnsi="宋体" w:cs="宋体" w:hint="eastAsia"/>
          <w:color w:val="000000"/>
          <w:kern w:val="0"/>
          <w:sz w:val="32"/>
          <w:szCs w:val="32"/>
        </w:rPr>
        <w:t>支出2,973.33</w:t>
      </w:r>
      <w:r>
        <w:rPr>
          <w:rFonts w:ascii="仿宋_GB2312" w:eastAsia="仿宋_GB2312" w:hAnsi="宋体" w:cs="宋体"/>
          <w:color w:val="000000"/>
          <w:kern w:val="0"/>
          <w:sz w:val="32"/>
          <w:szCs w:val="32"/>
        </w:rPr>
        <w:t>万元，其他支出</w:t>
      </w:r>
      <w:r>
        <w:rPr>
          <w:rFonts w:ascii="仿宋_GB2312" w:eastAsia="仿宋_GB2312" w:hAnsi="宋体" w:cs="宋体" w:hint="eastAsia"/>
          <w:color w:val="000000"/>
          <w:kern w:val="0"/>
          <w:sz w:val="32"/>
          <w:szCs w:val="32"/>
        </w:rPr>
        <w:t>0</w:t>
      </w:r>
      <w:r>
        <w:rPr>
          <w:rFonts w:ascii="仿宋_GB2312" w:eastAsia="仿宋_GB2312" w:hAnsi="宋体" w:cs="宋体"/>
          <w:color w:val="000000"/>
          <w:kern w:val="0"/>
          <w:sz w:val="32"/>
          <w:szCs w:val="32"/>
        </w:rPr>
        <w:t>万元。</w:t>
      </w:r>
      <w:r>
        <w:rPr>
          <w:rFonts w:ascii="仿宋_GB2312" w:eastAsia="仿宋_GB2312" w:hAnsi="宋体" w:cs="宋体" w:hint="eastAsia"/>
          <w:color w:val="000000"/>
          <w:kern w:val="0"/>
          <w:sz w:val="32"/>
          <w:szCs w:val="32"/>
        </w:rPr>
        <w:t>预算</w:t>
      </w:r>
      <w:r>
        <w:rPr>
          <w:rFonts w:ascii="仿宋_GB2312" w:eastAsia="仿宋_GB2312" w:hAnsi="宋体" w:cs="宋体"/>
          <w:color w:val="000000"/>
          <w:kern w:val="0"/>
          <w:sz w:val="32"/>
          <w:szCs w:val="32"/>
        </w:rPr>
        <w:t>执行率为</w:t>
      </w:r>
      <w:r>
        <w:rPr>
          <w:rFonts w:ascii="仿宋_GB2312" w:eastAsia="仿宋_GB2312" w:hAnsi="宋体" w:cs="宋体" w:hint="eastAsia"/>
          <w:color w:val="000000"/>
          <w:kern w:val="0"/>
          <w:sz w:val="32"/>
          <w:szCs w:val="32"/>
        </w:rPr>
        <w:t>95.73%。该项指标满分20分，依据评分规则得满分20分。</w:t>
      </w:r>
    </w:p>
    <w:p w:rsidR="003236E5" w:rsidRDefault="00E640BE">
      <w:pPr>
        <w:spacing w:line="600" w:lineRule="exact"/>
        <w:ind w:firstLineChars="200" w:firstLine="640"/>
        <w:rPr>
          <w:rFonts w:ascii="黑体" w:eastAsia="黑体" w:hAnsi="黑体" w:cs="宋体"/>
          <w:color w:val="000000"/>
          <w:kern w:val="0"/>
          <w:sz w:val="32"/>
          <w:szCs w:val="32"/>
        </w:rPr>
      </w:pPr>
      <w:r>
        <w:rPr>
          <w:rFonts w:ascii="黑体" w:eastAsia="黑体" w:hAnsi="黑体" w:cs="宋体" w:hint="eastAsia"/>
          <w:color w:val="000000"/>
          <w:kern w:val="0"/>
          <w:sz w:val="32"/>
          <w:szCs w:val="32"/>
        </w:rPr>
        <w:t>三</w:t>
      </w:r>
      <w:r>
        <w:rPr>
          <w:rFonts w:ascii="黑体" w:eastAsia="黑体" w:hAnsi="黑体" w:cs="宋体"/>
          <w:color w:val="000000"/>
          <w:kern w:val="0"/>
          <w:sz w:val="32"/>
          <w:szCs w:val="32"/>
        </w:rPr>
        <w:t>、整体绩效目标实现情况</w:t>
      </w:r>
    </w:p>
    <w:p w:rsidR="003236E5" w:rsidRDefault="00E640BE">
      <w:pPr>
        <w:spacing w:line="600" w:lineRule="exact"/>
        <w:ind w:firstLineChars="200" w:firstLine="640"/>
        <w:rPr>
          <w:rFonts w:ascii="楷体_GB2312" w:eastAsia="楷体_GB2312"/>
          <w:sz w:val="32"/>
          <w:szCs w:val="32"/>
        </w:rPr>
      </w:pPr>
      <w:r>
        <w:rPr>
          <w:rFonts w:ascii="楷体_GB2312" w:eastAsia="楷体_GB2312" w:hint="eastAsia"/>
          <w:sz w:val="32"/>
          <w:szCs w:val="32"/>
        </w:rPr>
        <w:t>（一）产出完成情况分析</w:t>
      </w:r>
    </w:p>
    <w:p w:rsidR="003236E5" w:rsidRDefault="00E640BE">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1.产出数量</w:t>
      </w:r>
    </w:p>
    <w:p w:rsidR="003236E5" w:rsidRDefault="00E640BE">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2021年数量指标为结案数，指标值17,000件，完成值为17,458件,超额完成。该项指标满分7分，依据评分规则得满分7分。</w:t>
      </w:r>
    </w:p>
    <w:p w:rsidR="003236E5" w:rsidRDefault="00E640BE">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2.产出</w:t>
      </w:r>
      <w:r>
        <w:rPr>
          <w:rFonts w:ascii="仿宋_GB2312" w:eastAsia="仿宋_GB2312" w:hAnsi="宋体" w:cs="宋体"/>
          <w:color w:val="000000"/>
          <w:kern w:val="0"/>
          <w:sz w:val="32"/>
          <w:szCs w:val="32"/>
        </w:rPr>
        <w:t>质量</w:t>
      </w:r>
    </w:p>
    <w:p w:rsidR="003236E5" w:rsidRDefault="00E640BE">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2021年质量指标为一审息诉服判率，指标值90%，完成值为90.48%。超额完成，达到良好水平。该项指标满分8分，依据评分规则得满分8分。</w:t>
      </w:r>
    </w:p>
    <w:p w:rsidR="003236E5" w:rsidRDefault="00E640BE">
      <w:pPr>
        <w:spacing w:line="600" w:lineRule="exact"/>
        <w:ind w:left="5" w:firstLineChars="181" w:firstLine="579"/>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3.产出</w:t>
      </w:r>
      <w:r>
        <w:rPr>
          <w:rFonts w:ascii="仿宋_GB2312" w:eastAsia="仿宋_GB2312" w:hAnsi="宋体" w:cs="宋体"/>
          <w:color w:val="000000"/>
          <w:kern w:val="0"/>
          <w:sz w:val="32"/>
          <w:szCs w:val="32"/>
        </w:rPr>
        <w:t>进度</w:t>
      </w:r>
    </w:p>
    <w:p w:rsidR="003236E5" w:rsidRDefault="00E640BE">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2021年进度指标为结收比，指标值100%，完成值为90.05%。该项指标满分8分，依据评分规则得分6分。</w:t>
      </w:r>
    </w:p>
    <w:p w:rsidR="003236E5" w:rsidRDefault="00E640BE">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color w:val="000000"/>
          <w:kern w:val="0"/>
          <w:sz w:val="32"/>
          <w:szCs w:val="32"/>
        </w:rPr>
        <w:lastRenderedPageBreak/>
        <w:t>4.</w:t>
      </w:r>
      <w:r>
        <w:rPr>
          <w:rFonts w:ascii="仿宋_GB2312" w:eastAsia="仿宋_GB2312" w:hAnsi="宋体" w:cs="宋体" w:hint="eastAsia"/>
          <w:color w:val="000000"/>
          <w:kern w:val="0"/>
          <w:sz w:val="32"/>
          <w:szCs w:val="32"/>
        </w:rPr>
        <w:t>产出</w:t>
      </w:r>
      <w:r>
        <w:rPr>
          <w:rFonts w:ascii="仿宋_GB2312" w:eastAsia="仿宋_GB2312" w:hAnsi="宋体" w:cs="宋体"/>
          <w:color w:val="000000"/>
          <w:kern w:val="0"/>
          <w:sz w:val="32"/>
          <w:szCs w:val="32"/>
        </w:rPr>
        <w:t>成本</w:t>
      </w:r>
    </w:p>
    <w:p w:rsidR="003236E5" w:rsidRDefault="00E640BE">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2021年成本指标为案均成本，指标值0.7万元，完成值为0.68万元。达到年初设定目标。该项指标满分7分，依据评分规则得满分7分。</w:t>
      </w:r>
    </w:p>
    <w:p w:rsidR="003236E5" w:rsidRDefault="00E640BE">
      <w:pPr>
        <w:spacing w:line="600" w:lineRule="exact"/>
        <w:ind w:firstLineChars="200" w:firstLine="640"/>
        <w:rPr>
          <w:rFonts w:ascii="楷体_GB2312" w:eastAsia="楷体_GB2312"/>
          <w:sz w:val="32"/>
          <w:szCs w:val="32"/>
        </w:rPr>
      </w:pPr>
      <w:r>
        <w:rPr>
          <w:rFonts w:ascii="楷体_GB2312" w:eastAsia="楷体_GB2312" w:hint="eastAsia"/>
          <w:sz w:val="32"/>
          <w:szCs w:val="32"/>
        </w:rPr>
        <w:t>（二）效果</w:t>
      </w:r>
      <w:r>
        <w:rPr>
          <w:rFonts w:ascii="楷体_GB2312" w:eastAsia="楷体_GB2312"/>
          <w:sz w:val="32"/>
          <w:szCs w:val="32"/>
        </w:rPr>
        <w:t>实现情况分析</w:t>
      </w:r>
    </w:p>
    <w:p w:rsidR="003236E5" w:rsidRDefault="00E640BE">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1.经济</w:t>
      </w:r>
      <w:r>
        <w:rPr>
          <w:rFonts w:ascii="仿宋_GB2312" w:eastAsia="仿宋_GB2312" w:hAnsi="宋体" w:cs="宋体"/>
          <w:color w:val="000000"/>
          <w:kern w:val="0"/>
          <w:sz w:val="32"/>
          <w:szCs w:val="32"/>
        </w:rPr>
        <w:t>效益</w:t>
      </w:r>
    </w:p>
    <w:p w:rsidR="003236E5" w:rsidRDefault="00E640BE">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2021年经济效益指标为保证首都经济运转和维护营商环境情况，指标值围绕优化营商环境重点工作，举办服务优化营商环境工作专项培训会、征求意见会、推进会，优化窗口服务环境，积极营造法治化、便利化营商环境。主动对接辖区内重点民营企业，依法保障企业合法经营，积极营造法治化、便利化营商环境。该项指标满分8分，依据评分规则得满分8分。</w:t>
      </w:r>
    </w:p>
    <w:p w:rsidR="003236E5" w:rsidRDefault="00E640BE">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2.社会效益</w:t>
      </w:r>
    </w:p>
    <w:p w:rsidR="003236E5" w:rsidRDefault="00E640BE">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2021年社会效益指标为脱贫攻坚及营商环境结案情况，指标值为11,000件，完成值为12,003件。社会效益指标超额完成，取得良好社会效益。该项指标满分7分，依据评分规则得满分7分。</w:t>
      </w:r>
    </w:p>
    <w:p w:rsidR="003236E5" w:rsidRDefault="00E640BE">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3.环境效益</w:t>
      </w:r>
    </w:p>
    <w:p w:rsidR="003236E5" w:rsidRDefault="00E640BE">
      <w:pPr>
        <w:spacing w:line="600" w:lineRule="exact"/>
        <w:ind w:left="5" w:firstLineChars="181" w:firstLine="579"/>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2021年环境效益指标为环保案件结案数，指标值为5件，完成值为6件。超额完成生态效益指标，切实贯彻新发展理念，服务生态文明建设，积极服务保障高质量发展。该项指标满分7分，依据评分规则得满分7分。</w:t>
      </w:r>
    </w:p>
    <w:p w:rsidR="003236E5" w:rsidRDefault="00E640BE">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lastRenderedPageBreak/>
        <w:t>4.服务对象</w:t>
      </w:r>
      <w:r>
        <w:rPr>
          <w:rFonts w:ascii="仿宋_GB2312" w:eastAsia="仿宋_GB2312" w:hAnsi="宋体" w:cs="宋体"/>
          <w:color w:val="000000"/>
          <w:kern w:val="0"/>
          <w:sz w:val="32"/>
          <w:szCs w:val="32"/>
        </w:rPr>
        <w:t>满意度</w:t>
      </w:r>
    </w:p>
    <w:p w:rsidR="003236E5" w:rsidRDefault="00E640BE">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2021年服务对象满意度为同级人代会通过率，指标值为100%，完成值100%。延庆区法院全面加强人民法庭建设，加大巡回审判、上门调解力度，让老百姓享受送上门的司法服务。该项指标满分8分，依据评分规则得满分8分。</w:t>
      </w:r>
    </w:p>
    <w:p w:rsidR="003236E5" w:rsidRDefault="00E640BE" w:rsidP="006E6A5C">
      <w:pPr>
        <w:spacing w:line="600" w:lineRule="exact"/>
        <w:ind w:left="5" w:firstLineChars="198" w:firstLine="634"/>
        <w:rPr>
          <w:rFonts w:ascii="黑体" w:eastAsia="黑体" w:hAnsi="黑体" w:cs="宋体"/>
          <w:color w:val="000000"/>
          <w:kern w:val="0"/>
          <w:sz w:val="32"/>
          <w:szCs w:val="32"/>
        </w:rPr>
      </w:pPr>
      <w:r>
        <w:rPr>
          <w:rFonts w:ascii="黑体" w:eastAsia="黑体" w:hAnsi="黑体" w:cs="宋体" w:hint="eastAsia"/>
          <w:color w:val="000000"/>
          <w:kern w:val="0"/>
          <w:sz w:val="32"/>
          <w:szCs w:val="32"/>
        </w:rPr>
        <w:t>四</w:t>
      </w:r>
      <w:r>
        <w:rPr>
          <w:rFonts w:ascii="黑体" w:eastAsia="黑体" w:hAnsi="黑体" w:cs="宋体"/>
          <w:color w:val="000000"/>
          <w:kern w:val="0"/>
          <w:sz w:val="32"/>
          <w:szCs w:val="32"/>
        </w:rPr>
        <w:t>、预算管理</w:t>
      </w:r>
      <w:r>
        <w:rPr>
          <w:rFonts w:ascii="黑体" w:eastAsia="黑体" w:hAnsi="黑体" w:cs="宋体" w:hint="eastAsia"/>
          <w:color w:val="000000"/>
          <w:kern w:val="0"/>
          <w:sz w:val="32"/>
          <w:szCs w:val="32"/>
        </w:rPr>
        <w:t>情况分</w:t>
      </w:r>
      <w:r>
        <w:rPr>
          <w:rFonts w:ascii="黑体" w:eastAsia="黑体" w:hAnsi="黑体" w:cs="宋体"/>
          <w:color w:val="000000"/>
          <w:kern w:val="0"/>
          <w:sz w:val="32"/>
          <w:szCs w:val="32"/>
        </w:rPr>
        <w:t>析</w:t>
      </w:r>
    </w:p>
    <w:p w:rsidR="003236E5" w:rsidRDefault="00E640BE">
      <w:pPr>
        <w:spacing w:line="600" w:lineRule="exact"/>
        <w:ind w:firstLineChars="200" w:firstLine="640"/>
        <w:rPr>
          <w:rFonts w:ascii="楷体_GB2312" w:eastAsia="楷体_GB2312"/>
          <w:sz w:val="32"/>
          <w:szCs w:val="32"/>
        </w:rPr>
      </w:pPr>
      <w:r>
        <w:rPr>
          <w:rFonts w:ascii="楷体_GB2312" w:eastAsia="楷体_GB2312" w:hint="eastAsia"/>
          <w:sz w:val="32"/>
          <w:szCs w:val="32"/>
        </w:rPr>
        <w:t>（一）财务管理</w:t>
      </w:r>
    </w:p>
    <w:p w:rsidR="003236E5" w:rsidRDefault="00E640BE" w:rsidP="006E6A5C">
      <w:pPr>
        <w:spacing w:line="600" w:lineRule="exact"/>
        <w:ind w:left="5" w:firstLineChars="198" w:firstLine="634"/>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1.财务</w:t>
      </w:r>
      <w:r>
        <w:rPr>
          <w:rFonts w:ascii="仿宋_GB2312" w:eastAsia="仿宋_GB2312" w:hAnsi="宋体" w:cs="宋体"/>
          <w:color w:val="000000"/>
          <w:kern w:val="0"/>
          <w:sz w:val="32"/>
          <w:szCs w:val="32"/>
        </w:rPr>
        <w:t>管理制度健全性</w:t>
      </w:r>
    </w:p>
    <w:p w:rsidR="003236E5" w:rsidRDefault="00E640BE" w:rsidP="006E6A5C">
      <w:pPr>
        <w:spacing w:line="600" w:lineRule="exact"/>
        <w:ind w:left="5" w:firstLineChars="198" w:firstLine="634"/>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延庆区法院制定了较为完备的财务管理制度，如预算资金管理办法、资产管理办法等，财务管理制度基本完整、合规。但目前尚未制定相关绩效跟踪管理办法。该项指标满分1分，依据评分规则得分0.5分。</w:t>
      </w:r>
    </w:p>
    <w:p w:rsidR="003236E5" w:rsidRDefault="00E640BE">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2.资金使用合规性</w:t>
      </w:r>
      <w:r>
        <w:rPr>
          <w:rFonts w:ascii="仿宋_GB2312" w:eastAsia="仿宋_GB2312" w:hAnsi="宋体" w:cs="宋体"/>
          <w:color w:val="000000"/>
          <w:kern w:val="0"/>
          <w:sz w:val="32"/>
          <w:szCs w:val="32"/>
        </w:rPr>
        <w:t>和安全性</w:t>
      </w:r>
    </w:p>
    <w:p w:rsidR="003236E5" w:rsidRDefault="00E640BE">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延庆区法院严格按照国家财经法规和财务管理制度规定以及有关专项资金管理办法的规定管理使用财政资金，资金的拨付有完整的审批程序和手续；项目的重大开支均经过评估论证；按照部门预算批复的用途使用预算资金，不存在截留、挤占、挪用情况；需要履行政府采购程序的支出严格执行政府采购的程序和流程；资金支付符合公务卡结算相关制度和规定。该项指标满分2分，依据评分规则得满分2分。</w:t>
      </w:r>
    </w:p>
    <w:p w:rsidR="003236E5" w:rsidRDefault="00E640BE">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color w:val="000000"/>
          <w:kern w:val="0"/>
          <w:sz w:val="32"/>
          <w:szCs w:val="32"/>
        </w:rPr>
        <w:t>3.</w:t>
      </w:r>
      <w:r>
        <w:rPr>
          <w:rFonts w:ascii="仿宋_GB2312" w:eastAsia="仿宋_GB2312" w:hAnsi="宋体" w:cs="宋体" w:hint="eastAsia"/>
          <w:color w:val="000000"/>
          <w:kern w:val="0"/>
          <w:sz w:val="32"/>
          <w:szCs w:val="32"/>
        </w:rPr>
        <w:t>会计</w:t>
      </w:r>
      <w:r>
        <w:rPr>
          <w:rFonts w:ascii="仿宋_GB2312" w:eastAsia="仿宋_GB2312" w:hAnsi="宋体" w:cs="宋体"/>
          <w:color w:val="000000"/>
          <w:kern w:val="0"/>
          <w:sz w:val="32"/>
          <w:szCs w:val="32"/>
        </w:rPr>
        <w:t>基础信息完善性</w:t>
      </w:r>
    </w:p>
    <w:p w:rsidR="003236E5" w:rsidRDefault="00E640BE" w:rsidP="006E6A5C">
      <w:pPr>
        <w:spacing w:line="600" w:lineRule="exact"/>
        <w:ind w:left="5" w:firstLineChars="198" w:firstLine="634"/>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延庆区法院基础数据信息和会计信息资料真实、完整、准确。该项指标满分1分，依据评分规则得满分1分。</w:t>
      </w:r>
    </w:p>
    <w:p w:rsidR="003236E5" w:rsidRDefault="00E640BE">
      <w:pPr>
        <w:spacing w:line="600" w:lineRule="exact"/>
        <w:ind w:firstLineChars="200" w:firstLine="640"/>
        <w:rPr>
          <w:rFonts w:ascii="楷体_GB2312" w:eastAsia="楷体_GB2312"/>
          <w:sz w:val="32"/>
          <w:szCs w:val="32"/>
        </w:rPr>
      </w:pPr>
      <w:r>
        <w:rPr>
          <w:rFonts w:ascii="楷体_GB2312" w:eastAsia="楷体_GB2312" w:hint="eastAsia"/>
          <w:sz w:val="32"/>
          <w:szCs w:val="32"/>
        </w:rPr>
        <w:lastRenderedPageBreak/>
        <w:t>（二）资产管理</w:t>
      </w:r>
    </w:p>
    <w:p w:rsidR="003236E5" w:rsidRDefault="00E640BE">
      <w:pPr>
        <w:widowControl/>
        <w:ind w:firstLineChars="200" w:firstLine="640"/>
        <w:rPr>
          <w:rFonts w:ascii="仿宋_GB2312" w:eastAsia="仿宋_GB2312"/>
          <w:sz w:val="32"/>
          <w:szCs w:val="32"/>
        </w:rPr>
      </w:pPr>
      <w:r>
        <w:rPr>
          <w:rFonts w:ascii="仿宋_GB2312" w:eastAsia="仿宋_GB2312" w:hAnsi="宋体" w:cs="宋体" w:hint="eastAsia"/>
          <w:color w:val="000000"/>
          <w:kern w:val="0"/>
          <w:sz w:val="32"/>
          <w:szCs w:val="32"/>
        </w:rPr>
        <w:t>延庆区法院的资产安全完整，资产购置和资产处理基本规范，不存在不按要求进行报批或资产不公开处置行为。资产使用规范，不存在未经批准擅自出租、出借资产行为。资产管理制度基本得到良好执行。但存在个别资产配置数量超标的情况。该项指标满分4分，依据评分规则得分2.4分。</w:t>
      </w:r>
    </w:p>
    <w:p w:rsidR="003236E5" w:rsidRDefault="00E640BE">
      <w:pPr>
        <w:spacing w:line="600" w:lineRule="exact"/>
        <w:ind w:firstLineChars="200" w:firstLine="640"/>
        <w:rPr>
          <w:rFonts w:ascii="楷体_GB2312" w:eastAsia="楷体_GB2312"/>
          <w:sz w:val="32"/>
          <w:szCs w:val="32"/>
        </w:rPr>
      </w:pPr>
      <w:r>
        <w:rPr>
          <w:rFonts w:ascii="楷体_GB2312" w:eastAsia="楷体_GB2312" w:hint="eastAsia"/>
          <w:sz w:val="32"/>
          <w:szCs w:val="32"/>
        </w:rPr>
        <w:t>（三）绩效</w:t>
      </w:r>
      <w:r>
        <w:rPr>
          <w:rFonts w:ascii="楷体_GB2312" w:eastAsia="楷体_GB2312"/>
          <w:sz w:val="32"/>
          <w:szCs w:val="32"/>
        </w:rPr>
        <w:t>管理</w:t>
      </w:r>
    </w:p>
    <w:p w:rsidR="003236E5" w:rsidRDefault="00E640BE">
      <w:pPr>
        <w:widowControl/>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延庆区法院定期对绩效信息进行汇总分析整理，但对绩效目标偏离情况未及时矫正。对绩效目标执行信息进行汇总分析整理不够及时。该项指标满分4分，依据评分规则得分2分。</w:t>
      </w:r>
    </w:p>
    <w:p w:rsidR="003236E5" w:rsidRDefault="00E640BE">
      <w:pPr>
        <w:spacing w:line="600" w:lineRule="exact"/>
        <w:ind w:firstLineChars="200" w:firstLine="640"/>
        <w:rPr>
          <w:rFonts w:ascii="楷体_GB2312" w:eastAsia="楷体_GB2312"/>
          <w:sz w:val="32"/>
          <w:szCs w:val="32"/>
        </w:rPr>
      </w:pPr>
      <w:r>
        <w:rPr>
          <w:rFonts w:ascii="楷体_GB2312" w:eastAsia="楷体_GB2312" w:hint="eastAsia"/>
          <w:sz w:val="32"/>
          <w:szCs w:val="32"/>
        </w:rPr>
        <w:t>（四）结转结余率</w:t>
      </w:r>
    </w:p>
    <w:p w:rsidR="003236E5" w:rsidRDefault="00E640BE">
      <w:pPr>
        <w:spacing w:line="600" w:lineRule="exact"/>
        <w:ind w:firstLineChars="200" w:firstLine="640"/>
        <w:rPr>
          <w:rFonts w:ascii="仿宋_GB2312" w:eastAsia="仿宋_GB2312"/>
          <w:sz w:val="32"/>
          <w:szCs w:val="32"/>
        </w:rPr>
      </w:pPr>
      <w:r>
        <w:rPr>
          <w:rFonts w:ascii="仿宋_GB2312" w:eastAsia="仿宋_GB2312" w:hAnsi="宋体" w:cs="宋体" w:hint="eastAsia"/>
          <w:color w:val="000000"/>
          <w:kern w:val="0"/>
          <w:sz w:val="32"/>
          <w:szCs w:val="32"/>
        </w:rPr>
        <w:t>延庆区法院2021年度结转结余率4.27%，低于2020年的结转结余率10.1%，该项指标满分4分，依据评分规则得满分4分。</w:t>
      </w:r>
    </w:p>
    <w:p w:rsidR="003236E5" w:rsidRDefault="00E640BE" w:rsidP="006E6A5C">
      <w:pPr>
        <w:spacing w:line="600" w:lineRule="exact"/>
        <w:ind w:left="5" w:firstLineChars="198" w:firstLine="634"/>
        <w:rPr>
          <w:rFonts w:ascii="楷体_GB2312" w:eastAsia="楷体_GB2312"/>
          <w:sz w:val="32"/>
          <w:szCs w:val="32"/>
        </w:rPr>
      </w:pPr>
      <w:r>
        <w:rPr>
          <w:rFonts w:ascii="楷体_GB2312" w:eastAsia="楷体_GB2312" w:hint="eastAsia"/>
          <w:sz w:val="32"/>
          <w:szCs w:val="32"/>
        </w:rPr>
        <w:t>（五）部门</w:t>
      </w:r>
      <w:r>
        <w:rPr>
          <w:rFonts w:ascii="楷体_GB2312" w:eastAsia="楷体_GB2312"/>
          <w:sz w:val="32"/>
          <w:szCs w:val="32"/>
        </w:rPr>
        <w:t>预决算差异率</w:t>
      </w:r>
    </w:p>
    <w:p w:rsidR="003236E5" w:rsidRDefault="00E640BE" w:rsidP="006E6A5C">
      <w:pPr>
        <w:spacing w:line="600" w:lineRule="exact"/>
        <w:ind w:left="5" w:firstLineChars="198" w:firstLine="634"/>
        <w:rPr>
          <w:rFonts w:ascii="仿宋_GB2312" w:eastAsia="仿宋_GB2312"/>
          <w:sz w:val="32"/>
          <w:szCs w:val="32"/>
        </w:rPr>
      </w:pPr>
      <w:r>
        <w:rPr>
          <w:rFonts w:ascii="仿宋_GB2312" w:eastAsia="仿宋_GB2312" w:hAnsi="宋体" w:cs="宋体" w:hint="eastAsia"/>
          <w:color w:val="000000"/>
          <w:kern w:val="0"/>
          <w:sz w:val="32"/>
          <w:szCs w:val="32"/>
        </w:rPr>
        <w:t>延庆区法院2021年预决算差异率为1.98%，低于市级平均差异率（28.3%）。该项指标满分4分，依据评分规则得满分4分。</w:t>
      </w:r>
    </w:p>
    <w:p w:rsidR="003236E5" w:rsidRDefault="00E640BE">
      <w:pPr>
        <w:spacing w:line="600" w:lineRule="exact"/>
        <w:ind w:left="5" w:firstLineChars="181" w:firstLine="579"/>
        <w:rPr>
          <w:rFonts w:ascii="黑体" w:eastAsia="黑体" w:hAnsi="黑体"/>
          <w:sz w:val="32"/>
          <w:szCs w:val="32"/>
        </w:rPr>
      </w:pPr>
      <w:r>
        <w:rPr>
          <w:rFonts w:ascii="黑体" w:eastAsia="黑体" w:hAnsi="黑体" w:hint="eastAsia"/>
          <w:sz w:val="32"/>
          <w:szCs w:val="32"/>
        </w:rPr>
        <w:t>五、总体</w:t>
      </w:r>
      <w:r>
        <w:rPr>
          <w:rFonts w:ascii="黑体" w:eastAsia="黑体" w:hAnsi="黑体"/>
          <w:sz w:val="32"/>
          <w:szCs w:val="32"/>
        </w:rPr>
        <w:t>评价结论</w:t>
      </w:r>
    </w:p>
    <w:p w:rsidR="003236E5" w:rsidRDefault="00E640BE">
      <w:pPr>
        <w:spacing w:line="600" w:lineRule="exact"/>
        <w:ind w:left="5" w:firstLineChars="181" w:firstLine="579"/>
        <w:rPr>
          <w:rFonts w:ascii="楷体_GB2312" w:eastAsia="楷体_GB2312"/>
          <w:sz w:val="32"/>
          <w:szCs w:val="32"/>
        </w:rPr>
      </w:pPr>
      <w:r>
        <w:rPr>
          <w:rFonts w:ascii="楷体_GB2312" w:eastAsia="楷体_GB2312" w:hint="eastAsia"/>
          <w:sz w:val="32"/>
          <w:szCs w:val="32"/>
        </w:rPr>
        <w:t>（一）评价</w:t>
      </w:r>
      <w:r>
        <w:rPr>
          <w:rFonts w:ascii="楷体_GB2312" w:eastAsia="楷体_GB2312"/>
          <w:sz w:val="32"/>
          <w:szCs w:val="32"/>
        </w:rPr>
        <w:t>得分</w:t>
      </w:r>
      <w:r>
        <w:rPr>
          <w:rFonts w:ascii="楷体_GB2312" w:eastAsia="楷体_GB2312" w:hint="eastAsia"/>
          <w:sz w:val="32"/>
          <w:szCs w:val="32"/>
        </w:rPr>
        <w:t>情况</w:t>
      </w:r>
    </w:p>
    <w:p w:rsidR="003236E5" w:rsidRPr="00810104" w:rsidRDefault="00E640BE" w:rsidP="00810104">
      <w:pPr>
        <w:spacing w:line="600" w:lineRule="exact"/>
        <w:ind w:firstLineChars="200" w:firstLine="640"/>
        <w:rPr>
          <w:rFonts w:ascii="仿宋_GB2312" w:eastAsia="仿宋_GB2312"/>
          <w:sz w:val="32"/>
          <w:szCs w:val="32"/>
        </w:rPr>
      </w:pPr>
      <w:r w:rsidRPr="00810104">
        <w:rPr>
          <w:rFonts w:ascii="仿宋_GB2312" w:eastAsia="仿宋_GB2312" w:hint="eastAsia"/>
          <w:sz w:val="32"/>
          <w:szCs w:val="32"/>
        </w:rPr>
        <w:t>延庆区法院部门整体绩效评价得分为93.9分。其中当</w:t>
      </w:r>
      <w:r w:rsidRPr="00810104">
        <w:rPr>
          <w:rFonts w:ascii="仿宋_GB2312" w:eastAsia="仿宋_GB2312" w:hint="eastAsia"/>
          <w:sz w:val="32"/>
          <w:szCs w:val="32"/>
        </w:rPr>
        <w:lastRenderedPageBreak/>
        <w:t>年预算执行情况满分20分，预算执行率95.73%，得分20分，得分率100%。；整体绩效目标实现情况满分60分，得分58分，得分率96.67%；预算管理情况满分20分，得分15.90分，得分率79.5%。</w:t>
      </w:r>
    </w:p>
    <w:p w:rsidR="003236E5" w:rsidRDefault="00E640BE">
      <w:pPr>
        <w:spacing w:line="600" w:lineRule="exact"/>
        <w:ind w:left="5" w:firstLineChars="181" w:firstLine="579"/>
        <w:rPr>
          <w:rFonts w:ascii="楷体_GB2312" w:eastAsia="楷体_GB2312"/>
          <w:sz w:val="32"/>
          <w:szCs w:val="32"/>
        </w:rPr>
      </w:pPr>
      <w:r>
        <w:rPr>
          <w:rFonts w:ascii="楷体_GB2312" w:eastAsia="楷体_GB2312" w:hint="eastAsia"/>
          <w:sz w:val="32"/>
          <w:szCs w:val="32"/>
        </w:rPr>
        <w:t>（二）存在的问题及原因分析</w:t>
      </w:r>
    </w:p>
    <w:p w:rsidR="003236E5" w:rsidRDefault="00E640BE">
      <w:pPr>
        <w:spacing w:line="600" w:lineRule="exact"/>
        <w:ind w:firstLineChars="200" w:firstLine="640"/>
        <w:rPr>
          <w:rFonts w:ascii="仿宋_GB2312" w:eastAsia="仿宋_GB2312"/>
          <w:sz w:val="32"/>
          <w:szCs w:val="32"/>
        </w:rPr>
      </w:pPr>
      <w:r>
        <w:rPr>
          <w:rFonts w:ascii="仿宋_GB2312" w:eastAsia="仿宋_GB2312" w:hint="eastAsia"/>
          <w:sz w:val="32"/>
          <w:szCs w:val="32"/>
        </w:rPr>
        <w:t>1.整体绩效目标实现情况较好，得分率较高，但在局部领域，如进度指标结收比未完成指标值，需要进一步改善执行进度。</w:t>
      </w:r>
    </w:p>
    <w:p w:rsidR="003236E5" w:rsidRDefault="00E640BE" w:rsidP="006E6A5C">
      <w:pPr>
        <w:spacing w:line="600" w:lineRule="exact"/>
        <w:ind w:left="5" w:firstLineChars="198" w:firstLine="634"/>
        <w:rPr>
          <w:rFonts w:ascii="楷体_GB2312" w:eastAsia="楷体_GB2312"/>
          <w:sz w:val="32"/>
          <w:szCs w:val="32"/>
        </w:rPr>
      </w:pPr>
      <w:r>
        <w:rPr>
          <w:rFonts w:ascii="仿宋_GB2312" w:eastAsia="仿宋_GB2312" w:hint="eastAsia"/>
          <w:sz w:val="32"/>
          <w:szCs w:val="32"/>
        </w:rPr>
        <w:t>2.预算管理方面，从制度建设到实际管理都不够完善；资产管理基本规范，但存在超标配置资产情况；在绩效跟踪管理方面，对绩效目标偏离情况未</w:t>
      </w:r>
      <w:bookmarkStart w:id="0" w:name="_GoBack"/>
      <w:bookmarkEnd w:id="0"/>
      <w:r>
        <w:rPr>
          <w:rFonts w:ascii="仿宋_GB2312" w:eastAsia="仿宋_GB2312" w:hint="eastAsia"/>
          <w:sz w:val="32"/>
          <w:szCs w:val="32"/>
        </w:rPr>
        <w:t>及时采取措施矫正。绩效预算管理水平有待提高。</w:t>
      </w:r>
    </w:p>
    <w:p w:rsidR="003236E5" w:rsidRDefault="00E640BE">
      <w:pPr>
        <w:spacing w:line="600" w:lineRule="exact"/>
        <w:ind w:firstLineChars="200" w:firstLine="640"/>
        <w:rPr>
          <w:rFonts w:ascii="黑体" w:eastAsia="黑体" w:hAnsi="黑体" w:cs="宋体"/>
          <w:color w:val="000000"/>
          <w:kern w:val="0"/>
          <w:sz w:val="32"/>
          <w:szCs w:val="32"/>
        </w:rPr>
      </w:pPr>
      <w:r>
        <w:rPr>
          <w:rFonts w:ascii="黑体" w:eastAsia="黑体" w:hAnsi="黑体" w:cs="宋体" w:hint="eastAsia"/>
          <w:color w:val="000000"/>
          <w:kern w:val="0"/>
          <w:sz w:val="32"/>
          <w:szCs w:val="32"/>
        </w:rPr>
        <w:t>六、措施建议</w:t>
      </w:r>
    </w:p>
    <w:p w:rsidR="003236E5" w:rsidRDefault="00E640BE">
      <w:pPr>
        <w:spacing w:line="600" w:lineRule="exact"/>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hAnsi="宋体" w:cs="宋体"/>
          <w:color w:val="000000"/>
          <w:kern w:val="0"/>
          <w:sz w:val="32"/>
          <w:szCs w:val="32"/>
        </w:rPr>
        <w:t>.</w:t>
      </w:r>
      <w:r>
        <w:rPr>
          <w:rFonts w:ascii="仿宋_GB2312" w:eastAsia="仿宋_GB2312" w:hint="eastAsia"/>
          <w:sz w:val="32"/>
          <w:szCs w:val="32"/>
        </w:rPr>
        <w:t>整体绩效目标完成情况较好，但局部领域着重加强执行进度管理，按照整体绩效目标确定的时限及时完成工作任务。</w:t>
      </w:r>
    </w:p>
    <w:p w:rsidR="003236E5" w:rsidRDefault="00E640BE">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kern w:val="0"/>
          <w:sz w:val="32"/>
          <w:szCs w:val="32"/>
        </w:rPr>
        <w:t>2</w:t>
      </w:r>
      <w:r>
        <w:rPr>
          <w:rFonts w:ascii="仿宋_GB2312" w:eastAsia="仿宋_GB2312" w:hAnsi="宋体" w:cs="宋体"/>
          <w:color w:val="000000"/>
          <w:kern w:val="0"/>
          <w:sz w:val="32"/>
          <w:szCs w:val="32"/>
        </w:rPr>
        <w:t>.</w:t>
      </w:r>
      <w:r>
        <w:rPr>
          <w:rFonts w:ascii="仿宋_GB2312" w:eastAsia="仿宋_GB2312" w:hAnsi="宋体" w:cs="宋体" w:hint="eastAsia"/>
          <w:kern w:val="0"/>
          <w:sz w:val="32"/>
          <w:szCs w:val="32"/>
        </w:rPr>
        <w:t>在</w:t>
      </w:r>
      <w:r>
        <w:rPr>
          <w:rFonts w:ascii="仿宋_GB2312" w:eastAsia="仿宋_GB2312" w:hint="eastAsia"/>
          <w:sz w:val="32"/>
          <w:szCs w:val="32"/>
        </w:rPr>
        <w:t>预算管理方面要加强制度建设，着重加强对绩效目标的跟踪管理。</w:t>
      </w:r>
      <w:r>
        <w:rPr>
          <w:rFonts w:ascii="仿宋_GB2312" w:eastAsia="仿宋_GB2312" w:hAnsi="宋体" w:cs="宋体" w:hint="eastAsia"/>
          <w:kern w:val="0"/>
          <w:sz w:val="32"/>
          <w:szCs w:val="32"/>
        </w:rPr>
        <w:t>及时对绩效信息进行汇总分析整理，对绩效目标偏离情况及时进行矫正。提高固定资产的使用效率，按预算要求合理配置资产。</w:t>
      </w:r>
    </w:p>
    <w:p w:rsidR="003236E5" w:rsidRDefault="003236E5">
      <w:pPr>
        <w:spacing w:line="600" w:lineRule="exact"/>
        <w:ind w:firstLineChars="200" w:firstLine="640"/>
        <w:rPr>
          <w:rFonts w:ascii="仿宋_GB2312" w:eastAsia="仿宋_GB2312" w:hAnsi="宋体" w:cs="宋体"/>
          <w:color w:val="000000"/>
          <w:kern w:val="0"/>
          <w:sz w:val="32"/>
          <w:szCs w:val="32"/>
        </w:rPr>
      </w:pPr>
    </w:p>
    <w:p w:rsidR="003236E5" w:rsidRDefault="003236E5">
      <w:pPr>
        <w:spacing w:line="600" w:lineRule="exact"/>
        <w:ind w:firstLineChars="200" w:firstLine="640"/>
        <w:rPr>
          <w:rFonts w:ascii="仿宋_GB2312" w:eastAsia="仿宋_GB2312" w:hAnsi="宋体" w:cs="宋体"/>
          <w:color w:val="000000"/>
          <w:kern w:val="0"/>
          <w:sz w:val="32"/>
          <w:szCs w:val="32"/>
        </w:rPr>
      </w:pPr>
    </w:p>
    <w:p w:rsidR="003236E5" w:rsidRDefault="003236E5"/>
    <w:p w:rsidR="003236E5" w:rsidRDefault="003236E5">
      <w:pPr>
        <w:widowControl/>
        <w:rPr>
          <w:rFonts w:ascii="方正小标宋简体" w:eastAsia="方正小标宋简体" w:hAnsi="黑体" w:cs="宋体"/>
          <w:color w:val="000000"/>
          <w:kern w:val="0"/>
          <w:sz w:val="44"/>
          <w:szCs w:val="44"/>
        </w:rPr>
        <w:sectPr w:rsidR="003236E5">
          <w:footerReference w:type="default" r:id="rId8"/>
          <w:pgSz w:w="11906" w:h="16838"/>
          <w:pgMar w:top="1440" w:right="1800" w:bottom="1440" w:left="1800" w:header="851" w:footer="992" w:gutter="0"/>
          <w:pgNumType w:fmt="numberInDash"/>
          <w:cols w:space="425"/>
          <w:docGrid w:type="lines" w:linePitch="312"/>
        </w:sectPr>
      </w:pPr>
    </w:p>
    <w:p w:rsidR="003236E5" w:rsidRDefault="003236E5" w:rsidP="00080396"/>
    <w:sectPr w:rsidR="003236E5" w:rsidSect="003236E5">
      <w:pgSz w:w="16838" w:h="11906" w:orient="landscape"/>
      <w:pgMar w:top="1800" w:right="1440" w:bottom="1800" w:left="1440"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E1121" w:rsidRDefault="00BE1121" w:rsidP="003236E5">
      <w:r>
        <w:separator/>
      </w:r>
    </w:p>
  </w:endnote>
  <w:endnote w:type="continuationSeparator" w:id="1">
    <w:p w:rsidR="00BE1121" w:rsidRDefault="00BE1121" w:rsidP="003236E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auto"/>
    <w:pitch w:val="default"/>
    <w:sig w:usb0="00000000" w:usb1="184F6CFA" w:usb2="00000012" w:usb3="00000000" w:csb0="00040001" w:csb1="00000000"/>
  </w:font>
  <w:font w:name="楷体_GB2312">
    <w:altName w:val="Arial Unicode MS"/>
    <w:charset w:val="86"/>
    <w:family w:val="modern"/>
    <w:pitch w:val="default"/>
    <w:sig w:usb0="00000000" w:usb1="080E0000" w:usb2="0000000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36E5" w:rsidRDefault="00B45AA0">
    <w:pPr>
      <w:pStyle w:val="a3"/>
      <w:jc w:val="right"/>
      <w:rPr>
        <w:rFonts w:ascii="宋体" w:hAnsi="宋体"/>
        <w:sz w:val="28"/>
        <w:szCs w:val="28"/>
      </w:rPr>
    </w:pPr>
    <w:r w:rsidRPr="00B45AA0">
      <w:rPr>
        <w:sz w:val="28"/>
      </w:rPr>
      <w:pict>
        <v:shapetype id="_x0000_t202" coordsize="21600,21600" o:spt="202" path="m,l,21600r21600,l21600,xe">
          <v:stroke joinstyle="miter"/>
          <v:path gradientshapeok="t" o:connecttype="rect"/>
        </v:shapetype>
        <v:shape id="_x0000_s1027" type="#_x0000_t202" style="position:absolute;left:0;text-align:left;margin-left:416pt;margin-top:0;width:2in;height:2in;z-index:251659264;mso-wrap-style:none;mso-position-horizontal:right;mso-position-horizontal-relative:margin"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BYAAABkcnMvUEsBAhQAFAAAAAgA&#10;h07iQLNJWO7QAAAABQEAAA8AAAAAAAAAAQAgAAAAOAAAAGRycy9kb3ducmV2LnhtbFBLAQIUABQA&#10;AAAIAIdO4kA8FiLyGwIAACkEAAAOAAAAAAAAAAEAIAAAADUBAABkcnMvZTJvRG9jLnhtbFBLBQYA&#10;AAAABgAGAFkBAADCBQAAAAA=&#10;" filled="f" stroked="f" strokeweight=".5pt">
          <v:textbox style="mso-fit-shape-to-text:t" inset="0,0,0,0">
            <w:txbxContent>
              <w:p w:rsidR="003236E5" w:rsidRDefault="00B45AA0">
                <w:pPr>
                  <w:pStyle w:val="a3"/>
                  <w:jc w:val="right"/>
                </w:pPr>
                <w:r>
                  <w:rPr>
                    <w:rFonts w:ascii="宋体" w:hAnsi="宋体"/>
                    <w:sz w:val="28"/>
                    <w:szCs w:val="28"/>
                  </w:rPr>
                  <w:fldChar w:fldCharType="begin"/>
                </w:r>
                <w:r w:rsidR="00E640BE">
                  <w:rPr>
                    <w:rFonts w:ascii="宋体" w:hAnsi="宋体"/>
                    <w:sz w:val="28"/>
                    <w:szCs w:val="28"/>
                  </w:rPr>
                  <w:instrText>PAGE   \* MERGEFORMAT</w:instrText>
                </w:r>
                <w:r>
                  <w:rPr>
                    <w:rFonts w:ascii="宋体" w:hAnsi="宋体"/>
                    <w:sz w:val="28"/>
                    <w:szCs w:val="28"/>
                  </w:rPr>
                  <w:fldChar w:fldCharType="separate"/>
                </w:r>
                <w:r w:rsidR="00080396" w:rsidRPr="00080396">
                  <w:rPr>
                    <w:rFonts w:ascii="宋体" w:hAnsi="宋体"/>
                    <w:noProof/>
                    <w:sz w:val="28"/>
                    <w:szCs w:val="28"/>
                    <w:lang w:val="zh-CN"/>
                  </w:rPr>
                  <w:t>-</w:t>
                </w:r>
                <w:r w:rsidR="00080396">
                  <w:rPr>
                    <w:rFonts w:ascii="宋体" w:hAnsi="宋体"/>
                    <w:noProof/>
                    <w:sz w:val="28"/>
                    <w:szCs w:val="28"/>
                  </w:rPr>
                  <w:t xml:space="preserve"> 1 -</w:t>
                </w:r>
                <w:r>
                  <w:rPr>
                    <w:rFonts w:ascii="宋体" w:hAnsi="宋体"/>
                    <w:sz w:val="28"/>
                    <w:szCs w:val="28"/>
                  </w:rPr>
                  <w:fldChar w:fldCharType="end"/>
                </w:r>
              </w:p>
            </w:txbxContent>
          </v:textbox>
          <w10:wrap anchorx="margin"/>
        </v:shape>
      </w:pict>
    </w:r>
  </w:p>
  <w:p w:rsidR="003236E5" w:rsidRDefault="003236E5">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E1121" w:rsidRDefault="00BE1121" w:rsidP="003236E5">
      <w:r>
        <w:separator/>
      </w:r>
    </w:p>
  </w:footnote>
  <w:footnote w:type="continuationSeparator" w:id="1">
    <w:p w:rsidR="00BE1121" w:rsidRDefault="00BE1121" w:rsidP="003236E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MWQxNDdhMjBiZmM4NmI4MGM0MzRlZTUwMDUyZjkxYzcifQ=="/>
  </w:docVars>
  <w:rsids>
    <w:rsidRoot w:val="F77F09F4"/>
    <w:rsid w:val="C36F37B1"/>
    <w:rsid w:val="CEFD3F3D"/>
    <w:rsid w:val="EA3F77F2"/>
    <w:rsid w:val="EEFE5989"/>
    <w:rsid w:val="EFCF3EAE"/>
    <w:rsid w:val="F5B764A2"/>
    <w:rsid w:val="F77F09F4"/>
    <w:rsid w:val="FFD7BFFC"/>
    <w:rsid w:val="00006BEE"/>
    <w:rsid w:val="00033C6A"/>
    <w:rsid w:val="0006349B"/>
    <w:rsid w:val="00080396"/>
    <w:rsid w:val="000D00B6"/>
    <w:rsid w:val="000F1A60"/>
    <w:rsid w:val="00106500"/>
    <w:rsid w:val="0012395C"/>
    <w:rsid w:val="00131A54"/>
    <w:rsid w:val="00172121"/>
    <w:rsid w:val="001C6432"/>
    <w:rsid w:val="001F4D65"/>
    <w:rsid w:val="001F5DBB"/>
    <w:rsid w:val="00256103"/>
    <w:rsid w:val="002569E6"/>
    <w:rsid w:val="002713D5"/>
    <w:rsid w:val="002A2000"/>
    <w:rsid w:val="002D0051"/>
    <w:rsid w:val="002F42C1"/>
    <w:rsid w:val="003158A1"/>
    <w:rsid w:val="003236E5"/>
    <w:rsid w:val="003261E7"/>
    <w:rsid w:val="003753F6"/>
    <w:rsid w:val="00380AC4"/>
    <w:rsid w:val="00411859"/>
    <w:rsid w:val="00430A35"/>
    <w:rsid w:val="00441EDF"/>
    <w:rsid w:val="004E44E5"/>
    <w:rsid w:val="00502E8F"/>
    <w:rsid w:val="005074F5"/>
    <w:rsid w:val="00507E74"/>
    <w:rsid w:val="00516FED"/>
    <w:rsid w:val="0056774E"/>
    <w:rsid w:val="0057054B"/>
    <w:rsid w:val="005B4C4F"/>
    <w:rsid w:val="005E35FE"/>
    <w:rsid w:val="005F0638"/>
    <w:rsid w:val="00645F7A"/>
    <w:rsid w:val="0069736D"/>
    <w:rsid w:val="006A5852"/>
    <w:rsid w:val="006D446B"/>
    <w:rsid w:val="006D4B3F"/>
    <w:rsid w:val="006E216B"/>
    <w:rsid w:val="006E6A5C"/>
    <w:rsid w:val="00732710"/>
    <w:rsid w:val="00770301"/>
    <w:rsid w:val="007D0D28"/>
    <w:rsid w:val="007E2B5E"/>
    <w:rsid w:val="007F2855"/>
    <w:rsid w:val="00805250"/>
    <w:rsid w:val="00810104"/>
    <w:rsid w:val="00851866"/>
    <w:rsid w:val="008705C8"/>
    <w:rsid w:val="00877B37"/>
    <w:rsid w:val="00896FA8"/>
    <w:rsid w:val="008B0DE6"/>
    <w:rsid w:val="008B56C9"/>
    <w:rsid w:val="00901174"/>
    <w:rsid w:val="009266CF"/>
    <w:rsid w:val="00933C5C"/>
    <w:rsid w:val="00951F63"/>
    <w:rsid w:val="00952535"/>
    <w:rsid w:val="00960258"/>
    <w:rsid w:val="009A4DEA"/>
    <w:rsid w:val="009B47F8"/>
    <w:rsid w:val="00A30CB5"/>
    <w:rsid w:val="00A61D2E"/>
    <w:rsid w:val="00A8238E"/>
    <w:rsid w:val="00A91FA4"/>
    <w:rsid w:val="00A959B2"/>
    <w:rsid w:val="00AB67D0"/>
    <w:rsid w:val="00B444D2"/>
    <w:rsid w:val="00B45AA0"/>
    <w:rsid w:val="00B5459C"/>
    <w:rsid w:val="00BB725C"/>
    <w:rsid w:val="00BE1121"/>
    <w:rsid w:val="00BE7361"/>
    <w:rsid w:val="00C20FA5"/>
    <w:rsid w:val="00C32878"/>
    <w:rsid w:val="00C35CFB"/>
    <w:rsid w:val="00C61B73"/>
    <w:rsid w:val="00C737BE"/>
    <w:rsid w:val="00C83D26"/>
    <w:rsid w:val="00CA6E47"/>
    <w:rsid w:val="00CD75A4"/>
    <w:rsid w:val="00CE2EAA"/>
    <w:rsid w:val="00CF0978"/>
    <w:rsid w:val="00D27B2D"/>
    <w:rsid w:val="00D831A9"/>
    <w:rsid w:val="00E2619D"/>
    <w:rsid w:val="00E43ED6"/>
    <w:rsid w:val="00E45CEB"/>
    <w:rsid w:val="00E640BE"/>
    <w:rsid w:val="00EA5F1D"/>
    <w:rsid w:val="00EC5F15"/>
    <w:rsid w:val="00EF56B0"/>
    <w:rsid w:val="00F06A95"/>
    <w:rsid w:val="00F13A1F"/>
    <w:rsid w:val="00F27DAE"/>
    <w:rsid w:val="00F367F9"/>
    <w:rsid w:val="00FA0A45"/>
    <w:rsid w:val="00FB0EDC"/>
    <w:rsid w:val="00FB3386"/>
    <w:rsid w:val="0ECF9C51"/>
    <w:rsid w:val="37173543"/>
    <w:rsid w:val="3911025F"/>
    <w:rsid w:val="3FF76880"/>
    <w:rsid w:val="41BD44D4"/>
    <w:rsid w:val="5A1B1DAE"/>
    <w:rsid w:val="69457CC4"/>
    <w:rsid w:val="734F23A1"/>
    <w:rsid w:val="7AB7FF50"/>
    <w:rsid w:val="7BFEB0DB"/>
    <w:rsid w:val="7FFF33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236E5"/>
    <w:pPr>
      <w:widowControl w:val="0"/>
      <w:jc w:val="both"/>
    </w:pPr>
    <w:rPr>
      <w:rFonts w:ascii="Times New Roman" w:eastAsia="宋体" w:hAnsi="Times New Roman" w:cs="Times New Roman"/>
      <w:kern w:val="2"/>
      <w:sz w:val="21"/>
      <w:szCs w:val="24"/>
    </w:rPr>
  </w:style>
  <w:style w:type="paragraph" w:styleId="2">
    <w:name w:val="heading 2"/>
    <w:basedOn w:val="a"/>
    <w:next w:val="a"/>
    <w:qFormat/>
    <w:rsid w:val="003236E5"/>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qFormat/>
    <w:rsid w:val="003236E5"/>
    <w:pPr>
      <w:tabs>
        <w:tab w:val="center" w:pos="4153"/>
        <w:tab w:val="right" w:pos="8306"/>
      </w:tabs>
      <w:snapToGrid w:val="0"/>
      <w:jc w:val="left"/>
    </w:pPr>
    <w:rPr>
      <w:sz w:val="18"/>
      <w:szCs w:val="20"/>
    </w:rPr>
  </w:style>
  <w:style w:type="paragraph" w:styleId="a4">
    <w:name w:val="header"/>
    <w:basedOn w:val="a"/>
    <w:qFormat/>
    <w:rsid w:val="003236E5"/>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page number"/>
    <w:basedOn w:val="a0"/>
    <w:qFormat/>
    <w:rsid w:val="003236E5"/>
  </w:style>
  <w:style w:type="paragraph" w:customStyle="1" w:styleId="1">
    <w:name w:val="列出段落1"/>
    <w:basedOn w:val="a"/>
    <w:uiPriority w:val="34"/>
    <w:qFormat/>
    <w:rsid w:val="003236E5"/>
    <w:pPr>
      <w:ind w:firstLineChars="200" w:firstLine="420"/>
    </w:pPr>
    <w:rPr>
      <w:rFonts w:ascii="Calibri" w:hAnsi="Calibri" w:cs="黑体"/>
      <w:szCs w:val="22"/>
    </w:rPr>
  </w:style>
  <w:style w:type="paragraph" w:styleId="a6">
    <w:name w:val="List Paragraph"/>
    <w:basedOn w:val="a"/>
    <w:uiPriority w:val="99"/>
    <w:unhideWhenUsed/>
    <w:qFormat/>
    <w:rsid w:val="003236E5"/>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ops>
  <customShpExts>
    <customShpInfo spid="_x0000_s1027"/>
  </customShpExts>
</s:customData>
</file>

<file path=customXml/itemProps1.xml><?xml version="1.0" encoding="utf-8"?>
<ds:datastoreItem xmlns:ds="http://schemas.openxmlformats.org/officeDocument/2006/customXml" ds:itemID="{71ECB636-0326-4EC6-8B57-39E40FD8263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10</Pages>
  <Words>643</Words>
  <Characters>3666</Characters>
  <Application>Microsoft Office Word</Application>
  <DocSecurity>0</DocSecurity>
  <Lines>30</Lines>
  <Paragraphs>8</Paragraphs>
  <ScaleCrop>false</ScaleCrop>
  <Company>www.dadighost.com</Company>
  <LinksUpToDate>false</LinksUpToDate>
  <CharactersWithSpaces>4301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1</cp:lastModifiedBy>
  <cp:revision>7</cp:revision>
  <dcterms:created xsi:type="dcterms:W3CDTF">2022-05-30T07:05:00Z</dcterms:created>
  <dcterms:modified xsi:type="dcterms:W3CDTF">2022-08-24T01:36:00Z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0EA7C684FE4F422DADAC3F3CBEB3AC14</vt:lpwstr>
  </property>
</Properties>
</file>