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北京互联网法院</w:t>
      </w:r>
    </w:p>
    <w:p>
      <w:pPr>
        <w:tabs>
          <w:tab w:val="center" w:pos="4422"/>
          <w:tab w:val="right" w:pos="8844"/>
        </w:tabs>
        <w:spacing w:line="360" w:lineRule="exact"/>
        <w:jc w:val="center"/>
        <w:rPr>
          <w:rFonts w:ascii="Arial Narrow" w:hAnsi="Arial Narrow" w:eastAsia="仿宋_GB2312" w:cs="Arial"/>
          <w:sz w:val="32"/>
          <w:szCs w:val="32"/>
        </w:rPr>
      </w:pPr>
    </w:p>
    <w:p>
      <w:pPr>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2021年部门整体绩效评价报告</w:t>
      </w:r>
    </w:p>
    <w:p>
      <w:pPr>
        <w:pStyle w:val="19"/>
        <w:rPr>
          <w:rFonts w:ascii="Arial Narrow" w:hAnsi="Arial Narrow" w:cs="Arial"/>
        </w:rPr>
      </w:pPr>
    </w:p>
    <w:p>
      <w:pPr>
        <w:pStyle w:val="19"/>
        <w:rPr>
          <w:rFonts w:ascii="Arial Narrow" w:hAnsi="Arial Narrow" w:cs="Arial"/>
          <w:lang w:val="zh-CN"/>
        </w:rPr>
      </w:pPr>
    </w:p>
    <w:p>
      <w:pPr>
        <w:spacing w:line="360" w:lineRule="auto"/>
        <w:rPr>
          <w:rFonts w:ascii="Arial Narrow" w:hAnsi="Arial Narrow" w:cs="Arial"/>
          <w:b/>
          <w:bCs/>
          <w:sz w:val="32"/>
          <w:szCs w:val="32"/>
        </w:rPr>
      </w:pPr>
    </w:p>
    <w:p>
      <w:pPr>
        <w:snapToGrid w:val="0"/>
        <w:spacing w:line="420" w:lineRule="auto"/>
        <w:ind w:right="120" w:firstLine="614" w:firstLineChars="192"/>
        <w:rPr>
          <w:rFonts w:ascii="Arial Narrow" w:hAnsi="Arial Narrow" w:cs="Arial"/>
          <w:sz w:val="32"/>
          <w:szCs w:val="32"/>
        </w:rPr>
      </w:pPr>
      <w:r>
        <w:rPr>
          <w:rFonts w:ascii="Arial Narrow" w:hAnsi="Arial Narrow" w:cs="Arial"/>
          <w:sz w:val="32"/>
          <w:szCs w:val="32"/>
        </w:rPr>
        <w:t xml:space="preserve">主管部门  </w:t>
      </w:r>
      <w:r>
        <w:rPr>
          <w:rFonts w:ascii="Arial Narrow" w:hAnsi="Arial Narrow" w:cs="Arial"/>
          <w:sz w:val="32"/>
          <w:szCs w:val="32"/>
          <w:u w:val="single"/>
        </w:rPr>
        <w:t xml:space="preserve">     北京互联网法院       </w:t>
      </w:r>
    </w:p>
    <w:p>
      <w:pPr>
        <w:snapToGrid w:val="0"/>
        <w:spacing w:line="420" w:lineRule="auto"/>
        <w:ind w:right="120" w:firstLine="614" w:firstLineChars="192"/>
        <w:rPr>
          <w:rFonts w:ascii="Arial Narrow" w:hAnsi="Arial Narrow" w:cs="Arial"/>
          <w:sz w:val="32"/>
          <w:szCs w:val="32"/>
          <w:u w:val="single"/>
        </w:rPr>
      </w:pPr>
      <w:r>
        <w:rPr>
          <w:rFonts w:ascii="Arial Narrow" w:hAnsi="Arial Narrow" w:cs="Arial"/>
          <w:sz w:val="32"/>
          <w:szCs w:val="32"/>
        </w:rPr>
        <w:t xml:space="preserve">项目单位  </w:t>
      </w:r>
      <w:r>
        <w:rPr>
          <w:rFonts w:ascii="Arial Narrow" w:hAnsi="Arial Narrow" w:cs="Arial"/>
          <w:sz w:val="32"/>
          <w:szCs w:val="32"/>
          <w:u w:val="single"/>
        </w:rPr>
        <w:t xml:space="preserve">     北京互联网法院       </w:t>
      </w:r>
    </w:p>
    <w:p>
      <w:pPr>
        <w:snapToGrid w:val="0"/>
        <w:spacing w:line="420" w:lineRule="auto"/>
        <w:ind w:right="120" w:firstLine="614" w:firstLineChars="192"/>
        <w:rPr>
          <w:rFonts w:ascii="Arial Narrow" w:hAnsi="Arial Narrow" w:cs="Arial"/>
          <w:sz w:val="32"/>
          <w:szCs w:val="32"/>
          <w:u w:val="single"/>
        </w:rPr>
      </w:pPr>
      <w:r>
        <w:rPr>
          <w:rFonts w:ascii="Arial Narrow" w:hAnsi="Arial Narrow" w:cs="Arial"/>
          <w:sz w:val="32"/>
          <w:szCs w:val="32"/>
        </w:rPr>
        <w:t xml:space="preserve">项目名称  </w:t>
      </w:r>
      <w:r>
        <w:rPr>
          <w:rFonts w:ascii="Arial Narrow" w:hAnsi="Arial Narrow" w:cs="Arial"/>
          <w:sz w:val="32"/>
          <w:szCs w:val="32"/>
          <w:u w:val="single"/>
        </w:rPr>
        <w:t xml:space="preserve">      部门整体绩效评价    </w:t>
      </w:r>
    </w:p>
    <w:p>
      <w:pPr>
        <w:snapToGrid w:val="0"/>
        <w:spacing w:line="420" w:lineRule="auto"/>
        <w:ind w:right="120" w:firstLine="614" w:firstLineChars="192"/>
        <w:rPr>
          <w:rFonts w:ascii="Arial Narrow" w:hAnsi="Arial Narrow" w:cs="Arial"/>
          <w:sz w:val="32"/>
          <w:szCs w:val="32"/>
        </w:rPr>
      </w:pPr>
      <w:r>
        <w:rPr>
          <w:rFonts w:ascii="Arial Narrow" w:hAnsi="Arial Narrow" w:cs="Arial"/>
          <w:sz w:val="32"/>
          <w:szCs w:val="32"/>
        </w:rPr>
        <w:t xml:space="preserve">评价单位  </w:t>
      </w:r>
      <w:r>
        <w:rPr>
          <w:rFonts w:ascii="Arial Narrow" w:hAnsi="Arial Narrow" w:cs="Arial"/>
          <w:sz w:val="32"/>
          <w:szCs w:val="32"/>
          <w:u w:val="single"/>
        </w:rPr>
        <w:t xml:space="preserve">     北京互联网法院       </w:t>
      </w:r>
    </w:p>
    <w:p>
      <w:pPr>
        <w:pStyle w:val="19"/>
        <w:jc w:val="center"/>
        <w:rPr>
          <w:rFonts w:ascii="Arial Narrow" w:hAnsi="Arial Narrow" w:cs="Arial"/>
          <w:color w:val="auto"/>
          <w:sz w:val="48"/>
          <w:szCs w:val="48"/>
          <w:lang w:val="zh-CN"/>
        </w:rPr>
      </w:pPr>
      <w:r>
        <w:rPr>
          <w:rFonts w:ascii="Arial Narrow" w:hAnsi="Arial Narrow" w:cs="Arial"/>
          <w:color w:val="auto"/>
          <w:lang w:val="zh-CN"/>
        </w:rPr>
        <w:t>2022年5月18日</w:t>
      </w:r>
      <w:r>
        <w:rPr>
          <w:rFonts w:ascii="Arial Narrow" w:hAnsi="Arial Narrow" w:cs="Arial"/>
          <w:lang w:val="zh-CN"/>
        </w:rPr>
        <w:br w:type="page"/>
      </w:r>
      <w:r>
        <w:rPr>
          <w:rFonts w:ascii="Arial Narrow" w:hAnsi="Arial Narrow" w:cs="Arial"/>
          <w:color w:val="auto"/>
          <w:sz w:val="48"/>
          <w:szCs w:val="48"/>
          <w:lang w:val="zh-CN"/>
        </w:rPr>
        <w:t>目     录</w:t>
      </w:r>
    </w:p>
    <w:p>
      <w:pPr>
        <w:rPr>
          <w:rFonts w:ascii="Arial Narrow" w:hAnsi="Arial Narrow" w:cs="Arial"/>
          <w:lang w:val="zh-CN"/>
        </w:rPr>
      </w:pPr>
    </w:p>
    <w:p>
      <w:pPr>
        <w:pStyle w:val="8"/>
        <w:spacing w:line="400" w:lineRule="exact"/>
        <w:rPr>
          <w:rFonts w:ascii="宋体" w:hAnsi="宋体" w:cstheme="minorBidi"/>
          <w:sz w:val="24"/>
        </w:rPr>
      </w:pPr>
      <w:r>
        <w:rPr>
          <w:rFonts w:ascii="宋体" w:hAnsi="宋体" w:cs="Arial"/>
          <w:sz w:val="24"/>
        </w:rPr>
        <w:fldChar w:fldCharType="begin"/>
      </w:r>
      <w:r>
        <w:rPr>
          <w:rFonts w:ascii="宋体" w:hAnsi="宋体" w:cs="Arial"/>
          <w:sz w:val="24"/>
        </w:rPr>
        <w:instrText xml:space="preserve"> TOC \o "1-3" \h \z \u </w:instrText>
      </w:r>
      <w:r>
        <w:rPr>
          <w:rFonts w:ascii="宋体" w:hAnsi="宋体" w:cs="Arial"/>
          <w:sz w:val="24"/>
        </w:rPr>
        <w:fldChar w:fldCharType="separate"/>
      </w:r>
      <w:r>
        <w:fldChar w:fldCharType="begin"/>
      </w:r>
      <w:r>
        <w:instrText xml:space="preserve"> HYPERLINK \l "_Toc104405069" </w:instrText>
      </w:r>
      <w:r>
        <w:fldChar w:fldCharType="separate"/>
      </w:r>
      <w:r>
        <w:rPr>
          <w:rStyle w:val="14"/>
          <w:rFonts w:ascii="宋体" w:hAnsi="宋体" w:cs="Arial"/>
          <w:sz w:val="24"/>
        </w:rPr>
        <w:t>一、部门概况</w:t>
      </w:r>
      <w:r>
        <w:rPr>
          <w:rFonts w:ascii="宋体" w:hAnsi="宋体"/>
          <w:sz w:val="24"/>
        </w:rPr>
        <w:tab/>
      </w:r>
      <w:r>
        <w:rPr>
          <w:rFonts w:hint="eastAsia" w:ascii="宋体" w:hAnsi="宋体"/>
          <w:sz w:val="24"/>
          <w:lang w:val="en-US" w:eastAsia="zh-CN"/>
        </w:rPr>
        <w:t>1</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"_Toc104405070" </w:instrText>
      </w:r>
      <w:r>
        <w:fldChar w:fldCharType="separate"/>
      </w:r>
      <w:r>
        <w:rPr>
          <w:rStyle w:val="14"/>
          <w:rFonts w:ascii="宋体" w:hAnsi="宋体" w:cs="Arial"/>
          <w:sz w:val="24"/>
        </w:rPr>
        <w:t>（一）机构设置及职责工作任务情况</w:t>
      </w:r>
      <w:r>
        <w:rPr>
          <w:rFonts w:ascii="宋体" w:hAnsi="宋体"/>
          <w:sz w:val="24"/>
        </w:rPr>
        <w:tab/>
      </w:r>
      <w:r>
        <w:rPr>
          <w:rFonts w:hint="eastAsia" w:ascii="宋体" w:hAnsi="宋体"/>
          <w:sz w:val="24"/>
          <w:lang w:val="en-US" w:eastAsia="zh-CN"/>
        </w:rPr>
        <w:t>1</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"_Toc104405071" </w:instrText>
      </w:r>
      <w:r>
        <w:fldChar w:fldCharType="separate"/>
      </w:r>
      <w:r>
        <w:rPr>
          <w:rStyle w:val="14"/>
          <w:rFonts w:ascii="宋体" w:hAnsi="宋体" w:cs="Arial"/>
          <w:sz w:val="24"/>
        </w:rPr>
        <w:t>（二）部门整体绩效目标设立情况</w:t>
      </w:r>
      <w:r>
        <w:rPr>
          <w:rFonts w:ascii="宋体" w:hAnsi="宋体"/>
          <w:sz w:val="24"/>
        </w:rPr>
        <w:tab/>
      </w:r>
      <w:r>
        <w:rPr>
          <w:rFonts w:hint="eastAsia" w:ascii="宋体" w:hAnsi="宋体"/>
          <w:sz w:val="24"/>
          <w:lang w:val="en-US" w:eastAsia="zh-CN"/>
        </w:rPr>
        <w:t>2</w:t>
      </w:r>
      <w:r>
        <w:rPr>
          <w:rFonts w:ascii="宋体" w:hAnsi="宋体"/>
          <w:sz w:val="24"/>
        </w:rPr>
        <w:fldChar w:fldCharType="end"/>
      </w:r>
    </w:p>
    <w:p>
      <w:pPr>
        <w:pStyle w:val="8"/>
        <w:spacing w:line="400" w:lineRule="exact"/>
        <w:rPr>
          <w:rFonts w:ascii="宋体" w:hAnsi="宋体" w:cstheme="minorBidi"/>
          <w:sz w:val="24"/>
        </w:rPr>
      </w:pPr>
      <w:r>
        <w:fldChar w:fldCharType="begin"/>
      </w:r>
      <w:r>
        <w:instrText xml:space="preserve"> HYPERLINK \l "_Toc104405072" </w:instrText>
      </w:r>
      <w:r>
        <w:fldChar w:fldCharType="separate"/>
      </w:r>
      <w:r>
        <w:rPr>
          <w:rStyle w:val="14"/>
          <w:rFonts w:ascii="宋体" w:hAnsi="宋体" w:cs="Arial"/>
          <w:sz w:val="24"/>
        </w:rPr>
        <w:t>二、当年预算执行情况</w:t>
      </w:r>
      <w:r>
        <w:rPr>
          <w:rFonts w:ascii="宋体" w:hAnsi="宋体"/>
          <w:sz w:val="24"/>
        </w:rPr>
        <w:tab/>
      </w:r>
      <w:r>
        <w:rPr>
          <w:rFonts w:hint="eastAsia" w:ascii="宋体" w:hAnsi="宋体"/>
          <w:sz w:val="24"/>
          <w:lang w:val="en-US" w:eastAsia="zh-CN"/>
        </w:rPr>
        <w:t>4</w:t>
      </w:r>
      <w:r>
        <w:rPr>
          <w:rFonts w:ascii="宋体" w:hAnsi="宋体"/>
          <w:sz w:val="24"/>
        </w:rPr>
        <w:fldChar w:fldCharType="end"/>
      </w:r>
    </w:p>
    <w:p>
      <w:pPr>
        <w:pStyle w:val="8"/>
        <w:spacing w:line="400" w:lineRule="exact"/>
        <w:rPr>
          <w:rFonts w:ascii="宋体" w:hAnsi="宋体" w:cstheme="minorBidi"/>
          <w:sz w:val="24"/>
        </w:rPr>
      </w:pPr>
      <w:r>
        <w:fldChar w:fldCharType="begin"/>
      </w:r>
      <w:r>
        <w:instrText xml:space="preserve"> HYPERLINK \l "_Toc104405073" </w:instrText>
      </w:r>
      <w:r>
        <w:fldChar w:fldCharType="separate"/>
      </w:r>
      <w:r>
        <w:rPr>
          <w:rStyle w:val="14"/>
          <w:rFonts w:ascii="宋体" w:hAnsi="宋体" w:cs="Arial"/>
          <w:sz w:val="24"/>
        </w:rPr>
        <w:t>三、整体绩效目标实现情况</w:t>
      </w:r>
      <w:r>
        <w:rPr>
          <w:rFonts w:ascii="宋体" w:hAnsi="宋体"/>
          <w:sz w:val="24"/>
        </w:rPr>
        <w:tab/>
      </w:r>
      <w:r>
        <w:rPr>
          <w:rFonts w:hint="eastAsia" w:ascii="宋体" w:hAnsi="宋体"/>
          <w:sz w:val="24"/>
          <w:lang w:val="en-US" w:eastAsia="zh-CN"/>
        </w:rPr>
        <w:t>4</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"_Toc104405074" </w:instrText>
      </w:r>
      <w:r>
        <w:fldChar w:fldCharType="separate"/>
      </w:r>
      <w:r>
        <w:rPr>
          <w:rStyle w:val="14"/>
          <w:rFonts w:ascii="宋体" w:hAnsi="宋体" w:cs="Arial"/>
          <w:sz w:val="24"/>
        </w:rPr>
        <w:t>（一）产出完成情况分析</w:t>
      </w:r>
      <w:r>
        <w:rPr>
          <w:rFonts w:ascii="宋体" w:hAnsi="宋体"/>
          <w:sz w:val="24"/>
        </w:rPr>
        <w:tab/>
      </w:r>
      <w:r>
        <w:rPr>
          <w:rFonts w:hint="eastAsia" w:ascii="宋体" w:hAnsi="宋体"/>
          <w:sz w:val="24"/>
          <w:lang w:val="en-US" w:eastAsia="zh-CN"/>
        </w:rPr>
        <w:t>4</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"_Toc104405075" </w:instrText>
      </w:r>
      <w:r>
        <w:fldChar w:fldCharType="separate"/>
      </w:r>
      <w:r>
        <w:rPr>
          <w:rStyle w:val="14"/>
          <w:rFonts w:ascii="宋体" w:hAnsi="宋体" w:cs="Arial"/>
          <w:kern w:val="0"/>
          <w:sz w:val="24"/>
        </w:rPr>
        <w:t>1.产出数量</w:t>
      </w:r>
      <w:r>
        <w:rPr>
          <w:rFonts w:ascii="宋体" w:hAnsi="宋体"/>
          <w:sz w:val="24"/>
        </w:rPr>
        <w:tab/>
      </w:r>
      <w:r>
        <w:rPr>
          <w:rFonts w:hint="eastAsia" w:ascii="宋体" w:hAnsi="宋体"/>
          <w:sz w:val="24"/>
          <w:lang w:val="en-US" w:eastAsia="zh-CN"/>
        </w:rPr>
        <w:t>4</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"_Toc104405076" </w:instrText>
      </w:r>
      <w:r>
        <w:fldChar w:fldCharType="separate"/>
      </w:r>
      <w:r>
        <w:rPr>
          <w:rStyle w:val="14"/>
          <w:rFonts w:ascii="宋体" w:hAnsi="宋体" w:cs="Arial"/>
          <w:kern w:val="0"/>
          <w:sz w:val="24"/>
        </w:rPr>
        <w:t>2.产出质量</w:t>
      </w:r>
      <w:r>
        <w:rPr>
          <w:rFonts w:ascii="宋体" w:hAnsi="宋体"/>
          <w:sz w:val="24"/>
        </w:rPr>
        <w:tab/>
      </w:r>
      <w:r>
        <w:rPr>
          <w:rFonts w:hint="eastAsia" w:ascii="宋体" w:hAnsi="宋体"/>
          <w:sz w:val="24"/>
          <w:lang w:val="en-US" w:eastAsia="zh-CN"/>
        </w:rPr>
        <w:t>5</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"_Toc104405077" </w:instrText>
      </w:r>
      <w:r>
        <w:fldChar w:fldCharType="separate"/>
      </w:r>
      <w:r>
        <w:rPr>
          <w:rStyle w:val="14"/>
          <w:rFonts w:ascii="宋体" w:hAnsi="宋体" w:cs="Arial"/>
          <w:kern w:val="0"/>
          <w:sz w:val="24"/>
        </w:rPr>
        <w:t>3.产出进度</w:t>
      </w:r>
      <w:r>
        <w:rPr>
          <w:rFonts w:ascii="宋体" w:hAnsi="宋体"/>
          <w:sz w:val="24"/>
        </w:rPr>
        <w:tab/>
      </w:r>
      <w:r>
        <w:rPr>
          <w:rFonts w:hint="eastAsia" w:ascii="宋体" w:hAnsi="宋体"/>
          <w:sz w:val="24"/>
          <w:lang w:val="en-US" w:eastAsia="zh-CN"/>
        </w:rPr>
        <w:t>5</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"_Toc104405078" </w:instrText>
      </w:r>
      <w:r>
        <w:fldChar w:fldCharType="separate"/>
      </w:r>
      <w:r>
        <w:rPr>
          <w:rStyle w:val="14"/>
          <w:rFonts w:ascii="宋体" w:hAnsi="宋体" w:cs="Arial"/>
          <w:kern w:val="0"/>
          <w:sz w:val="24"/>
        </w:rPr>
        <w:t>4.产出成本</w:t>
      </w:r>
      <w:r>
        <w:rPr>
          <w:rFonts w:ascii="宋体" w:hAnsi="宋体"/>
          <w:sz w:val="24"/>
        </w:rPr>
        <w:tab/>
      </w:r>
      <w:r>
        <w:rPr>
          <w:rFonts w:hint="eastAsia" w:ascii="宋体" w:hAnsi="宋体"/>
          <w:sz w:val="24"/>
          <w:lang w:val="en-US" w:eastAsia="zh-CN"/>
        </w:rPr>
        <w:t>5</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"_Toc104405079" </w:instrText>
      </w:r>
      <w:r>
        <w:fldChar w:fldCharType="separate"/>
      </w:r>
      <w:r>
        <w:rPr>
          <w:rStyle w:val="14"/>
          <w:rFonts w:ascii="宋体" w:hAnsi="宋体" w:cs="Arial"/>
          <w:sz w:val="24"/>
        </w:rPr>
        <w:t>（二）效果实现情况分析</w:t>
      </w:r>
      <w:r>
        <w:rPr>
          <w:rFonts w:ascii="宋体" w:hAnsi="宋体"/>
          <w:sz w:val="24"/>
        </w:rPr>
        <w:tab/>
      </w:r>
      <w:r>
        <w:rPr>
          <w:rFonts w:hint="eastAsia" w:ascii="宋体" w:hAnsi="宋体"/>
          <w:sz w:val="24"/>
          <w:lang w:val="en-US" w:eastAsia="zh-CN"/>
        </w:rPr>
        <w:t>6</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"_Toc104405080" </w:instrText>
      </w:r>
      <w:r>
        <w:fldChar w:fldCharType="separate"/>
      </w:r>
      <w:r>
        <w:rPr>
          <w:rStyle w:val="14"/>
          <w:rFonts w:ascii="宋体" w:hAnsi="宋体" w:cs="Arial"/>
          <w:kern w:val="0"/>
          <w:sz w:val="24"/>
        </w:rPr>
        <w:t>1.经济效益</w:t>
      </w:r>
      <w:r>
        <w:rPr>
          <w:rFonts w:ascii="宋体" w:hAnsi="宋体"/>
          <w:sz w:val="24"/>
        </w:rPr>
        <w:tab/>
      </w:r>
      <w:r>
        <w:rPr>
          <w:rFonts w:hint="eastAsia" w:ascii="宋体" w:hAnsi="宋体"/>
          <w:sz w:val="24"/>
          <w:lang w:val="en-US" w:eastAsia="zh-CN"/>
        </w:rPr>
        <w:t>6</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"_Toc104405081" </w:instrText>
      </w:r>
      <w:r>
        <w:fldChar w:fldCharType="separate"/>
      </w:r>
      <w:r>
        <w:rPr>
          <w:rStyle w:val="14"/>
          <w:rFonts w:ascii="宋体" w:hAnsi="宋体" w:cs="Arial"/>
          <w:kern w:val="0"/>
          <w:sz w:val="24"/>
        </w:rPr>
        <w:t>2.社会效益</w:t>
      </w:r>
      <w:r>
        <w:rPr>
          <w:rFonts w:ascii="宋体" w:hAnsi="宋体"/>
          <w:sz w:val="24"/>
        </w:rPr>
        <w:tab/>
      </w:r>
      <w:r>
        <w:rPr>
          <w:rFonts w:hint="eastAsia" w:ascii="宋体" w:hAnsi="宋体"/>
          <w:sz w:val="24"/>
          <w:lang w:val="en-US" w:eastAsia="zh-CN"/>
        </w:rPr>
        <w:t>6</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"_Toc104405082" </w:instrText>
      </w:r>
      <w:r>
        <w:fldChar w:fldCharType="separate"/>
      </w:r>
      <w:r>
        <w:rPr>
          <w:rStyle w:val="14"/>
          <w:rFonts w:ascii="宋体" w:hAnsi="宋体" w:cs="Arial"/>
          <w:kern w:val="0"/>
          <w:sz w:val="24"/>
        </w:rPr>
        <w:t>3.可持续性影响</w:t>
      </w:r>
      <w:r>
        <w:rPr>
          <w:rFonts w:ascii="宋体" w:hAnsi="宋体"/>
          <w:sz w:val="24"/>
        </w:rPr>
        <w:tab/>
      </w:r>
      <w:r>
        <w:rPr>
          <w:rFonts w:hint="eastAsia" w:ascii="宋体" w:hAnsi="宋体"/>
          <w:sz w:val="24"/>
          <w:lang w:val="en-US" w:eastAsia="zh-CN"/>
        </w:rPr>
        <w:t>7</w:t>
      </w:r>
      <w:r>
        <w:rPr>
          <w:rFonts w:ascii="宋体" w:hAnsi="宋体"/>
          <w:sz w:val="24"/>
        </w:rPr>
        <w:fldChar w:fldCharType="end"/>
      </w:r>
    </w:p>
    <w:p>
      <w:pPr>
        <w:pStyle w:val="8"/>
        <w:spacing w:line="400" w:lineRule="exact"/>
        <w:rPr>
          <w:rFonts w:ascii="宋体" w:hAnsi="宋体" w:cstheme="minorBidi"/>
          <w:sz w:val="24"/>
        </w:rPr>
      </w:pPr>
      <w:r>
        <w:fldChar w:fldCharType="begin"/>
      </w:r>
      <w:r>
        <w:instrText xml:space="preserve"> HYPERLINK \l "_Toc104405083" </w:instrText>
      </w:r>
      <w:r>
        <w:fldChar w:fldCharType="separate"/>
      </w:r>
      <w:r>
        <w:rPr>
          <w:rStyle w:val="14"/>
          <w:rFonts w:ascii="宋体" w:hAnsi="宋体" w:cs="Arial"/>
          <w:sz w:val="24"/>
        </w:rPr>
        <w:t>四、预算管理情况分析</w:t>
      </w:r>
      <w:r>
        <w:rPr>
          <w:rFonts w:ascii="宋体" w:hAnsi="宋体"/>
          <w:sz w:val="24"/>
        </w:rPr>
        <w:tab/>
      </w:r>
      <w:r>
        <w:rPr>
          <w:rFonts w:hint="eastAsia" w:ascii="宋体" w:hAnsi="宋体"/>
          <w:sz w:val="24"/>
          <w:lang w:val="en-US" w:eastAsia="zh-CN"/>
        </w:rPr>
        <w:t>7</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"_Toc104405084" </w:instrText>
      </w:r>
      <w:r>
        <w:fldChar w:fldCharType="separate"/>
      </w:r>
      <w:r>
        <w:rPr>
          <w:rStyle w:val="14"/>
          <w:rFonts w:ascii="宋体" w:hAnsi="宋体" w:cs="Arial"/>
          <w:sz w:val="24"/>
        </w:rPr>
        <w:t>（一）财务管理</w:t>
      </w:r>
      <w:r>
        <w:rPr>
          <w:rFonts w:ascii="宋体" w:hAnsi="宋体"/>
          <w:sz w:val="24"/>
        </w:rPr>
        <w:tab/>
      </w:r>
      <w:r>
        <w:rPr>
          <w:rFonts w:hint="eastAsia" w:ascii="宋体" w:hAnsi="宋体"/>
          <w:sz w:val="24"/>
          <w:lang w:val="en-US" w:eastAsia="zh-CN"/>
        </w:rPr>
        <w:t>7</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"_Toc104405085" </w:instrText>
      </w:r>
      <w:r>
        <w:fldChar w:fldCharType="separate"/>
      </w:r>
      <w:r>
        <w:rPr>
          <w:rStyle w:val="14"/>
          <w:rFonts w:ascii="宋体" w:hAnsi="宋体" w:cs="Arial"/>
          <w:kern w:val="0"/>
          <w:sz w:val="24"/>
        </w:rPr>
        <w:t>1.财务管理制度健全性</w:t>
      </w:r>
      <w:r>
        <w:rPr>
          <w:rFonts w:ascii="宋体" w:hAnsi="宋体"/>
          <w:sz w:val="24"/>
        </w:rPr>
        <w:tab/>
      </w:r>
      <w:r>
        <w:rPr>
          <w:rFonts w:hint="eastAsia" w:ascii="宋体" w:hAnsi="宋体"/>
          <w:sz w:val="24"/>
          <w:lang w:val="en-US" w:eastAsia="zh-CN"/>
        </w:rPr>
        <w:t>7</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"_Toc104405086" </w:instrText>
      </w:r>
      <w:r>
        <w:fldChar w:fldCharType="separate"/>
      </w:r>
      <w:r>
        <w:rPr>
          <w:rStyle w:val="14"/>
          <w:rFonts w:ascii="宋体" w:hAnsi="宋体" w:cs="Arial"/>
          <w:kern w:val="0"/>
          <w:sz w:val="24"/>
        </w:rPr>
        <w:t>2.资金使用合规性和安全性</w:t>
      </w:r>
      <w:r>
        <w:rPr>
          <w:rFonts w:ascii="宋体" w:hAnsi="宋体"/>
          <w:sz w:val="24"/>
        </w:rPr>
        <w:tab/>
      </w:r>
      <w:r>
        <w:rPr>
          <w:rFonts w:hint="eastAsia" w:ascii="宋体" w:hAnsi="宋体"/>
          <w:sz w:val="24"/>
          <w:lang w:val="en-US" w:eastAsia="zh-CN"/>
        </w:rPr>
        <w:t>8</w:t>
      </w:r>
      <w:r>
        <w:rPr>
          <w:rFonts w:ascii="宋体" w:hAnsi="宋体"/>
          <w:sz w:val="24"/>
        </w:rPr>
        <w:fldChar w:fldCharType="end"/>
      </w:r>
    </w:p>
    <w:p>
      <w:pPr>
        <w:pStyle w:val="5"/>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"_Toc104405087" </w:instrText>
      </w:r>
      <w:r>
        <w:fldChar w:fldCharType="separate"/>
      </w:r>
      <w:r>
        <w:rPr>
          <w:rStyle w:val="14"/>
          <w:rFonts w:ascii="宋体" w:hAnsi="宋体" w:cs="Arial"/>
          <w:kern w:val="0"/>
          <w:sz w:val="24"/>
        </w:rPr>
        <w:t>3.会计基础信息完善性</w:t>
      </w:r>
      <w:r>
        <w:rPr>
          <w:rFonts w:ascii="宋体" w:hAnsi="宋体"/>
          <w:sz w:val="24"/>
        </w:rPr>
        <w:tab/>
      </w:r>
      <w:r>
        <w:rPr>
          <w:rFonts w:hint="eastAsia" w:ascii="宋体" w:hAnsi="宋体"/>
          <w:sz w:val="24"/>
          <w:lang w:val="en-US" w:eastAsia="zh-CN"/>
        </w:rPr>
        <w:t>8</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"_Toc104405088" </w:instrText>
      </w:r>
      <w:r>
        <w:fldChar w:fldCharType="separate"/>
      </w:r>
      <w:r>
        <w:rPr>
          <w:rStyle w:val="14"/>
          <w:rFonts w:ascii="宋体" w:hAnsi="宋体" w:cs="Arial"/>
          <w:sz w:val="24"/>
        </w:rPr>
        <w:t>（二）资产管理</w:t>
      </w:r>
      <w:r>
        <w:rPr>
          <w:rFonts w:ascii="宋体" w:hAnsi="宋体"/>
          <w:sz w:val="24"/>
        </w:rPr>
        <w:tab/>
      </w:r>
      <w:r>
        <w:rPr>
          <w:rFonts w:hint="eastAsia" w:ascii="宋体" w:hAnsi="宋体"/>
          <w:sz w:val="24"/>
          <w:lang w:val="en-US" w:eastAsia="zh-CN"/>
        </w:rPr>
        <w:t>8</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"_Toc104405089" </w:instrText>
      </w:r>
      <w:r>
        <w:fldChar w:fldCharType="separate"/>
      </w:r>
      <w:r>
        <w:rPr>
          <w:rStyle w:val="14"/>
          <w:rFonts w:ascii="宋体" w:hAnsi="宋体" w:cs="Arial"/>
          <w:sz w:val="24"/>
        </w:rPr>
        <w:t>（三）绩效管理</w:t>
      </w:r>
      <w:r>
        <w:rPr>
          <w:rFonts w:ascii="宋体" w:hAnsi="宋体"/>
          <w:sz w:val="24"/>
        </w:rPr>
        <w:tab/>
      </w:r>
      <w:r>
        <w:rPr>
          <w:rFonts w:hint="eastAsia" w:ascii="宋体" w:hAnsi="宋体"/>
          <w:sz w:val="24"/>
          <w:lang w:val="en-US" w:eastAsia="zh-CN"/>
        </w:rPr>
        <w:t>9</w:t>
      </w:r>
      <w:r>
        <w:rPr>
          <w:rFonts w:ascii="宋体" w:hAnsi="宋体"/>
          <w:sz w:val="24"/>
        </w:rPr>
        <w:fldChar w:fldCharType="end"/>
      </w:r>
    </w:p>
    <w:p>
      <w:pPr>
        <w:pStyle w:val="9"/>
        <w:tabs>
          <w:tab w:val="right" w:leader="dot" w:pos="8834"/>
        </w:tabs>
        <w:adjustRightInd w:val="0"/>
        <w:snapToGrid w:val="0"/>
        <w:spacing w:line="400" w:lineRule="exact"/>
        <w:rPr>
          <w:rFonts w:ascii="宋体" w:hAnsi="宋体" w:cstheme="minorBidi"/>
          <w:sz w:val="24"/>
        </w:rPr>
      </w:pPr>
      <w:r>
        <w:fldChar w:fldCharType="begin"/>
      </w:r>
      <w:r>
        <w:instrText xml:space="preserve"> HYPERLINK \l "_Toc104405090" </w:instrText>
      </w:r>
      <w:r>
        <w:fldChar w:fldCharType="separate"/>
      </w:r>
      <w:r>
        <w:rPr>
          <w:rStyle w:val="14"/>
          <w:rFonts w:ascii="宋体" w:hAnsi="宋体" w:cs="Arial"/>
          <w:sz w:val="24"/>
        </w:rPr>
        <w:t>1．绩效管理组织机构</w:t>
      </w:r>
      <w:r>
        <w:rPr>
          <w:rFonts w:ascii="宋体" w:hAnsi="宋体"/>
          <w:sz w:val="24"/>
        </w:rPr>
        <w:tab/>
      </w:r>
      <w:r>
        <w:rPr>
          <w:rFonts w:hint="eastAsia" w:ascii="宋体" w:hAnsi="宋体"/>
          <w:sz w:val="24"/>
          <w:lang w:val="en-US" w:eastAsia="zh-CN"/>
        </w:rPr>
        <w:t>9</w:t>
      </w:r>
      <w:r>
        <w:rPr>
          <w:rFonts w:ascii="宋体" w:hAnsi="宋体"/>
          <w:sz w:val="24"/>
        </w:rPr>
        <w:fldChar w:fldCharType="end"/>
      </w:r>
    </w:p>
    <w:p>
      <w:pPr>
        <w:pStyle w:val="9"/>
        <w:tabs>
          <w:tab w:val="right" w:leader="dot" w:pos="8834"/>
        </w:tabs>
        <w:adjustRightInd w:val="0"/>
        <w:snapToGrid w:val="0"/>
        <w:spacing w:line="400" w:lineRule="exact"/>
        <w:rPr>
          <w:rFonts w:hint="eastAsia" w:ascii="宋体" w:hAnsi="宋体" w:eastAsia="宋体" w:cstheme="minorBidi"/>
          <w:sz w:val="24"/>
          <w:lang w:val="en-US" w:eastAsia="zh-CN"/>
        </w:rPr>
      </w:pPr>
      <w:r>
        <w:fldChar w:fldCharType="begin"/>
      </w:r>
      <w:r>
        <w:instrText xml:space="preserve"> HYPERLINK \l "_Toc104405091" </w:instrText>
      </w:r>
      <w:r>
        <w:fldChar w:fldCharType="separate"/>
      </w:r>
      <w:r>
        <w:rPr>
          <w:rStyle w:val="14"/>
          <w:rFonts w:ascii="宋体" w:hAnsi="宋体" w:cs="Arial"/>
          <w:sz w:val="24"/>
        </w:rPr>
        <w:t>2．绩效信息收集</w:t>
      </w:r>
      <w:r>
        <w:rPr>
          <w:rFonts w:ascii="宋体" w:hAnsi="宋体"/>
          <w:sz w:val="24"/>
        </w:rPr>
        <w:tab/>
      </w:r>
      <w:r>
        <w:rPr>
          <w:rFonts w:hint="eastAsia" w:ascii="宋体" w:hAnsi="宋体"/>
          <w:sz w:val="24"/>
          <w:lang w:val="en-US" w:eastAsia="zh-CN"/>
        </w:rPr>
        <w:t>1</w:t>
      </w:r>
      <w:r>
        <w:rPr>
          <w:rFonts w:ascii="宋体" w:hAnsi="宋体"/>
          <w:sz w:val="24"/>
        </w:rPr>
        <w:fldChar w:fldCharType="end"/>
      </w:r>
      <w:r>
        <w:rPr>
          <w:rFonts w:hint="eastAsia" w:ascii="宋体" w:hAnsi="宋体"/>
          <w:sz w:val="24"/>
          <w:lang w:val="en-US" w:eastAsia="zh-CN"/>
        </w:rPr>
        <w:t>0</w:t>
      </w:r>
    </w:p>
    <w:p>
      <w:pPr>
        <w:pStyle w:val="9"/>
        <w:tabs>
          <w:tab w:val="right" w:leader="dot" w:pos="8834"/>
        </w:tabs>
        <w:adjustRightInd w:val="0"/>
        <w:snapToGrid w:val="0"/>
        <w:spacing w:line="400" w:lineRule="exact"/>
        <w:rPr>
          <w:rFonts w:hint="eastAsia" w:ascii="宋体" w:hAnsi="宋体" w:eastAsia="宋体" w:cstheme="minorBidi"/>
          <w:sz w:val="24"/>
          <w:lang w:val="en-US" w:eastAsia="zh-CN"/>
        </w:rPr>
      </w:pPr>
      <w:r>
        <w:fldChar w:fldCharType="begin"/>
      </w:r>
      <w:r>
        <w:instrText xml:space="preserve"> HYPERLINK \l "_Toc104405092" </w:instrText>
      </w:r>
      <w:r>
        <w:fldChar w:fldCharType="separate"/>
      </w:r>
      <w:r>
        <w:rPr>
          <w:rStyle w:val="14"/>
          <w:rFonts w:ascii="宋体" w:hAnsi="宋体" w:cs="Arial"/>
          <w:sz w:val="24"/>
        </w:rPr>
        <w:t>（四）结转结余率</w:t>
      </w:r>
      <w:r>
        <w:rPr>
          <w:rFonts w:ascii="宋体" w:hAnsi="宋体"/>
          <w:sz w:val="24"/>
        </w:rPr>
        <w:tab/>
      </w:r>
      <w:r>
        <w:rPr>
          <w:rFonts w:hint="eastAsia" w:ascii="宋体" w:hAnsi="宋体"/>
          <w:sz w:val="24"/>
          <w:lang w:val="en-US" w:eastAsia="zh-CN"/>
        </w:rPr>
        <w:t>1</w:t>
      </w:r>
      <w:r>
        <w:rPr>
          <w:rFonts w:ascii="宋体" w:hAnsi="宋体"/>
          <w:sz w:val="24"/>
        </w:rPr>
        <w:fldChar w:fldCharType="end"/>
      </w:r>
      <w:r>
        <w:rPr>
          <w:rFonts w:hint="eastAsia" w:ascii="宋体" w:hAnsi="宋体"/>
          <w:sz w:val="24"/>
          <w:lang w:val="en-US" w:eastAsia="zh-CN"/>
        </w:rPr>
        <w:t>0</w:t>
      </w:r>
    </w:p>
    <w:p>
      <w:pPr>
        <w:pStyle w:val="9"/>
        <w:tabs>
          <w:tab w:val="right" w:leader="dot" w:pos="8834"/>
        </w:tabs>
        <w:adjustRightInd w:val="0"/>
        <w:snapToGrid w:val="0"/>
        <w:spacing w:line="400" w:lineRule="exact"/>
        <w:rPr>
          <w:rFonts w:hint="eastAsia" w:ascii="宋体" w:hAnsi="宋体" w:eastAsia="宋体" w:cstheme="minorBidi"/>
          <w:sz w:val="24"/>
          <w:lang w:val="en-US" w:eastAsia="zh-CN"/>
        </w:rPr>
      </w:pPr>
      <w:r>
        <w:fldChar w:fldCharType="begin"/>
      </w:r>
      <w:r>
        <w:instrText xml:space="preserve"> HYPERLINK \l "_Toc104405093" </w:instrText>
      </w:r>
      <w:r>
        <w:fldChar w:fldCharType="separate"/>
      </w:r>
      <w:r>
        <w:rPr>
          <w:rStyle w:val="14"/>
          <w:rFonts w:ascii="宋体" w:hAnsi="宋体" w:cs="Arial"/>
          <w:sz w:val="24"/>
        </w:rPr>
        <w:t>（五）部门预决算差异率</w:t>
      </w:r>
      <w:r>
        <w:rPr>
          <w:rFonts w:ascii="宋体" w:hAnsi="宋体"/>
          <w:sz w:val="24"/>
        </w:rPr>
        <w:tab/>
      </w:r>
      <w:r>
        <w:rPr>
          <w:rFonts w:hint="eastAsia" w:ascii="宋体" w:hAnsi="宋体"/>
          <w:sz w:val="24"/>
          <w:lang w:val="en-US" w:eastAsia="zh-CN"/>
        </w:rPr>
        <w:t>1</w:t>
      </w:r>
      <w:r>
        <w:rPr>
          <w:rFonts w:ascii="宋体" w:hAnsi="宋体"/>
          <w:sz w:val="24"/>
        </w:rPr>
        <w:fldChar w:fldCharType="end"/>
      </w:r>
      <w:r>
        <w:rPr>
          <w:rFonts w:hint="eastAsia" w:ascii="宋体" w:hAnsi="宋体"/>
          <w:sz w:val="24"/>
          <w:lang w:val="en-US" w:eastAsia="zh-CN"/>
        </w:rPr>
        <w:t>0</w:t>
      </w:r>
    </w:p>
    <w:p>
      <w:pPr>
        <w:pStyle w:val="8"/>
        <w:spacing w:line="400" w:lineRule="exact"/>
        <w:rPr>
          <w:rFonts w:hint="eastAsia" w:ascii="宋体" w:hAnsi="宋体" w:eastAsia="宋体" w:cstheme="minorBidi"/>
          <w:sz w:val="24"/>
          <w:lang w:val="en-US" w:eastAsia="zh-CN"/>
        </w:rPr>
      </w:pPr>
      <w:r>
        <w:fldChar w:fldCharType="begin"/>
      </w:r>
      <w:r>
        <w:instrText xml:space="preserve"> HYPERLINK \l "_Toc104405094" </w:instrText>
      </w:r>
      <w:r>
        <w:fldChar w:fldCharType="separate"/>
      </w:r>
      <w:r>
        <w:rPr>
          <w:rStyle w:val="14"/>
          <w:rFonts w:ascii="宋体" w:hAnsi="宋体" w:cs="Arial"/>
          <w:sz w:val="24"/>
        </w:rPr>
        <w:t>五、总体评价结论</w:t>
      </w:r>
      <w:r>
        <w:rPr>
          <w:rFonts w:ascii="宋体" w:hAnsi="宋体"/>
          <w:sz w:val="24"/>
        </w:rPr>
        <w:tab/>
      </w:r>
      <w:r>
        <w:rPr>
          <w:rFonts w:hint="eastAsia" w:ascii="宋体" w:hAnsi="宋体"/>
          <w:sz w:val="24"/>
          <w:lang w:val="en-US" w:eastAsia="zh-CN"/>
        </w:rPr>
        <w:t>1</w:t>
      </w:r>
      <w:r>
        <w:rPr>
          <w:rFonts w:ascii="宋体" w:hAnsi="宋体"/>
          <w:sz w:val="24"/>
        </w:rPr>
        <w:fldChar w:fldCharType="end"/>
      </w:r>
      <w:r>
        <w:rPr>
          <w:rFonts w:hint="eastAsia" w:ascii="宋体" w:hAnsi="宋体"/>
          <w:sz w:val="24"/>
          <w:lang w:val="en-US" w:eastAsia="zh-CN"/>
        </w:rPr>
        <w:t>1</w:t>
      </w:r>
    </w:p>
    <w:p>
      <w:pPr>
        <w:pStyle w:val="9"/>
        <w:tabs>
          <w:tab w:val="right" w:leader="dot" w:pos="8834"/>
        </w:tabs>
        <w:adjustRightInd w:val="0"/>
        <w:snapToGrid w:val="0"/>
        <w:spacing w:line="400" w:lineRule="exact"/>
        <w:rPr>
          <w:rFonts w:hint="default" w:ascii="宋体" w:hAnsi="宋体" w:eastAsia="宋体" w:cstheme="minorBidi"/>
          <w:sz w:val="24"/>
          <w:lang w:val="en-US" w:eastAsia="zh-CN"/>
        </w:rPr>
      </w:pPr>
      <w:r>
        <w:fldChar w:fldCharType="begin"/>
      </w:r>
      <w:r>
        <w:instrText xml:space="preserve"> HYPERLINK \l "_Toc104405095" </w:instrText>
      </w:r>
      <w:r>
        <w:fldChar w:fldCharType="separate"/>
      </w:r>
      <w:r>
        <w:rPr>
          <w:rStyle w:val="14"/>
          <w:rFonts w:ascii="宋体" w:hAnsi="宋体" w:cs="Arial"/>
          <w:sz w:val="24"/>
        </w:rPr>
        <w:t>（一）评价得分情况</w:t>
      </w:r>
      <w:r>
        <w:rPr>
          <w:rFonts w:ascii="宋体" w:hAnsi="宋体"/>
          <w:sz w:val="24"/>
        </w:rPr>
        <w:tab/>
      </w:r>
      <w:r>
        <w:rPr>
          <w:rFonts w:hint="eastAsia" w:ascii="宋体" w:hAnsi="宋体"/>
          <w:sz w:val="24"/>
          <w:lang w:val="en-US" w:eastAsia="zh-CN"/>
        </w:rPr>
        <w:t>1</w:t>
      </w:r>
      <w:r>
        <w:rPr>
          <w:rFonts w:ascii="宋体" w:hAnsi="宋体"/>
          <w:sz w:val="24"/>
        </w:rPr>
        <w:fldChar w:fldCharType="end"/>
      </w:r>
      <w:r>
        <w:rPr>
          <w:rFonts w:hint="eastAsia" w:ascii="宋体" w:hAnsi="宋体"/>
          <w:sz w:val="24"/>
          <w:lang w:val="en-US" w:eastAsia="zh-CN"/>
        </w:rPr>
        <w:t>1</w:t>
      </w:r>
    </w:p>
    <w:p>
      <w:pPr>
        <w:pStyle w:val="9"/>
        <w:tabs>
          <w:tab w:val="right" w:leader="dot" w:pos="8834"/>
        </w:tabs>
        <w:adjustRightInd w:val="0"/>
        <w:snapToGrid w:val="0"/>
        <w:spacing w:line="400" w:lineRule="exact"/>
        <w:rPr>
          <w:rFonts w:hint="eastAsia" w:ascii="宋体" w:hAnsi="宋体" w:eastAsia="宋体" w:cstheme="minorBidi"/>
          <w:sz w:val="24"/>
          <w:lang w:val="en-US" w:eastAsia="zh-CN"/>
        </w:rPr>
      </w:pPr>
      <w:r>
        <w:fldChar w:fldCharType="begin"/>
      </w:r>
      <w:r>
        <w:instrText xml:space="preserve"> HYPERLINK \l "_Toc104405096" </w:instrText>
      </w:r>
      <w:r>
        <w:fldChar w:fldCharType="separate"/>
      </w:r>
      <w:r>
        <w:rPr>
          <w:rStyle w:val="14"/>
          <w:rFonts w:ascii="宋体" w:hAnsi="宋体" w:cs="Arial"/>
          <w:sz w:val="24"/>
        </w:rPr>
        <w:t>（二）存在的问题及原因分析</w:t>
      </w:r>
      <w:r>
        <w:rPr>
          <w:rFonts w:ascii="宋体" w:hAnsi="宋体"/>
          <w:sz w:val="24"/>
        </w:rPr>
        <w:tab/>
      </w:r>
      <w:r>
        <w:rPr>
          <w:rFonts w:hint="eastAsia" w:ascii="宋体" w:hAnsi="宋体"/>
          <w:sz w:val="24"/>
          <w:lang w:val="en-US" w:eastAsia="zh-CN"/>
        </w:rPr>
        <w:t>1</w:t>
      </w:r>
      <w:r>
        <w:rPr>
          <w:rFonts w:ascii="宋体" w:hAnsi="宋体"/>
          <w:sz w:val="24"/>
        </w:rPr>
        <w:fldChar w:fldCharType="end"/>
      </w:r>
      <w:r>
        <w:rPr>
          <w:rFonts w:hint="eastAsia" w:ascii="宋体" w:hAnsi="宋体"/>
          <w:sz w:val="24"/>
          <w:lang w:val="en-US" w:eastAsia="zh-CN"/>
        </w:rPr>
        <w:t>1</w:t>
      </w:r>
    </w:p>
    <w:p>
      <w:pPr>
        <w:pStyle w:val="8"/>
        <w:spacing w:line="400" w:lineRule="exact"/>
        <w:rPr>
          <w:rStyle w:val="14"/>
          <w:rFonts w:ascii="宋体" w:hAnsi="宋体"/>
          <w:sz w:val="24"/>
        </w:rPr>
        <w:sectPr>
          <w:footerReference r:id="rId3" w:type="default"/>
          <w:pgSz w:w="11906" w:h="16838"/>
          <w:pgMar w:top="1911" w:right="1474" w:bottom="1882" w:left="1588" w:header="851" w:footer="1531" w:gutter="0"/>
          <w:pgNumType w:start="1"/>
          <w:cols w:space="425" w:num="1"/>
          <w:docGrid w:type="lines" w:linePitch="312" w:charSpace="0"/>
        </w:sectPr>
      </w:pPr>
      <w:r>
        <w:fldChar w:fldCharType="begin"/>
      </w:r>
      <w:r>
        <w:instrText xml:space="preserve"> HYPERLINK \l "_Toc104405097" </w:instrText>
      </w:r>
      <w:r>
        <w:fldChar w:fldCharType="separate"/>
      </w:r>
      <w:r>
        <w:rPr>
          <w:rStyle w:val="14"/>
          <w:rFonts w:ascii="宋体" w:hAnsi="宋体" w:cs="Arial"/>
          <w:sz w:val="24"/>
        </w:rPr>
        <w:t>六、措施建议</w:t>
      </w:r>
      <w:r>
        <w:rPr>
          <w:rFonts w:ascii="宋体" w:hAnsi="宋体"/>
          <w:sz w:val="24"/>
        </w:rPr>
        <w:tab/>
      </w:r>
      <w:r>
        <w:rPr>
          <w:rFonts w:ascii="宋体" w:hAnsi="宋体"/>
          <w:sz w:val="24"/>
        </w:rPr>
        <w:fldChar w:fldCharType="begin"/>
      </w:r>
      <w:r>
        <w:rPr>
          <w:rFonts w:ascii="宋体" w:hAnsi="宋体"/>
          <w:sz w:val="24"/>
        </w:rPr>
        <w:instrText xml:space="preserve"> PAGEREF _Toc104405097 \h </w:instrText>
      </w:r>
      <w:r>
        <w:rPr>
          <w:rFonts w:ascii="宋体" w:hAnsi="宋体"/>
          <w:sz w:val="24"/>
        </w:rPr>
        <w:fldChar w:fldCharType="separate"/>
      </w:r>
      <w:r>
        <w:rPr>
          <w:rFonts w:ascii="宋体" w:hAnsi="宋体"/>
          <w:sz w:val="24"/>
        </w:rPr>
        <w:t>1</w:t>
      </w:r>
      <w:r>
        <w:rPr>
          <w:rFonts w:hint="eastAsia" w:ascii="宋体" w:hAnsi="宋体"/>
          <w:sz w:val="24"/>
          <w:lang w:val="en-US" w:eastAsia="zh-CN"/>
        </w:rPr>
        <w:t>2</w:t>
      </w:r>
      <w:r>
        <w:rPr>
          <w:rFonts w:ascii="宋体" w:hAnsi="宋体"/>
          <w:sz w:val="24"/>
        </w:rPr>
        <w:fldChar w:fldCharType="end"/>
      </w:r>
      <w:r>
        <w:rPr>
          <w:rFonts w:ascii="宋体" w:hAnsi="宋体"/>
          <w:sz w:val="24"/>
        </w:rPr>
        <w:fldChar w:fldCharType="end"/>
      </w:r>
      <w:bookmarkStart w:id="43" w:name="_GoBack"/>
      <w:bookmarkEnd w:id="43"/>
      <w:r>
        <w:rPr>
          <w:rStyle w:val="14"/>
          <w:rFonts w:ascii="宋体" w:hAnsi="宋体"/>
          <w:sz w:val="24"/>
        </w:rPr>
        <w:br w:type="page"/>
      </w:r>
    </w:p>
    <w:p>
      <w:pPr>
        <w:pStyle w:val="8"/>
        <w:spacing w:line="400" w:lineRule="exact"/>
        <w:rPr>
          <w:rStyle w:val="14"/>
          <w:rFonts w:ascii="宋体" w:hAnsi="宋体"/>
          <w:sz w:val="24"/>
        </w:rPr>
      </w:pPr>
    </w:p>
    <w:p/>
    <w:p>
      <w:pPr>
        <w:pStyle w:val="8"/>
        <w:spacing w:line="400" w:lineRule="exact"/>
        <w:rPr>
          <w:rFonts w:ascii="Arial Narrow" w:hAnsi="Arial Narrow" w:eastAsia="方正小标宋简体" w:cs="Arial"/>
          <w:bCs/>
          <w:color w:val="000000"/>
          <w:kern w:val="0"/>
          <w:sz w:val="36"/>
          <w:szCs w:val="36"/>
        </w:rPr>
      </w:pPr>
      <w:r>
        <w:rPr>
          <w:rFonts w:ascii="宋体" w:hAnsi="宋体" w:cs="Arial"/>
          <w:sz w:val="24"/>
          <w:lang w:val="zh-CN"/>
        </w:rPr>
        <w:fldChar w:fldCharType="end"/>
      </w:r>
      <w:r>
        <w:rPr>
          <w:rFonts w:ascii="Arial Narrow" w:hAnsi="Arial Narrow" w:eastAsia="方正小标宋简体" w:cs="Arial"/>
          <w:bCs/>
          <w:color w:val="000000"/>
          <w:kern w:val="0"/>
          <w:sz w:val="36"/>
          <w:szCs w:val="36"/>
        </w:rPr>
        <w:t>北京互联网法院</w:t>
      </w:r>
    </w:p>
    <w:p>
      <w:pPr>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2021年部门整体绩效评价报告</w:t>
      </w:r>
    </w:p>
    <w:p>
      <w:pPr>
        <w:rPr>
          <w:rFonts w:ascii="Arial Narrow" w:hAnsi="Arial Narrow" w:cs="Arial"/>
          <w:bCs/>
          <w:sz w:val="36"/>
          <w:szCs w:val="36"/>
        </w:rPr>
      </w:pPr>
    </w:p>
    <w:p>
      <w:pPr>
        <w:pStyle w:val="2"/>
        <w:rPr>
          <w:rFonts w:ascii="Arial Narrow" w:hAnsi="Arial Narrow" w:cs="Arial"/>
        </w:rPr>
      </w:pPr>
      <w:bookmarkStart w:id="0" w:name="_Toc104405069"/>
      <w:bookmarkStart w:id="1" w:name="_Toc169183181"/>
      <w:r>
        <w:rPr>
          <w:rFonts w:ascii="Arial Narrow" w:hAnsi="Arial Narrow" w:cs="Arial"/>
        </w:rPr>
        <w:t>一、部门概况</w:t>
      </w:r>
      <w:bookmarkEnd w:id="0"/>
    </w:p>
    <w:p>
      <w:pPr>
        <w:adjustRightInd w:val="0"/>
        <w:snapToGrid w:val="0"/>
        <w:spacing w:line="360" w:lineRule="auto"/>
        <w:ind w:firstLine="602" w:firstLineChars="200"/>
        <w:outlineLvl w:val="1"/>
        <w:rPr>
          <w:rFonts w:ascii="Arial Narrow" w:hAnsi="Arial Narrow" w:eastAsia="楷体_GB2312" w:cs="Arial"/>
          <w:b/>
          <w:sz w:val="30"/>
          <w:szCs w:val="30"/>
        </w:rPr>
      </w:pPr>
      <w:bookmarkStart w:id="2" w:name="_Toc1388100"/>
      <w:bookmarkStart w:id="3" w:name="_Toc35940450"/>
      <w:bookmarkStart w:id="4" w:name="_Toc104405070"/>
      <w:r>
        <w:rPr>
          <w:rFonts w:ascii="Arial Narrow" w:hAnsi="Arial Narrow" w:eastAsia="楷体_GB2312" w:cs="Arial"/>
          <w:b/>
          <w:sz w:val="30"/>
          <w:szCs w:val="30"/>
        </w:rPr>
        <w:t>（一）</w:t>
      </w:r>
      <w:bookmarkEnd w:id="2"/>
      <w:bookmarkEnd w:id="3"/>
      <w:r>
        <w:rPr>
          <w:rFonts w:ascii="Arial Narrow" w:hAnsi="Arial Narrow" w:eastAsia="楷体_GB2312" w:cs="Arial"/>
          <w:b/>
          <w:sz w:val="30"/>
          <w:szCs w:val="30"/>
        </w:rPr>
        <w:t>机构设置及职责工作任务情况</w:t>
      </w:r>
      <w:bookmarkEnd w:id="4"/>
    </w:p>
    <w:p>
      <w:pPr>
        <w:adjustRightInd w:val="0"/>
        <w:snapToGrid w:val="0"/>
        <w:spacing w:line="360" w:lineRule="auto"/>
        <w:ind w:firstLine="640" w:firstLineChars="200"/>
        <w:rPr>
          <w:rFonts w:ascii="Arial Narrow" w:hAnsi="Arial Narrow" w:eastAsia="仿宋_GB2312" w:cs="Arial"/>
          <w:sz w:val="32"/>
          <w:szCs w:val="32"/>
        </w:rPr>
      </w:pPr>
      <w:bookmarkStart w:id="5" w:name="_Hlk104407637"/>
      <w:r>
        <w:rPr>
          <w:rFonts w:ascii="Arial Narrow" w:hAnsi="Arial Narrow" w:eastAsia="仿宋_GB2312" w:cs="Arial"/>
          <w:sz w:val="32"/>
          <w:szCs w:val="32"/>
        </w:rPr>
        <w:t>北京互联网法院成立于2018年9月9日，根据最高人民法院关于互联网法院审理案件司法解释的规定，北京互联网法院集中管辖北京市辖区内应当由基层人民法院受理的第一审特定类型互联网案件，主要包括网络购物合同、互联网金融借款合同、著作权权属及侵权纠纷等十一类涉互联网第一审民事、商事、知识产权、行政案件。法院按照“网上案件网上审理”的基本思路，通过全流程一体化在线服务平台，实现案件起诉、调解、立案、送达、庭审、宣判、执行、上诉等诉讼环节的在线进行，切实做到高效便民，切实提高审判质效，从而推动我国科技强国战略的实施和网络空间治理的法治化进程。</w:t>
      </w:r>
    </w:p>
    <w:p>
      <w:pPr>
        <w:adjustRightInd w:val="0"/>
        <w:snapToGrid w:val="0"/>
        <w:spacing w:line="360" w:lineRule="auto"/>
        <w:ind w:firstLine="640" w:firstLineChars="200"/>
        <w:textAlignment w:val="baseline"/>
        <w:rPr>
          <w:rFonts w:ascii="Arial Narrow" w:hAnsi="Arial Narrow" w:eastAsia="仿宋_GB2312" w:cs="Arial"/>
          <w:sz w:val="32"/>
          <w:szCs w:val="32"/>
        </w:rPr>
      </w:pPr>
      <w:r>
        <w:rPr>
          <w:rFonts w:ascii="Arial Narrow" w:hAnsi="Arial Narrow" w:eastAsia="仿宋_GB2312" w:cs="Arial"/>
          <w:sz w:val="32"/>
          <w:szCs w:val="32"/>
        </w:rPr>
        <w:t>2018年8月9日，最高人民法院印发《关于增设北京互联网法院、广州互联网法院的方案》的通知，并明确要求应于2018年9月底前完成北京互联网法院的具体组建和正式挂牌工作。</w:t>
      </w:r>
    </w:p>
    <w:p>
      <w:pPr>
        <w:adjustRightInd w:val="0"/>
        <w:snapToGrid w:val="0"/>
        <w:spacing w:line="360" w:lineRule="auto"/>
        <w:ind w:firstLine="640" w:firstLineChars="200"/>
        <w:textAlignment w:val="baseline"/>
        <w:rPr>
          <w:rFonts w:ascii="Arial Narrow" w:hAnsi="Arial Narrow" w:eastAsia="仿宋_GB2312" w:cs="Arial"/>
          <w:sz w:val="32"/>
          <w:szCs w:val="32"/>
        </w:rPr>
      </w:pPr>
      <w:r>
        <w:rPr>
          <w:rFonts w:ascii="Arial Narrow" w:hAnsi="Arial Narrow" w:eastAsia="仿宋_GB2312" w:cs="Arial"/>
          <w:sz w:val="32"/>
          <w:szCs w:val="32"/>
        </w:rPr>
        <w:t>2018年9月6日，最高人民法院公布了《关于互联网法院审理案件若干问题的规定》，确定互联网法院的管辖范围和上诉机制和在线审理机制运行规则，规范了适应互联网法院全程在线的诉讼模式，结合审判实际对在线诉讼中如何正确适用民事诉讼法作出规定，为互联网法院依法办理案件设定规则边界和探索空间，有利于将互联网法院打造为推动审理方式、诉讼规则与互联网技术深度融合的司法实践平台。</w:t>
      </w:r>
    </w:p>
    <w:p>
      <w:pPr>
        <w:adjustRightInd w:val="0"/>
        <w:snapToGrid w:val="0"/>
        <w:spacing w:line="360" w:lineRule="auto"/>
        <w:ind w:firstLine="640" w:firstLineChars="200"/>
        <w:textAlignment w:val="baseline"/>
        <w:rPr>
          <w:rFonts w:ascii="Arial Narrow" w:hAnsi="Arial Narrow" w:eastAsia="仿宋_GB2312" w:cs="Arial"/>
          <w:sz w:val="32"/>
          <w:szCs w:val="32"/>
        </w:rPr>
      </w:pPr>
      <w:r>
        <w:rPr>
          <w:rFonts w:ascii="Arial Narrow" w:hAnsi="Arial Narrow" w:eastAsia="仿宋_GB2312" w:cs="Arial"/>
          <w:sz w:val="32"/>
          <w:szCs w:val="32"/>
        </w:rPr>
        <w:t>北京互联网法院集中管辖北京市辖区内应当由基层人民法院受理的第一审网络购物合同、网络服务合同、金融借款合同纠纷、小额借款合同等特定类型互联网案件。</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北京互联网法院主体性质为行政单位，单位编制人数130人，实有人数124人。北京互联网法院内设机构8个，1个立案庭（诉讼服务中心），3个综合审判庭，1个执行局，1个审判管理办公室（研究室），1个政治部（机关党委），1个综合办公室（司法警察大队）。</w:t>
      </w:r>
    </w:p>
    <w:bookmarkEnd w:id="5"/>
    <w:p>
      <w:pPr>
        <w:adjustRightInd w:val="0"/>
        <w:snapToGrid w:val="0"/>
        <w:spacing w:line="360" w:lineRule="auto"/>
        <w:ind w:firstLine="602" w:firstLineChars="200"/>
        <w:outlineLvl w:val="1"/>
        <w:rPr>
          <w:rFonts w:ascii="Arial Narrow" w:hAnsi="Arial Narrow" w:eastAsia="楷体_GB2312" w:cs="Arial"/>
          <w:b/>
          <w:bCs/>
          <w:sz w:val="30"/>
          <w:szCs w:val="30"/>
        </w:rPr>
      </w:pPr>
      <w:bookmarkStart w:id="6" w:name="_Toc1388101"/>
      <w:bookmarkStart w:id="7" w:name="_Toc35940451"/>
      <w:bookmarkStart w:id="8" w:name="_Toc104405071"/>
      <w:r>
        <w:rPr>
          <w:rFonts w:ascii="Arial Narrow" w:hAnsi="Arial Narrow" w:eastAsia="楷体_GB2312" w:cs="Arial"/>
          <w:b/>
          <w:sz w:val="30"/>
          <w:szCs w:val="30"/>
        </w:rPr>
        <w:t>（二）</w:t>
      </w:r>
      <w:bookmarkEnd w:id="6"/>
      <w:bookmarkEnd w:id="7"/>
      <w:r>
        <w:rPr>
          <w:rFonts w:ascii="Arial Narrow" w:hAnsi="Arial Narrow" w:eastAsia="楷体_GB2312" w:cs="Arial"/>
          <w:b/>
          <w:sz w:val="30"/>
          <w:szCs w:val="30"/>
        </w:rPr>
        <w:t>部门整体绩效目标设立情况</w:t>
      </w:r>
      <w:bookmarkEnd w:id="8"/>
    </w:p>
    <w:p>
      <w:pPr>
        <w:adjustRightInd w:val="0"/>
        <w:snapToGrid w:val="0"/>
        <w:spacing w:line="360" w:lineRule="auto"/>
        <w:ind w:firstLine="642" w:firstLineChars="200"/>
        <w:rPr>
          <w:rFonts w:ascii="Arial Narrow" w:hAnsi="Arial Narrow" w:eastAsia="仿宋_GB2312" w:cs="Arial"/>
          <w:b/>
          <w:sz w:val="32"/>
          <w:szCs w:val="32"/>
        </w:rPr>
      </w:pPr>
      <w:bookmarkStart w:id="9" w:name="_Toc536635280"/>
      <w:bookmarkStart w:id="10" w:name="_Toc520819470"/>
      <w:bookmarkStart w:id="11" w:name="_Toc35940452"/>
      <w:bookmarkStart w:id="12" w:name="_Toc536635216"/>
      <w:bookmarkStart w:id="13" w:name="_Toc1388102"/>
      <w:r>
        <w:rPr>
          <w:rFonts w:ascii="Arial Narrow" w:hAnsi="Arial Narrow" w:eastAsia="仿宋_GB2312" w:cs="Arial"/>
          <w:b/>
          <w:sz w:val="32"/>
          <w:szCs w:val="32"/>
        </w:rPr>
        <w:t>1</w:t>
      </w:r>
      <w:bookmarkEnd w:id="9"/>
      <w:bookmarkEnd w:id="10"/>
      <w:bookmarkEnd w:id="11"/>
      <w:bookmarkEnd w:id="12"/>
      <w:bookmarkEnd w:id="13"/>
      <w:r>
        <w:rPr>
          <w:rFonts w:ascii="Arial Narrow" w:hAnsi="Arial Narrow" w:eastAsia="仿宋_GB2312" w:cs="Arial"/>
          <w:b/>
          <w:sz w:val="32"/>
          <w:szCs w:val="32"/>
        </w:rPr>
        <w:t>、</w:t>
      </w:r>
      <w:r>
        <w:rPr>
          <w:rFonts w:ascii="Arial Narrow" w:hAnsi="Arial Narrow" w:eastAsia="楷体_GB2312" w:cs="Arial"/>
          <w:b/>
          <w:sz w:val="30"/>
          <w:szCs w:val="30"/>
        </w:rPr>
        <w:t>部门整体绩效目标及设立依据</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 xml:space="preserve"> 2021年，北京互联网法院部门整体支出的绩效目标为：深入学习贯彻落实党的十九大精神，以习近平新时代中国特色社会主义思想为指引，在最高人民法院指导下构建新型互联网案件诉讼程序和司法规则，推进网络空间治理法治化的法院。北京互联网法院将集中管辖全市辖区内特定类型涉互联网第一审案件，探索建立与互联网时代相适应的审判模式，推动起诉、调解、立案、庭审、判决、执行等诉讼环节全程网络化。</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为全面推进预算绩效管理工作，顺利完成确保预算绩效管理工作有序、高效推进，北京互联网法院整体支出绩效目标的设立主要是根据北京市财政局部门支出绩效管理工作要求，按照《中华人民共和国预算法》、《中共北京市委 北京市人民政府关于全面实施预算绩效管理的实施意见》(京发〔2019〕12号)、《北京市预算绩效目标管理办法》的要求和规定，制定了2021年度部门整体绩效目标，与职责相关性较强。</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2、</w:t>
      </w:r>
      <w:r>
        <w:rPr>
          <w:rFonts w:ascii="Arial Narrow" w:hAnsi="Arial Narrow" w:eastAsia="楷体_GB2312" w:cs="Arial"/>
          <w:b/>
          <w:sz w:val="30"/>
          <w:szCs w:val="30"/>
        </w:rPr>
        <w:t>目标与职责任务匹配情况、目标合理性</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 xml:space="preserve">北京互联网法院部门围绕部门职责制定了2021年度工作计划，设立了部门整体绩效目标，具有较为详尽的工作计划，年度工作目标与部门职能的适应。2021年初，北京互联网法院及时填报绩效目标申报表，包括信息化运维费、租赁费等11个预算项目的绩效目标申报表，整体预算支出包括基本经费及项目经费内容，整体绩效目标与法院职责任务匹配度高，设定的目标合理，具备可实现性。 </w:t>
      </w:r>
    </w:p>
    <w:p>
      <w:pPr>
        <w:pStyle w:val="2"/>
        <w:rPr>
          <w:rFonts w:ascii="Arial Narrow" w:hAnsi="Arial Narrow" w:cs="Arial"/>
        </w:rPr>
      </w:pPr>
      <w:bookmarkStart w:id="14" w:name="_Toc104405072"/>
      <w:r>
        <w:rPr>
          <w:rFonts w:ascii="Arial Narrow" w:hAnsi="Arial Narrow" w:cs="Arial"/>
        </w:rPr>
        <w:t>二、当年预算执行情况</w:t>
      </w:r>
      <w:bookmarkEnd w:id="14"/>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2021年年初，北京市财政局批复北京互联网法院部门收入预算13,438.31万元(批复文件号：京财公检法指[2021]936号)，其中：财政拨款13,433.31万元，其他收入5.00万元，继续使用的财政性结转资金512.65万元。</w:t>
      </w:r>
    </w:p>
    <w:p>
      <w:pPr>
        <w:adjustRightInd w:val="0"/>
        <w:snapToGrid w:val="0"/>
        <w:spacing w:line="360" w:lineRule="auto"/>
        <w:ind w:firstLine="400"/>
        <w:jc w:val="left"/>
        <w:rPr>
          <w:rFonts w:ascii="Arial Narrow" w:hAnsi="Arial Narrow" w:eastAsia="仿宋_GB2312" w:cs="Arial"/>
          <w:sz w:val="32"/>
          <w:szCs w:val="32"/>
        </w:rPr>
      </w:pPr>
      <w:r>
        <w:rPr>
          <w:rFonts w:ascii="Arial Narrow" w:hAnsi="Arial Narrow" w:eastAsia="仿宋_GB2312" w:cs="Arial"/>
          <w:sz w:val="32"/>
          <w:szCs w:val="32"/>
        </w:rPr>
        <w:t>2021年经调整后的全年预算数16,714.01万元，其中，基本支出预算数6,952.68万元，项目支出预算数9,761.33万元，其他支出预算数0.00万元。资金总体支出13,976.60万元，其中，基本支出6,570.20万元，项目支出7,406.39万元，其他支出0.00万元；2021年整体支出预算执行率为83.62%；2021年末结转结余2,737.41万元。</w:t>
      </w:r>
    </w:p>
    <w:p>
      <w:pPr>
        <w:pStyle w:val="2"/>
        <w:rPr>
          <w:rFonts w:ascii="Arial Narrow" w:hAnsi="Arial Narrow" w:cs="Arial"/>
        </w:rPr>
      </w:pPr>
      <w:bookmarkStart w:id="15" w:name="_Toc104405073"/>
      <w:r>
        <w:rPr>
          <w:rFonts w:ascii="Arial Narrow" w:hAnsi="Arial Narrow" w:cs="Arial"/>
        </w:rPr>
        <w:t>三、</w:t>
      </w:r>
      <w:bookmarkEnd w:id="1"/>
      <w:r>
        <w:rPr>
          <w:rFonts w:ascii="Arial Narrow" w:hAnsi="Arial Narrow" w:cs="Arial"/>
        </w:rPr>
        <w:t>整体绩效目标实现情况</w:t>
      </w:r>
      <w:bookmarkEnd w:id="15"/>
    </w:p>
    <w:p>
      <w:pPr>
        <w:adjustRightInd w:val="0"/>
        <w:snapToGrid w:val="0"/>
        <w:spacing w:line="360" w:lineRule="auto"/>
        <w:ind w:firstLine="642" w:firstLineChars="200"/>
        <w:outlineLvl w:val="1"/>
        <w:rPr>
          <w:rFonts w:ascii="Arial Narrow" w:hAnsi="Arial Narrow" w:eastAsia="仿宋_GB2312" w:cs="Arial"/>
          <w:b/>
          <w:sz w:val="32"/>
          <w:szCs w:val="32"/>
        </w:rPr>
      </w:pPr>
      <w:bookmarkStart w:id="16" w:name="_Toc104405074"/>
      <w:r>
        <w:rPr>
          <w:rFonts w:ascii="Arial Narrow" w:hAnsi="Arial Narrow" w:eastAsia="仿宋_GB2312" w:cs="Arial"/>
          <w:b/>
          <w:sz w:val="32"/>
          <w:szCs w:val="32"/>
        </w:rPr>
        <w:t>（一）产出完成情况分析</w:t>
      </w:r>
      <w:bookmarkEnd w:id="16"/>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17" w:name="_Toc104405075"/>
      <w:r>
        <w:rPr>
          <w:rFonts w:ascii="Arial Narrow" w:hAnsi="Arial Narrow" w:eastAsia="仿宋_GB2312" w:cs="Arial"/>
          <w:color w:val="000000"/>
          <w:kern w:val="0"/>
          <w:sz w:val="32"/>
          <w:szCs w:val="32"/>
        </w:rPr>
        <w:t>1.产出数量</w:t>
      </w:r>
      <w:bookmarkEnd w:id="17"/>
    </w:p>
    <w:p>
      <w:pPr>
        <w:adjustRightInd w:val="0"/>
        <w:snapToGrid w:val="0"/>
        <w:spacing w:line="360" w:lineRule="auto"/>
        <w:ind w:left="105" w:leftChars="50" w:firstLine="480" w:firstLineChars="150"/>
        <w:rPr>
          <w:rFonts w:ascii="Arial Narrow" w:hAnsi="Arial Narrow" w:eastAsia="仿宋_GB2312" w:cs="Arial"/>
          <w:sz w:val="32"/>
          <w:szCs w:val="32"/>
        </w:rPr>
      </w:pPr>
      <w:r>
        <w:rPr>
          <w:rFonts w:ascii="Arial Narrow" w:hAnsi="Arial Narrow" w:eastAsia="仿宋_GB2312" w:cs="Arial"/>
          <w:sz w:val="32"/>
          <w:szCs w:val="32"/>
        </w:rPr>
        <w:t>2021年1-12月，北京互联网法院新收案件55926件，较2020年增加17796件，同比上涨46.67%，新收案件量排名全市第7名。全年结案46005件，较2020年增加9716件，同比上涨26.77%，结案数排名全市第7。按全院员额法官42人计算，人均结案1095件，排全市法院第一，法官人均结案数为全市平均值的2.7倍。一审文书公开率100%，庭审直播率达29.64%。</w:t>
      </w:r>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18" w:name="_Toc104405076"/>
      <w:r>
        <w:rPr>
          <w:rFonts w:ascii="Arial Narrow" w:hAnsi="Arial Narrow" w:eastAsia="仿宋_GB2312" w:cs="Arial"/>
          <w:color w:val="000000"/>
          <w:kern w:val="0"/>
          <w:sz w:val="32"/>
          <w:szCs w:val="32"/>
        </w:rPr>
        <w:t>2.产出质量</w:t>
      </w:r>
      <w:bookmarkEnd w:id="18"/>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2021年，北京互联网法院坚持以习近平新时代中国特色社会主义思想为指导，深入学习贯彻习近平法治思想、习近平总书记“七一”重要讲话精神，认真贯彻党的十九大和十九届历次全会精神，以党的政治建设为统领，以党史学习教育为牵引，以队伍教育整顿、巡视整改为契机，全面落实寇昉书记关于 “一五四”功能型法院建设思路批示精神，全面从严治党、提升审判质效、服务中心工作、推进司法改革、加强队伍建设等各方面工作稳步发展，在法院全体人员的共同努力下，基本完成了各项绩效目标。</w:t>
      </w:r>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19" w:name="_Toc104405077"/>
      <w:r>
        <w:rPr>
          <w:rFonts w:ascii="Arial Narrow" w:hAnsi="Arial Narrow" w:eastAsia="仿宋_GB2312" w:cs="Arial"/>
          <w:color w:val="000000"/>
          <w:kern w:val="0"/>
          <w:sz w:val="32"/>
          <w:szCs w:val="32"/>
        </w:rPr>
        <w:t>3.产出进度</w:t>
      </w:r>
      <w:bookmarkEnd w:id="19"/>
    </w:p>
    <w:p>
      <w:pPr>
        <w:adjustRightInd w:val="0"/>
        <w:snapToGrid w:val="0"/>
        <w:spacing w:line="360" w:lineRule="auto"/>
        <w:ind w:firstLine="400"/>
        <w:jc w:val="left"/>
        <w:rPr>
          <w:rFonts w:ascii="Arial Narrow" w:hAnsi="Arial Narrow" w:eastAsia="仿宋_GB2312" w:cs="Arial"/>
          <w:sz w:val="32"/>
          <w:szCs w:val="32"/>
        </w:rPr>
      </w:pPr>
      <w:r>
        <w:rPr>
          <w:rFonts w:ascii="Arial Narrow" w:hAnsi="Arial Narrow" w:eastAsia="仿宋_GB2312" w:cs="Arial"/>
          <w:sz w:val="32"/>
          <w:szCs w:val="32"/>
        </w:rPr>
        <w:t>2021年全年预算数16,714.01万元，资金总体支出13,976.60万元，预算执行率为83.62%。</w:t>
      </w:r>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20" w:name="_Toc104405078"/>
      <w:r>
        <w:rPr>
          <w:rFonts w:ascii="Arial Narrow" w:hAnsi="Arial Narrow" w:eastAsia="仿宋_GB2312" w:cs="Arial"/>
          <w:color w:val="000000"/>
          <w:kern w:val="0"/>
          <w:sz w:val="32"/>
          <w:szCs w:val="32"/>
        </w:rPr>
        <w:t>4.产出成本</w:t>
      </w:r>
      <w:bookmarkEnd w:id="20"/>
    </w:p>
    <w:p>
      <w:pPr>
        <w:adjustRightInd w:val="0"/>
        <w:snapToGrid w:val="0"/>
        <w:spacing w:line="360" w:lineRule="auto"/>
        <w:ind w:firstLine="400"/>
        <w:jc w:val="left"/>
        <w:rPr>
          <w:rFonts w:ascii="Arial Narrow" w:hAnsi="Arial Narrow" w:eastAsia="仿宋_GB2312" w:cs="Arial"/>
          <w:sz w:val="32"/>
          <w:szCs w:val="32"/>
        </w:rPr>
      </w:pPr>
      <w:r>
        <w:rPr>
          <w:rFonts w:ascii="Arial Narrow" w:hAnsi="Arial Narrow" w:eastAsia="仿宋_GB2312" w:cs="Arial"/>
          <w:sz w:val="32"/>
          <w:szCs w:val="32"/>
        </w:rPr>
        <w:t xml:space="preserve">北京互联网法院坚持厉行节约，严控“三公”经费支出，确保全院每一项支出都落到实处，在执行部门支出预算时能够将项目成本控制在项目预算范围内，2021年全年预算数16,714.01万元，2021年度决算支出13,976.60万元，比2020年决算支出18,809.48万元减少4,832.88万元,减少25.69%；其中：2021年基本支出6,570.20万元，比2020年5,991.66万元增加578.54万元，增长9.66%；项目支出7,406.39万元,比2020项目支出12,817.82万元减少5,411.43万元，减少42.22%。 </w:t>
      </w:r>
    </w:p>
    <w:p>
      <w:pPr>
        <w:adjustRightInd w:val="0"/>
        <w:snapToGrid w:val="0"/>
        <w:spacing w:line="360" w:lineRule="auto"/>
        <w:ind w:firstLine="642" w:firstLineChars="200"/>
        <w:outlineLvl w:val="1"/>
        <w:rPr>
          <w:rFonts w:ascii="Arial Narrow" w:hAnsi="Arial Narrow" w:eastAsia="仿宋_GB2312" w:cs="Arial"/>
          <w:b/>
          <w:sz w:val="32"/>
          <w:szCs w:val="32"/>
        </w:rPr>
      </w:pPr>
      <w:bookmarkStart w:id="21" w:name="_Toc104405079"/>
      <w:r>
        <w:rPr>
          <w:rFonts w:ascii="Arial Narrow" w:hAnsi="Arial Narrow" w:eastAsia="仿宋_GB2312" w:cs="Arial"/>
          <w:b/>
          <w:sz w:val="32"/>
          <w:szCs w:val="32"/>
        </w:rPr>
        <w:t>（二）效果实现情况分析</w:t>
      </w:r>
      <w:bookmarkEnd w:id="21"/>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22" w:name="_Toc104405080"/>
      <w:r>
        <w:rPr>
          <w:rFonts w:ascii="Arial Narrow" w:hAnsi="Arial Narrow" w:eastAsia="仿宋_GB2312" w:cs="Arial"/>
          <w:color w:val="000000"/>
          <w:kern w:val="0"/>
          <w:sz w:val="32"/>
          <w:szCs w:val="32"/>
        </w:rPr>
        <w:t>1.经济效益</w:t>
      </w:r>
      <w:bookmarkEnd w:id="22"/>
    </w:p>
    <w:p>
      <w:pPr>
        <w:adjustRightInd w:val="0"/>
        <w:snapToGrid w:val="0"/>
        <w:spacing w:line="360" w:lineRule="auto"/>
        <w:ind w:left="220" w:firstLine="420"/>
        <w:rPr>
          <w:rFonts w:ascii="Arial Narrow" w:hAnsi="Arial Narrow" w:eastAsia="仿宋_GB2312" w:cs="Arial"/>
          <w:color w:val="000000"/>
          <w:kern w:val="0"/>
          <w:sz w:val="32"/>
          <w:szCs w:val="32"/>
          <w:highlight w:val="yellow"/>
        </w:rPr>
      </w:pPr>
      <w:r>
        <w:rPr>
          <w:rFonts w:ascii="Arial Narrow" w:hAnsi="Arial Narrow" w:eastAsia="仿宋_GB2312" w:cs="Arial"/>
          <w:color w:val="000000"/>
          <w:sz w:val="32"/>
          <w:szCs w:val="32"/>
        </w:rPr>
        <w:t>2021年北京互联网法院</w:t>
      </w:r>
      <w:r>
        <w:rPr>
          <w:rFonts w:ascii="Arial Narrow" w:hAnsi="Arial Narrow" w:eastAsia="仿宋_GB2312" w:cs="Arial"/>
          <w:color w:val="000000"/>
          <w:kern w:val="0"/>
          <w:sz w:val="32"/>
          <w:szCs w:val="32"/>
        </w:rPr>
        <w:t>坚持厉行节约，严控“三公”经费支出，确保全院每一项支出都落到实处。2021年“三公”经费财政拨款决算数25.39万元，比2021年“三公”经费财政拨款年初预算43.14万元减少17.75万元，差异率41.15%；比2020年决算数63.38万元减少37.99万元，差异率59.94%。</w:t>
      </w:r>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23" w:name="_Toc104405081"/>
      <w:r>
        <w:rPr>
          <w:rFonts w:ascii="Arial Narrow" w:hAnsi="Arial Narrow" w:eastAsia="仿宋_GB2312" w:cs="Arial"/>
          <w:color w:val="000000"/>
          <w:kern w:val="0"/>
          <w:sz w:val="32"/>
          <w:szCs w:val="32"/>
        </w:rPr>
        <w:t>2.社会效益</w:t>
      </w:r>
      <w:bookmarkEnd w:id="23"/>
    </w:p>
    <w:p>
      <w:pPr>
        <w:adjustRightInd w:val="0"/>
        <w:snapToGrid w:val="0"/>
        <w:spacing w:line="360" w:lineRule="auto"/>
        <w:ind w:firstLine="640" w:firstLineChars="200"/>
        <w:rPr>
          <w:rFonts w:ascii="Arial Narrow" w:hAnsi="Arial Narrow" w:eastAsia="仿宋_GB2312" w:cs="Arial"/>
          <w:color w:val="000000"/>
          <w:kern w:val="0"/>
          <w:sz w:val="32"/>
          <w:szCs w:val="32"/>
          <w:highlight w:val="yellow"/>
        </w:rPr>
      </w:pPr>
      <w:r>
        <w:rPr>
          <w:rFonts w:ascii="Arial Narrow" w:hAnsi="Arial Narrow" w:eastAsia="仿宋_GB2312" w:cs="Arial"/>
          <w:sz w:val="32"/>
          <w:szCs w:val="32"/>
        </w:rPr>
        <w:t>2021年，北京互联网法院预算管理比较规范，资金到位足额、及时，管理机构健全，单位建立健全了财务管理制度，通过法院办案业务费、租赁费、安检工作经费、信息化运维费等主要项目的执行，审判工作得到了较好保障，按照“努力让人民群众在每一个司法案件中感受到公平正义”的工作目标，稳中求进抓审判，乘势而上促改革，不断加强法院思想政治建设，不断发挥审判职能作用。</w:t>
      </w:r>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24" w:name="_Toc104405082"/>
      <w:r>
        <w:rPr>
          <w:rFonts w:ascii="Arial Narrow" w:hAnsi="Arial Narrow" w:eastAsia="仿宋_GB2312" w:cs="Arial"/>
          <w:color w:val="000000"/>
          <w:kern w:val="0"/>
          <w:sz w:val="32"/>
          <w:szCs w:val="32"/>
        </w:rPr>
        <w:t>3.可持续性影响</w:t>
      </w:r>
      <w:bookmarkEnd w:id="24"/>
    </w:p>
    <w:p>
      <w:pPr>
        <w:adjustRightInd w:val="0"/>
        <w:snapToGrid w:val="0"/>
        <w:spacing w:line="360" w:lineRule="auto"/>
        <w:ind w:firstLine="640" w:firstLineChars="200"/>
        <w:rPr>
          <w:rFonts w:ascii="Arial Narrow" w:hAnsi="Arial Narrow" w:cs="Arial"/>
        </w:rPr>
      </w:pPr>
      <w:r>
        <w:rPr>
          <w:rFonts w:ascii="Arial Narrow" w:hAnsi="Arial Narrow" w:eastAsia="仿宋_GB2312" w:cs="Arial"/>
          <w:sz w:val="32"/>
          <w:szCs w:val="32"/>
        </w:rPr>
        <w:t>2021年，北京互联网法院</w:t>
      </w:r>
      <w:r>
        <w:rPr>
          <w:rFonts w:ascii="Arial Narrow" w:hAnsi="Arial Narrow" w:eastAsia="仿宋_GB2312" w:cs="Arial"/>
          <w:color w:val="000000"/>
          <w:sz w:val="32"/>
          <w:szCs w:val="32"/>
        </w:rPr>
        <w:t>通过各项职能的有效发挥，为首都长期持续的社会安全稳定提供司法保障，为京津冀一体化协同发展和首都经济社会繁荣稳定贡献了应有力量。</w:t>
      </w:r>
    </w:p>
    <w:p>
      <w:pPr>
        <w:pStyle w:val="2"/>
        <w:rPr>
          <w:rFonts w:ascii="Arial Narrow" w:hAnsi="Arial Narrow" w:cs="Arial"/>
        </w:rPr>
      </w:pPr>
      <w:bookmarkStart w:id="25" w:name="_Toc104405083"/>
      <w:r>
        <w:rPr>
          <w:rFonts w:ascii="Arial Narrow" w:hAnsi="Arial Narrow" w:cs="Arial"/>
        </w:rPr>
        <w:t>四、预算管理情况分析</w:t>
      </w:r>
      <w:bookmarkEnd w:id="25"/>
    </w:p>
    <w:p>
      <w:pPr>
        <w:adjustRightInd w:val="0"/>
        <w:snapToGrid w:val="0"/>
        <w:spacing w:line="360" w:lineRule="auto"/>
        <w:ind w:firstLine="642" w:firstLineChars="200"/>
        <w:outlineLvl w:val="1"/>
        <w:rPr>
          <w:rFonts w:ascii="Arial Narrow" w:hAnsi="Arial Narrow" w:eastAsia="仿宋_GB2312" w:cs="Arial"/>
          <w:b/>
          <w:sz w:val="32"/>
          <w:szCs w:val="32"/>
        </w:rPr>
      </w:pPr>
      <w:bookmarkStart w:id="26" w:name="_Toc104405084"/>
      <w:r>
        <w:rPr>
          <w:rFonts w:ascii="Arial Narrow" w:hAnsi="Arial Narrow" w:eastAsia="仿宋_GB2312" w:cs="Arial"/>
          <w:b/>
          <w:sz w:val="32"/>
          <w:szCs w:val="32"/>
        </w:rPr>
        <w:t>（一）财务管理</w:t>
      </w:r>
      <w:bookmarkEnd w:id="26"/>
    </w:p>
    <w:p>
      <w:pPr>
        <w:adjustRightInd w:val="0"/>
        <w:snapToGrid w:val="0"/>
        <w:spacing w:line="360" w:lineRule="auto"/>
        <w:ind w:left="105" w:leftChars="50" w:firstLine="480" w:firstLineChars="150"/>
        <w:outlineLvl w:val="2"/>
        <w:rPr>
          <w:rFonts w:ascii="Arial Narrow" w:hAnsi="Arial Narrow" w:eastAsia="仿宋_GB2312" w:cs="Arial"/>
          <w:color w:val="000000"/>
          <w:kern w:val="0"/>
          <w:sz w:val="32"/>
          <w:szCs w:val="32"/>
        </w:rPr>
      </w:pPr>
      <w:bookmarkStart w:id="27" w:name="_Toc104405085"/>
      <w:r>
        <w:rPr>
          <w:rFonts w:ascii="Arial Narrow" w:hAnsi="Arial Narrow" w:eastAsia="仿宋_GB2312" w:cs="Arial"/>
          <w:color w:val="000000"/>
          <w:kern w:val="0"/>
          <w:sz w:val="32"/>
          <w:szCs w:val="32"/>
        </w:rPr>
        <w:t>1.财务管理制度健全性</w:t>
      </w:r>
      <w:bookmarkEnd w:id="27"/>
    </w:p>
    <w:p>
      <w:pPr>
        <w:adjustRightInd w:val="0"/>
        <w:snapToGrid w:val="0"/>
        <w:spacing w:line="360" w:lineRule="auto"/>
        <w:ind w:firstLine="640" w:firstLineChars="200"/>
        <w:rPr>
          <w:rFonts w:ascii="Arial Narrow" w:hAnsi="Arial Narrow" w:eastAsia="仿宋_GB2312" w:cs="Arial"/>
          <w:color w:val="000000"/>
          <w:sz w:val="32"/>
          <w:szCs w:val="32"/>
        </w:rPr>
      </w:pPr>
      <w:r>
        <w:rPr>
          <w:rFonts w:ascii="Arial Narrow" w:hAnsi="Arial Narrow" w:eastAsia="仿宋_GB2312" w:cs="Arial"/>
          <w:sz w:val="32"/>
          <w:szCs w:val="32"/>
        </w:rPr>
        <w:t>北京互联网法院</w:t>
      </w:r>
      <w:r>
        <w:rPr>
          <w:rFonts w:ascii="Arial Narrow" w:hAnsi="Arial Narrow" w:eastAsia="仿宋_GB2312" w:cs="Arial"/>
          <w:color w:val="000000"/>
          <w:sz w:val="32"/>
          <w:szCs w:val="32"/>
        </w:rPr>
        <w:t>根据《中华人民共和国会计法》、《中华人民共和国预算法》、财政部《政府会计制度》、《行政事业单位内部控制规范（试行）》（财会〔2012〕21 号）制定了内部相关财务管理办法并进行执行，对招投标、政府采购等各项资金的使用范围、支付流程等进行规范。</w:t>
      </w:r>
    </w:p>
    <w:p>
      <w:pPr>
        <w:adjustRightInd w:val="0"/>
        <w:snapToGrid w:val="0"/>
        <w:spacing w:line="360" w:lineRule="auto"/>
        <w:ind w:firstLine="640" w:firstLineChars="200"/>
        <w:rPr>
          <w:rFonts w:ascii="Arial Narrow" w:hAnsi="Arial Narrow" w:eastAsia="仿宋_GB2312" w:cs="Arial"/>
          <w:color w:val="000000"/>
          <w:sz w:val="32"/>
          <w:szCs w:val="32"/>
        </w:rPr>
      </w:pPr>
      <w:r>
        <w:rPr>
          <w:rFonts w:ascii="Arial Narrow" w:hAnsi="Arial Narrow" w:eastAsia="仿宋_GB2312" w:cs="Arial"/>
          <w:sz w:val="32"/>
          <w:szCs w:val="32"/>
        </w:rPr>
        <w:t>2021年，北京互联网法院</w:t>
      </w:r>
      <w:r>
        <w:rPr>
          <w:rFonts w:ascii="Arial Narrow" w:hAnsi="Arial Narrow" w:eastAsia="仿宋_GB2312" w:cs="Arial"/>
          <w:color w:val="000000"/>
          <w:sz w:val="32"/>
          <w:szCs w:val="32"/>
        </w:rPr>
        <w:t>严格执行各种规章制度，按照规定程序履行部门职责，认真落实各项工作，切实保障法院审判工作及综合行政事务管理的有序进行，实现了年度工作目标。</w:t>
      </w:r>
    </w:p>
    <w:p>
      <w:pPr>
        <w:spacing w:line="600" w:lineRule="exact"/>
        <w:ind w:left="105" w:leftChars="50" w:firstLine="480" w:firstLineChars="150"/>
        <w:outlineLvl w:val="2"/>
        <w:rPr>
          <w:rFonts w:ascii="Arial Narrow" w:hAnsi="Arial Narrow" w:eastAsia="仿宋_GB2312" w:cs="Arial"/>
          <w:color w:val="000000"/>
          <w:kern w:val="0"/>
          <w:sz w:val="32"/>
          <w:szCs w:val="32"/>
        </w:rPr>
      </w:pPr>
      <w:bookmarkStart w:id="28" w:name="_Toc104405086"/>
      <w:r>
        <w:rPr>
          <w:rFonts w:ascii="Arial Narrow" w:hAnsi="Arial Narrow" w:eastAsia="仿宋_GB2312" w:cs="Arial"/>
          <w:color w:val="000000"/>
          <w:kern w:val="0"/>
          <w:sz w:val="32"/>
          <w:szCs w:val="32"/>
        </w:rPr>
        <w:t>2.资金使用合规性和安全性</w:t>
      </w:r>
      <w:bookmarkEnd w:id="28"/>
    </w:p>
    <w:p>
      <w:pPr>
        <w:pStyle w:val="4"/>
        <w:spacing w:before="147" w:line="357" w:lineRule="auto"/>
        <w:ind w:left="103" w:right="246" w:firstLine="559"/>
        <w:rPr>
          <w:rFonts w:ascii="Arial Narrow" w:hAnsi="Arial Narrow" w:eastAsia="仿宋_GB2312" w:cs="Arial"/>
          <w:color w:val="000000"/>
          <w:sz w:val="32"/>
          <w:szCs w:val="32"/>
          <w:lang w:eastAsia="zh-CN"/>
        </w:rPr>
      </w:pPr>
      <w:r>
        <w:rPr>
          <w:rFonts w:ascii="Arial Narrow" w:hAnsi="Arial Narrow" w:eastAsia="仿宋_GB2312" w:cs="Arial"/>
          <w:sz w:val="32"/>
          <w:szCs w:val="32"/>
          <w:lang w:eastAsia="zh-CN"/>
        </w:rPr>
        <w:t>2021年，北京互联网法</w:t>
      </w:r>
      <w:r>
        <w:rPr>
          <w:rFonts w:ascii="Arial Narrow" w:hAnsi="Arial Narrow" w:eastAsia="仿宋_GB2312" w:cs="Arial"/>
          <w:bCs/>
          <w:kern w:val="2"/>
          <w:sz w:val="32"/>
          <w:szCs w:val="32"/>
          <w:lang w:eastAsia="zh-CN"/>
        </w:rPr>
        <w:t>院对</w:t>
      </w:r>
      <w:r>
        <w:rPr>
          <w:rFonts w:ascii="Arial Narrow" w:hAnsi="Arial Narrow" w:eastAsia="仿宋_GB2312" w:cs="Arial"/>
          <w:bCs/>
          <w:sz w:val="32"/>
          <w:szCs w:val="32"/>
          <w:lang w:eastAsia="zh-CN"/>
        </w:rPr>
        <w:t>预算资金的支付符合国家财经法规和财务管理制度规定，资金拨付有完整的审批程序和手续；经费支出符合部门预算批复的用途，无截留挪用、虚列支出等情况，资金使用合规、安全。</w:t>
      </w:r>
    </w:p>
    <w:p>
      <w:pPr>
        <w:spacing w:line="600" w:lineRule="exact"/>
        <w:ind w:left="105" w:leftChars="50" w:firstLine="480" w:firstLineChars="150"/>
        <w:outlineLvl w:val="2"/>
        <w:rPr>
          <w:rFonts w:ascii="Arial Narrow" w:hAnsi="Arial Narrow" w:eastAsia="仿宋_GB2312" w:cs="Arial"/>
          <w:color w:val="000000"/>
          <w:kern w:val="0"/>
          <w:sz w:val="32"/>
          <w:szCs w:val="32"/>
        </w:rPr>
      </w:pPr>
      <w:bookmarkStart w:id="29" w:name="_Toc104405087"/>
      <w:r>
        <w:rPr>
          <w:rFonts w:ascii="Arial Narrow" w:hAnsi="Arial Narrow" w:eastAsia="仿宋_GB2312" w:cs="Arial"/>
          <w:color w:val="000000"/>
          <w:kern w:val="0"/>
          <w:sz w:val="32"/>
          <w:szCs w:val="32"/>
        </w:rPr>
        <w:t>3.会计基础信息完善性</w:t>
      </w:r>
      <w:bookmarkEnd w:id="29"/>
    </w:p>
    <w:p>
      <w:pPr>
        <w:pStyle w:val="4"/>
        <w:spacing w:before="147" w:line="357" w:lineRule="auto"/>
        <w:ind w:left="103" w:right="246" w:firstLine="559"/>
        <w:rPr>
          <w:rFonts w:ascii="Arial Narrow" w:hAnsi="Arial Narrow" w:eastAsia="仿宋_GB2312" w:cs="Arial"/>
          <w:color w:val="000000"/>
          <w:kern w:val="0"/>
          <w:sz w:val="32"/>
          <w:szCs w:val="32"/>
        </w:rPr>
      </w:pPr>
      <w:r>
        <w:rPr>
          <w:rFonts w:ascii="Arial Narrow" w:hAnsi="Arial Narrow" w:eastAsia="仿宋_GB2312" w:cs="Arial"/>
          <w:sz w:val="32"/>
          <w:szCs w:val="32"/>
          <w:lang w:eastAsia="zh-CN"/>
        </w:rPr>
        <w:t>2021年，北京互联网法</w:t>
      </w:r>
      <w:r>
        <w:rPr>
          <w:rFonts w:ascii="Arial Narrow" w:hAnsi="Arial Narrow" w:eastAsia="仿宋_GB2312" w:cs="Arial"/>
          <w:bCs/>
          <w:kern w:val="2"/>
          <w:sz w:val="32"/>
          <w:szCs w:val="32"/>
          <w:lang w:eastAsia="zh-CN"/>
        </w:rPr>
        <w:t>院</w:t>
      </w:r>
      <w:r>
        <w:rPr>
          <w:rFonts w:ascii="Arial Narrow" w:hAnsi="Arial Narrow" w:eastAsia="仿宋_GB2312" w:cs="Arial"/>
          <w:bCs/>
          <w:sz w:val="32"/>
          <w:szCs w:val="32"/>
          <w:lang w:eastAsia="zh-CN"/>
        </w:rPr>
        <w:t>严格执行财务管理制度、会计核算制度，财务数据和会计信息真实准确、完整齐全。</w:t>
      </w:r>
    </w:p>
    <w:p>
      <w:pPr>
        <w:adjustRightInd w:val="0"/>
        <w:snapToGrid w:val="0"/>
        <w:spacing w:line="360" w:lineRule="auto"/>
        <w:ind w:firstLine="642" w:firstLineChars="200"/>
        <w:outlineLvl w:val="1"/>
        <w:rPr>
          <w:rFonts w:ascii="Arial Narrow" w:hAnsi="Arial Narrow" w:eastAsia="仿宋_GB2312" w:cs="Arial"/>
          <w:b/>
          <w:sz w:val="32"/>
          <w:szCs w:val="32"/>
        </w:rPr>
      </w:pPr>
      <w:bookmarkStart w:id="30" w:name="_Toc104405088"/>
      <w:r>
        <w:rPr>
          <w:rFonts w:ascii="Arial Narrow" w:hAnsi="Arial Narrow" w:eastAsia="仿宋_GB2312" w:cs="Arial"/>
          <w:b/>
          <w:sz w:val="32"/>
          <w:szCs w:val="32"/>
        </w:rPr>
        <w:t>（二）资产管理</w:t>
      </w:r>
      <w:bookmarkEnd w:id="30"/>
    </w:p>
    <w:p>
      <w:pPr>
        <w:adjustRightInd w:val="0"/>
        <w:snapToGrid w:val="0"/>
        <w:spacing w:line="360" w:lineRule="auto"/>
        <w:ind w:firstLine="640" w:firstLineChars="200"/>
        <w:rPr>
          <w:rFonts w:ascii="Arial Narrow" w:hAnsi="Arial Narrow" w:eastAsia="仿宋_GB2312" w:cs="Arial"/>
          <w:color w:val="000000"/>
          <w:sz w:val="32"/>
          <w:szCs w:val="32"/>
        </w:rPr>
      </w:pPr>
      <w:r>
        <w:rPr>
          <w:rFonts w:ascii="Arial Narrow" w:hAnsi="Arial Narrow" w:eastAsia="仿宋_GB2312" w:cs="Arial"/>
          <w:color w:val="000000"/>
          <w:sz w:val="32"/>
          <w:szCs w:val="32"/>
        </w:rPr>
        <w:t>截止2021年12月31日，北京互联网法院资产合计15,053.24万元，其中：流动资产5,322.10万元，占比35.36%；非流动资产9,632.00万元，占比63.99%；受托代理资产99.13万元，占比0.66%。</w:t>
      </w:r>
    </w:p>
    <w:p>
      <w:pPr>
        <w:spacing w:line="360" w:lineRule="auto"/>
        <w:ind w:firstLine="640"/>
        <w:rPr>
          <w:rFonts w:ascii="Arial Narrow" w:hAnsi="Arial Narrow" w:eastAsia="仿宋_GB2312" w:cs="Arial"/>
          <w:color w:val="000000"/>
          <w:sz w:val="32"/>
          <w:szCs w:val="32"/>
        </w:rPr>
      </w:pPr>
      <w:r>
        <w:rPr>
          <w:rFonts w:ascii="Arial Narrow" w:hAnsi="Arial Narrow" w:eastAsia="仿宋_GB2312" w:cs="Arial"/>
          <w:color w:val="000000"/>
          <w:sz w:val="32"/>
          <w:szCs w:val="32"/>
        </w:rPr>
        <w:t>为了加强本院资产管理，维护资产的安全和完整，提高资产的使用效益，北京互联网法院根据《行政事业单位内部控制规范（试行）》、《行政事业单位国有资产管理办法》、《北京市市级行政事业单位国有资产处置管理办法》及财政部相关规定</w:t>
      </w:r>
      <w:r>
        <w:rPr>
          <w:rFonts w:ascii="Arial Narrow" w:hAnsi="Arial Narrow" w:eastAsia="仿宋_GB2312" w:cs="Arial"/>
          <w:kern w:val="0"/>
          <w:sz w:val="32"/>
          <w:szCs w:val="32"/>
        </w:rPr>
        <w:t>，结合单位实际情况，制定了资产管理制度，包括《资产管理办法》和《办公用品及低值易耗品管理办法》，规范和加强了资产管理工作，维护了国有资产的安全完整、合理配置和有效利用，并设专人负责日常财产物质管理，并建立固定资产、低值易耗品、办公用品领用制度。</w:t>
      </w:r>
    </w:p>
    <w:p>
      <w:pPr>
        <w:adjustRightInd w:val="0"/>
        <w:snapToGrid w:val="0"/>
        <w:spacing w:line="360" w:lineRule="auto"/>
        <w:ind w:firstLine="642" w:firstLineChars="200"/>
        <w:outlineLvl w:val="1"/>
        <w:rPr>
          <w:rFonts w:ascii="Arial Narrow" w:hAnsi="Arial Narrow" w:eastAsia="仿宋_GB2312" w:cs="Arial"/>
          <w:b/>
          <w:sz w:val="32"/>
          <w:szCs w:val="32"/>
        </w:rPr>
      </w:pPr>
      <w:bookmarkStart w:id="31" w:name="_Toc104405089"/>
      <w:r>
        <w:rPr>
          <w:rFonts w:ascii="Arial Narrow" w:hAnsi="Arial Narrow" w:eastAsia="仿宋_GB2312" w:cs="Arial"/>
          <w:b/>
          <w:sz w:val="32"/>
          <w:szCs w:val="32"/>
        </w:rPr>
        <w:t>（三）绩效管理</w:t>
      </w:r>
      <w:bookmarkEnd w:id="31"/>
    </w:p>
    <w:p>
      <w:pPr>
        <w:pStyle w:val="23"/>
        <w:adjustRightInd w:val="0"/>
        <w:snapToGrid w:val="0"/>
        <w:spacing w:line="360" w:lineRule="auto"/>
        <w:ind w:firstLine="640"/>
        <w:outlineLvl w:val="1"/>
        <w:rPr>
          <w:rFonts w:ascii="Arial Narrow" w:hAnsi="Arial Narrow" w:eastAsia="仿宋_GB2312" w:cs="Arial"/>
          <w:color w:val="000000"/>
          <w:sz w:val="32"/>
          <w:szCs w:val="32"/>
        </w:rPr>
      </w:pPr>
      <w:bookmarkStart w:id="32" w:name="_Toc453822264"/>
      <w:bookmarkStart w:id="33" w:name="_Toc104405090"/>
      <w:r>
        <w:rPr>
          <w:rFonts w:ascii="Arial Narrow" w:hAnsi="Arial Narrow" w:eastAsia="仿宋_GB2312" w:cs="Arial"/>
          <w:color w:val="000000"/>
          <w:sz w:val="32"/>
          <w:szCs w:val="32"/>
        </w:rPr>
        <w:t>1．绩效管理组织机构</w:t>
      </w:r>
      <w:bookmarkEnd w:id="32"/>
      <w:bookmarkEnd w:id="33"/>
    </w:p>
    <w:p>
      <w:pPr>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为及时跟踪监控预算执行情况，确保部门整体绩效目标的实现，北京互联网法院成立了绩效评价工作组</w:t>
      </w:r>
      <w:r>
        <w:rPr>
          <w:rFonts w:ascii="Arial Narrow" w:hAnsi="Arial Narrow" w:eastAsia="仿宋_GB2312" w:cs="Arial"/>
          <w:color w:val="000000"/>
          <w:sz w:val="32"/>
          <w:szCs w:val="32"/>
        </w:rPr>
        <w:t>（以下简称“工作组”），</w:t>
      </w:r>
      <w:r>
        <w:rPr>
          <w:rFonts w:ascii="Arial Narrow" w:hAnsi="Arial Narrow" w:eastAsia="仿宋_GB2312" w:cs="Arial"/>
          <w:sz w:val="32"/>
          <w:szCs w:val="32"/>
        </w:rPr>
        <w:t>指导负责组织、协调、处理预算绩效工作的重大事项，及时发现并解决工作过程中遇到的重大问题，积极探索并完善部门预算绩效评价机制。</w:t>
      </w:r>
    </w:p>
    <w:p>
      <w:pPr>
        <w:adjustRightInd w:val="0"/>
        <w:snapToGrid w:val="0"/>
        <w:spacing w:line="360" w:lineRule="auto"/>
        <w:ind w:firstLine="640" w:firstLineChars="200"/>
        <w:rPr>
          <w:rFonts w:ascii="Arial Narrow" w:hAnsi="Arial Narrow" w:eastAsia="仿宋_GB2312" w:cs="Arial"/>
          <w:color w:val="000000"/>
          <w:sz w:val="32"/>
          <w:szCs w:val="32"/>
        </w:rPr>
      </w:pPr>
      <w:r>
        <w:rPr>
          <w:rFonts w:ascii="Arial Narrow" w:hAnsi="Arial Narrow" w:eastAsia="仿宋_GB2312" w:cs="Arial"/>
          <w:color w:val="000000"/>
          <w:sz w:val="32"/>
          <w:szCs w:val="32"/>
        </w:rPr>
        <w:t>绩效管理工作由</w:t>
      </w:r>
      <w:r>
        <w:rPr>
          <w:rFonts w:ascii="Arial Narrow" w:hAnsi="Arial Narrow" w:eastAsia="仿宋_GB2312" w:cs="Arial"/>
          <w:kern w:val="0"/>
          <w:sz w:val="32"/>
          <w:szCs w:val="32"/>
        </w:rPr>
        <w:t>综合办公室</w:t>
      </w:r>
      <w:r>
        <w:rPr>
          <w:rFonts w:ascii="Arial Narrow" w:hAnsi="Arial Narrow" w:eastAsia="仿宋_GB2312" w:cs="Arial"/>
          <w:color w:val="000000"/>
          <w:sz w:val="32"/>
          <w:szCs w:val="32"/>
        </w:rPr>
        <w:t>领导，</w:t>
      </w:r>
      <w:r>
        <w:rPr>
          <w:rFonts w:ascii="Arial Narrow" w:hAnsi="Arial Narrow" w:eastAsia="仿宋_GB2312" w:cs="Arial"/>
          <w:sz w:val="32"/>
          <w:szCs w:val="32"/>
        </w:rPr>
        <w:t>工作组由主管财务院长任组长，综合办公室主任、财务负责人、受聘中介机构工作人员为组员，共同开展绩效管理工作。</w:t>
      </w:r>
      <w:r>
        <w:rPr>
          <w:rFonts w:ascii="Arial Narrow" w:hAnsi="Arial Narrow" w:eastAsia="仿宋_GB2312" w:cs="Arial"/>
          <w:color w:val="000000"/>
          <w:sz w:val="32"/>
          <w:szCs w:val="32"/>
        </w:rPr>
        <w:t>工作组根据《中华人民共和国预算法》、《北京市财政支出绩效评价管理暂行办法》、《北京市财政局关于开展2022年全面预算绩效管理工作的通知》（京财绩效〔2022〕669号）等有关规定，全面指导预算绩效管理工作。工作组组长负责统筹并指导绩效工作，组织制定相关管理办法；工作组组员分别负责绩效目标审核、项目执行管理、绩效完成情况的监察，参与绩效具体工作，及时发现并解决出现的问题，负责协调配合工作；受聘中介机构工作人员按照规定程序开展绩效考评工作，协助完成预算绩效评价工作。</w:t>
      </w:r>
    </w:p>
    <w:p>
      <w:pPr>
        <w:adjustRightInd w:val="0"/>
        <w:snapToGrid w:val="0"/>
        <w:spacing w:line="360" w:lineRule="auto"/>
        <w:ind w:firstLine="640" w:firstLineChars="200"/>
        <w:outlineLvl w:val="1"/>
        <w:rPr>
          <w:rFonts w:ascii="Arial Narrow" w:hAnsi="Arial Narrow" w:eastAsia="仿宋_GB2312" w:cs="Arial"/>
          <w:color w:val="000000"/>
          <w:sz w:val="32"/>
          <w:szCs w:val="32"/>
        </w:rPr>
      </w:pPr>
      <w:bookmarkStart w:id="34" w:name="_Toc104405091"/>
      <w:bookmarkStart w:id="35" w:name="_Toc453822265"/>
      <w:r>
        <w:rPr>
          <w:rFonts w:ascii="Arial Narrow" w:hAnsi="Arial Narrow" w:eastAsia="仿宋_GB2312" w:cs="Arial"/>
          <w:color w:val="000000"/>
          <w:sz w:val="32"/>
          <w:szCs w:val="32"/>
        </w:rPr>
        <w:t>2．绩效信息收集</w:t>
      </w:r>
      <w:bookmarkEnd w:id="34"/>
      <w:bookmarkEnd w:id="35"/>
    </w:p>
    <w:p>
      <w:pPr>
        <w:adjustRightInd w:val="0"/>
        <w:snapToGrid w:val="0"/>
        <w:spacing w:line="360" w:lineRule="auto"/>
        <w:ind w:firstLine="640" w:firstLineChars="200"/>
        <w:rPr>
          <w:rFonts w:ascii="Arial Narrow" w:hAnsi="Arial Narrow" w:eastAsia="仿宋_GB2312" w:cs="Arial"/>
          <w:color w:val="000000"/>
          <w:sz w:val="32"/>
          <w:szCs w:val="32"/>
        </w:rPr>
      </w:pPr>
      <w:r>
        <w:rPr>
          <w:rFonts w:ascii="Arial Narrow" w:hAnsi="Arial Narrow" w:eastAsia="仿宋_GB2312" w:cs="Arial"/>
          <w:color w:val="000000"/>
          <w:sz w:val="32"/>
          <w:szCs w:val="32"/>
        </w:rPr>
        <w:t>绩效评价工作组对2021年预算项目的目标执行情况与资金使用情况进行跟踪、调查，获取相关绩效信息</w:t>
      </w:r>
      <w:r>
        <w:rPr>
          <w:rFonts w:hint="eastAsia" w:ascii="Arial Narrow" w:hAnsi="Arial Narrow" w:eastAsia="仿宋_GB2312" w:cs="Arial"/>
          <w:color w:val="000000"/>
          <w:sz w:val="32"/>
          <w:szCs w:val="32"/>
        </w:rPr>
        <w:t>；同时，</w:t>
      </w:r>
      <w:r>
        <w:rPr>
          <w:rFonts w:ascii="Arial Narrow" w:hAnsi="Arial Narrow" w:eastAsia="仿宋_GB2312" w:cs="Arial"/>
          <w:color w:val="000000"/>
          <w:sz w:val="32"/>
          <w:szCs w:val="32"/>
        </w:rPr>
        <w:t>结合重点项目的实际情况收集相关资料，并进行全面核实和分析，及时发现项目预算执行中的问题，及时调整、纠正</w:t>
      </w:r>
      <w:r>
        <w:rPr>
          <w:rFonts w:hint="eastAsia" w:ascii="Arial Narrow" w:hAnsi="Arial Narrow" w:eastAsia="仿宋_GB2312" w:cs="Arial"/>
          <w:color w:val="000000"/>
          <w:sz w:val="32"/>
          <w:szCs w:val="32"/>
        </w:rPr>
        <w:t>；最后，</w:t>
      </w:r>
      <w:r>
        <w:rPr>
          <w:rFonts w:ascii="Arial Narrow" w:hAnsi="Arial Narrow" w:eastAsia="仿宋_GB2312" w:cs="Arial"/>
          <w:color w:val="000000"/>
          <w:sz w:val="32"/>
          <w:szCs w:val="32"/>
        </w:rPr>
        <w:t>结合全年日常跟踪及绩效跟踪报告情况，对部门整体财政支出情况实施总结分析，撰写部门支出绩效报告</w:t>
      </w:r>
      <w:r>
        <w:rPr>
          <w:rFonts w:hint="eastAsia" w:ascii="Arial Narrow" w:hAnsi="Arial Narrow" w:eastAsia="仿宋_GB2312" w:cs="Arial"/>
          <w:color w:val="000000"/>
          <w:sz w:val="32"/>
          <w:szCs w:val="32"/>
        </w:rPr>
        <w:t>，</w:t>
      </w:r>
      <w:r>
        <w:rPr>
          <w:rFonts w:ascii="Arial Narrow" w:hAnsi="Arial Narrow" w:eastAsia="仿宋_GB2312" w:cs="Arial"/>
          <w:color w:val="000000"/>
          <w:sz w:val="32"/>
          <w:szCs w:val="32"/>
        </w:rPr>
        <w:t>及时</w:t>
      </w:r>
    </w:p>
    <w:p>
      <w:pPr>
        <w:adjustRightInd w:val="0"/>
        <w:snapToGrid w:val="0"/>
        <w:spacing w:line="360" w:lineRule="auto"/>
        <w:ind w:firstLine="640" w:firstLineChars="200"/>
        <w:rPr>
          <w:rFonts w:ascii="Arial Narrow" w:hAnsi="Arial Narrow" w:eastAsia="仿宋_GB2312" w:cs="Arial"/>
          <w:color w:val="000000"/>
          <w:sz w:val="32"/>
          <w:szCs w:val="32"/>
        </w:rPr>
      </w:pPr>
      <w:r>
        <w:rPr>
          <w:rFonts w:ascii="Arial Narrow" w:hAnsi="Arial Narrow" w:eastAsia="仿宋_GB2312" w:cs="Arial"/>
          <w:color w:val="000000"/>
          <w:sz w:val="32"/>
          <w:szCs w:val="32"/>
        </w:rPr>
        <w:t>向财政部上报绩效信息。</w:t>
      </w:r>
    </w:p>
    <w:p>
      <w:pPr>
        <w:adjustRightInd w:val="0"/>
        <w:snapToGrid w:val="0"/>
        <w:spacing w:line="360" w:lineRule="auto"/>
        <w:ind w:firstLine="642" w:firstLineChars="200"/>
        <w:outlineLvl w:val="1"/>
        <w:rPr>
          <w:rFonts w:ascii="Arial Narrow" w:hAnsi="Arial Narrow" w:eastAsia="仿宋_GB2312" w:cs="Arial"/>
          <w:b/>
          <w:sz w:val="32"/>
          <w:szCs w:val="32"/>
        </w:rPr>
      </w:pPr>
      <w:bookmarkStart w:id="36" w:name="_Toc104405092"/>
      <w:r>
        <w:rPr>
          <w:rFonts w:ascii="Arial Narrow" w:hAnsi="Arial Narrow" w:eastAsia="仿宋_GB2312" w:cs="Arial"/>
          <w:b/>
          <w:sz w:val="32"/>
          <w:szCs w:val="32"/>
        </w:rPr>
        <w:t>（四）结转结余率</w:t>
      </w:r>
      <w:bookmarkEnd w:id="36"/>
    </w:p>
    <w:p>
      <w:pPr>
        <w:adjustRightInd w:val="0"/>
        <w:snapToGrid w:val="0"/>
        <w:spacing w:line="360" w:lineRule="auto"/>
        <w:ind w:firstLine="640" w:firstLineChars="200"/>
        <w:rPr>
          <w:rFonts w:ascii="Arial Narrow" w:hAnsi="Arial Narrow" w:eastAsia="仿宋_GB2312" w:cs="Arial"/>
          <w:b/>
          <w:sz w:val="32"/>
          <w:szCs w:val="32"/>
        </w:rPr>
      </w:pPr>
      <w:r>
        <w:rPr>
          <w:rFonts w:ascii="Arial Narrow" w:hAnsi="Arial Narrow" w:eastAsia="仿宋_GB2312" w:cs="Arial"/>
          <w:sz w:val="32"/>
          <w:szCs w:val="32"/>
        </w:rPr>
        <w:t>2021年北京互联网法院的部门结转结余率为16.38%，上年结转结余率为16.34%，2021年结转结余率比上年高0.04%，部门预算编制不够准确，部门预算执行力度有待加强。</w:t>
      </w:r>
      <w:r>
        <w:rPr>
          <w:rFonts w:ascii="Arial Narrow" w:hAnsi="Arial Narrow" w:eastAsia="仿宋_GB2312" w:cs="Arial"/>
          <w:sz w:val="32"/>
          <w:szCs w:val="32"/>
        </w:rPr>
        <w:tab/>
      </w:r>
      <w:r>
        <w:rPr>
          <w:rFonts w:ascii="Arial Narrow" w:hAnsi="Arial Narrow" w:eastAsia="仿宋_GB2312" w:cs="Arial"/>
          <w:b/>
          <w:sz w:val="32"/>
          <w:szCs w:val="32"/>
        </w:rPr>
        <w:tab/>
      </w:r>
      <w:r>
        <w:rPr>
          <w:rFonts w:ascii="Arial Narrow" w:hAnsi="Arial Narrow" w:eastAsia="仿宋_GB2312" w:cs="Arial"/>
          <w:b/>
          <w:sz w:val="32"/>
          <w:szCs w:val="32"/>
        </w:rPr>
        <w:tab/>
      </w:r>
    </w:p>
    <w:p>
      <w:pPr>
        <w:adjustRightInd w:val="0"/>
        <w:snapToGrid w:val="0"/>
        <w:spacing w:line="360" w:lineRule="auto"/>
        <w:ind w:firstLine="642" w:firstLineChars="200"/>
        <w:outlineLvl w:val="1"/>
        <w:rPr>
          <w:rFonts w:ascii="Arial Narrow" w:hAnsi="Arial Narrow" w:eastAsia="仿宋_GB2312" w:cs="Arial"/>
          <w:b/>
          <w:sz w:val="32"/>
          <w:szCs w:val="32"/>
        </w:rPr>
      </w:pPr>
      <w:bookmarkStart w:id="37" w:name="_Toc104405093"/>
      <w:r>
        <w:rPr>
          <w:rFonts w:ascii="Arial Narrow" w:hAnsi="Arial Narrow" w:eastAsia="仿宋_GB2312" w:cs="Arial"/>
          <w:b/>
          <w:sz w:val="32"/>
          <w:szCs w:val="32"/>
        </w:rPr>
        <w:t>（五）部门预决算差异率</w:t>
      </w:r>
      <w:bookmarkEnd w:id="37"/>
    </w:p>
    <w:p>
      <w:pPr>
        <w:pStyle w:val="4"/>
        <w:spacing w:line="309" w:lineRule="auto"/>
        <w:ind w:left="0" w:right="116" w:firstLine="627" w:firstLineChars="196"/>
        <w:rPr>
          <w:rFonts w:ascii="Arial Narrow" w:hAnsi="Arial Narrow" w:eastAsia="仿宋_GB2312" w:cs="Arial"/>
          <w:kern w:val="2"/>
          <w:sz w:val="32"/>
          <w:szCs w:val="32"/>
          <w:lang w:eastAsia="zh-CN"/>
        </w:rPr>
      </w:pPr>
      <w:r>
        <w:rPr>
          <w:rFonts w:ascii="Arial Narrow" w:hAnsi="Arial Narrow" w:eastAsia="仿宋_GB2312" w:cs="Arial"/>
          <w:kern w:val="2"/>
          <w:sz w:val="32"/>
          <w:szCs w:val="32"/>
          <w:lang w:eastAsia="zh-CN"/>
        </w:rPr>
        <w:t>2021年北京互联网法院部门年初预算数为13,950.97万元，调整后预算数为16,714.01万元，到位数为13,724.86万元，2021年决算数为13,976.60万元，预算执行率为83.62%。部门预决算差异率为16.38%，低于市级平均差异率（28.3%），部门预算的约束力较好。</w:t>
      </w:r>
    </w:p>
    <w:p>
      <w:pPr>
        <w:pStyle w:val="2"/>
        <w:rPr>
          <w:rFonts w:ascii="Arial Narrow" w:hAnsi="Arial Narrow" w:cs="Arial"/>
        </w:rPr>
      </w:pPr>
      <w:bookmarkStart w:id="38" w:name="_Toc104405094"/>
      <w:r>
        <w:rPr>
          <w:rFonts w:ascii="Arial Narrow" w:hAnsi="Arial Narrow" w:cs="Arial"/>
        </w:rPr>
        <w:t>五、总体评价结论</w:t>
      </w:r>
      <w:bookmarkEnd w:id="38"/>
    </w:p>
    <w:p>
      <w:pPr>
        <w:adjustRightInd w:val="0"/>
        <w:snapToGrid w:val="0"/>
        <w:spacing w:line="360" w:lineRule="auto"/>
        <w:ind w:firstLine="642" w:firstLineChars="200"/>
        <w:outlineLvl w:val="1"/>
        <w:rPr>
          <w:rFonts w:ascii="Arial Narrow" w:hAnsi="Arial Narrow" w:eastAsia="仿宋_GB2312" w:cs="Arial"/>
          <w:b/>
          <w:sz w:val="32"/>
          <w:szCs w:val="32"/>
        </w:rPr>
      </w:pPr>
      <w:bookmarkStart w:id="39" w:name="_Toc104405095"/>
      <w:r>
        <w:rPr>
          <w:rFonts w:ascii="Arial Narrow" w:hAnsi="Arial Narrow" w:eastAsia="仿宋_GB2312" w:cs="Arial"/>
          <w:b/>
          <w:sz w:val="32"/>
          <w:szCs w:val="32"/>
        </w:rPr>
        <w:t>（一）评价得分情况</w:t>
      </w:r>
      <w:bookmarkEnd w:id="39"/>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2021年度北京互联网法院部门整体支出绩效评价总体得分为 89.61 分，评价等级为“良”。其中，部门当年预算执行情况分值20分，得分16.72分；整体绩效目标实现情况分值 60分，得分55.71分；预算管理情况分值20分，得分17.18分。</w:t>
      </w:r>
    </w:p>
    <w:p>
      <w:pPr>
        <w:adjustRightInd w:val="0"/>
        <w:snapToGrid w:val="0"/>
        <w:spacing w:line="360" w:lineRule="auto"/>
        <w:ind w:firstLine="642" w:firstLineChars="200"/>
        <w:outlineLvl w:val="1"/>
        <w:rPr>
          <w:rFonts w:ascii="Arial Narrow" w:hAnsi="Arial Narrow" w:eastAsia="仿宋_GB2312" w:cs="Arial"/>
          <w:b/>
          <w:sz w:val="32"/>
          <w:szCs w:val="32"/>
        </w:rPr>
      </w:pPr>
      <w:bookmarkStart w:id="40" w:name="_Toc104405096"/>
      <w:r>
        <w:rPr>
          <w:rFonts w:ascii="Arial Narrow" w:hAnsi="Arial Narrow" w:eastAsia="仿宋_GB2312" w:cs="Arial"/>
          <w:b/>
          <w:sz w:val="32"/>
          <w:szCs w:val="32"/>
        </w:rPr>
        <w:t>（二）存在的问题及原因分析</w:t>
      </w:r>
      <w:bookmarkEnd w:id="40"/>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截至2021年12月31日，北京互联网法院部门整体支出及项目支出整体执行较好，进度控制在合理水平。但是，在本次</w:t>
      </w:r>
      <w:r>
        <w:rPr>
          <w:rFonts w:hint="eastAsia" w:ascii="Arial Narrow" w:hAnsi="Arial Narrow" w:eastAsia="仿宋_GB2312" w:cs="Arial"/>
          <w:sz w:val="32"/>
          <w:szCs w:val="32"/>
        </w:rPr>
        <w:t>整体支出</w:t>
      </w:r>
      <w:r>
        <w:rPr>
          <w:rFonts w:ascii="Arial Narrow" w:hAnsi="Arial Narrow" w:eastAsia="仿宋_GB2312" w:cs="Arial"/>
          <w:sz w:val="32"/>
          <w:szCs w:val="32"/>
        </w:rPr>
        <w:t>绩效评价过程中，主要存在的问题为：</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1、预算编制精确性不足，部分项目支出预算执行率偏低。</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2021 年北京互联网法院部门预算执行情况来看：调整后预算数为16,714.01万元，决算数为13,976.60万元，预算执行率为 83.62%，其中基本支出预算执行率为94.50%，项目支出预算执行率75.87%。</w:t>
      </w:r>
    </w:p>
    <w:p>
      <w:pPr>
        <w:adjustRightInd w:val="0"/>
        <w:snapToGrid w:val="0"/>
        <w:spacing w:line="360" w:lineRule="auto"/>
        <w:ind w:firstLine="640" w:firstLineChars="200"/>
        <w:rPr>
          <w:rFonts w:ascii="Arial Narrow" w:hAnsi="Arial Narrow" w:eastAsia="仿宋_GB2312" w:cs="Arial"/>
          <w:sz w:val="32"/>
          <w:szCs w:val="32"/>
        </w:rPr>
      </w:pPr>
      <w:r>
        <w:rPr>
          <w:rFonts w:ascii="Arial Narrow" w:hAnsi="Arial Narrow" w:eastAsia="仿宋_GB2312" w:cs="Arial"/>
          <w:sz w:val="32"/>
          <w:szCs w:val="32"/>
        </w:rPr>
        <w:t>2021年部分项目预算编制不准确，如业务装备费、互联网接入费、审判法庭维修费、应用技术服务费等项目预算执行率均在50%以下，在项目实施过程中未根据项目需求的变化及时调整预算。</w:t>
      </w:r>
    </w:p>
    <w:p>
      <w:pPr>
        <w:adjustRightInd w:val="0"/>
        <w:snapToGrid w:val="0"/>
        <w:spacing w:line="360" w:lineRule="auto"/>
        <w:ind w:firstLine="640" w:firstLineChars="200"/>
        <w:rPr>
          <w:rFonts w:ascii="Arial Narrow" w:hAnsi="Arial Narrow" w:eastAsia="仿宋_GB2312" w:cs="Arial"/>
          <w:b/>
          <w:sz w:val="32"/>
          <w:szCs w:val="32"/>
        </w:rPr>
      </w:pPr>
      <w:r>
        <w:rPr>
          <w:rFonts w:ascii="Arial Narrow" w:hAnsi="Arial Narrow" w:eastAsia="仿宋_GB2312" w:cs="Arial"/>
          <w:sz w:val="32"/>
          <w:szCs w:val="32"/>
        </w:rPr>
        <w:t>2、</w:t>
      </w:r>
      <w:r>
        <w:rPr>
          <w:rFonts w:hint="eastAsia" w:ascii="Arial Narrow" w:hAnsi="Arial Narrow" w:eastAsia="仿宋_GB2312" w:cs="Arial"/>
          <w:sz w:val="32"/>
          <w:szCs w:val="32"/>
        </w:rPr>
        <w:t>重点</w:t>
      </w:r>
      <w:r>
        <w:rPr>
          <w:rFonts w:ascii="Arial Narrow" w:hAnsi="Arial Narrow" w:eastAsia="仿宋_GB2312" w:cs="Arial"/>
          <w:sz w:val="32"/>
          <w:szCs w:val="32"/>
        </w:rPr>
        <w:t>项目绩效目标填报内容相对简</w:t>
      </w:r>
      <w:r>
        <w:rPr>
          <w:rFonts w:hint="eastAsia" w:ascii="Arial Narrow" w:hAnsi="Arial Narrow" w:eastAsia="仿宋_GB2312" w:cs="Arial"/>
          <w:sz w:val="32"/>
          <w:szCs w:val="32"/>
        </w:rPr>
        <w:t>单</w:t>
      </w:r>
      <w:r>
        <w:rPr>
          <w:rFonts w:ascii="Arial Narrow" w:hAnsi="Arial Narrow" w:eastAsia="仿宋_GB2312" w:cs="Arial"/>
          <w:sz w:val="32"/>
          <w:szCs w:val="32"/>
        </w:rPr>
        <w:t>，</w:t>
      </w:r>
      <w:r>
        <w:rPr>
          <w:rFonts w:hint="eastAsia" w:ascii="Arial Narrow" w:hAnsi="Arial Narrow" w:eastAsia="仿宋_GB2312" w:cs="Arial"/>
          <w:sz w:val="32"/>
          <w:szCs w:val="32"/>
        </w:rPr>
        <w:t>如网络运维费项目</w:t>
      </w:r>
      <w:r>
        <w:rPr>
          <w:rFonts w:ascii="Arial Narrow" w:hAnsi="Arial Narrow" w:eastAsia="仿宋_GB2312" w:cs="Arial"/>
          <w:sz w:val="32"/>
          <w:szCs w:val="32"/>
        </w:rPr>
        <w:t>产出质量指标为“运维人员到位率100%”，与项目内容对应性不强，不能全面反映项目内容，不利于后期考核评价。</w:t>
      </w:r>
    </w:p>
    <w:p>
      <w:pPr>
        <w:pStyle w:val="2"/>
        <w:rPr>
          <w:rFonts w:ascii="Arial Narrow" w:hAnsi="Arial Narrow" w:cs="Arial"/>
        </w:rPr>
      </w:pPr>
      <w:bookmarkStart w:id="41" w:name="_Toc104405097"/>
      <w:r>
        <w:rPr>
          <w:rFonts w:ascii="Arial Narrow" w:hAnsi="Arial Narrow" w:cs="Arial"/>
        </w:rPr>
        <w:t>六、措施建议</w:t>
      </w:r>
      <w:bookmarkEnd w:id="41"/>
    </w:p>
    <w:p>
      <w:pPr>
        <w:adjustRightInd w:val="0"/>
        <w:snapToGrid w:val="0"/>
        <w:spacing w:line="360" w:lineRule="auto"/>
        <w:ind w:firstLine="640" w:firstLineChars="200"/>
        <w:rPr>
          <w:rFonts w:ascii="Arial Narrow" w:hAnsi="Arial Narrow" w:eastAsia="仿宋_GB2312" w:cs="Arial"/>
          <w:sz w:val="32"/>
          <w:szCs w:val="32"/>
        </w:rPr>
      </w:pPr>
      <w:bookmarkStart w:id="42" w:name="_Toc1388114"/>
      <w:r>
        <w:rPr>
          <w:rFonts w:hint="eastAsia" w:ascii="Arial Narrow" w:hAnsi="Arial Narrow" w:eastAsia="仿宋_GB2312" w:cs="Arial"/>
          <w:sz w:val="32"/>
          <w:szCs w:val="32"/>
        </w:rPr>
        <w:t>（一）预算编制前</w:t>
      </w:r>
      <w:r>
        <w:rPr>
          <w:rFonts w:ascii="Arial Narrow" w:hAnsi="Arial Narrow" w:eastAsia="仿宋_GB2312" w:cs="Arial"/>
          <w:sz w:val="32"/>
          <w:szCs w:val="32"/>
        </w:rPr>
        <w:t>加强项目需求调研，</w:t>
      </w:r>
      <w:bookmarkEnd w:id="42"/>
      <w:r>
        <w:rPr>
          <w:rFonts w:ascii="Arial Narrow" w:hAnsi="Arial Narrow" w:eastAsia="仿宋_GB2312" w:cs="Arial"/>
          <w:sz w:val="32"/>
          <w:szCs w:val="32"/>
        </w:rPr>
        <w:t>项目实施过程中，如果部分项目的实施条件和业务需求发生改变，相应对预算金额进行调整，确保财政资金的高效利用。</w:t>
      </w:r>
    </w:p>
    <w:p>
      <w:pPr>
        <w:adjustRightInd w:val="0"/>
        <w:snapToGrid w:val="0"/>
        <w:spacing w:line="360" w:lineRule="auto"/>
        <w:ind w:firstLine="640" w:firstLineChars="200"/>
        <w:rPr>
          <w:rFonts w:ascii="Arial Narrow" w:hAnsi="Arial Narrow" w:eastAsia="仿宋_GB2312" w:cs="Arial"/>
          <w:sz w:val="32"/>
          <w:szCs w:val="32"/>
        </w:rPr>
      </w:pPr>
      <w:r>
        <w:rPr>
          <w:rFonts w:hint="eastAsia" w:ascii="Arial Narrow" w:hAnsi="Arial Narrow" w:eastAsia="仿宋_GB2312" w:cs="Arial"/>
          <w:sz w:val="32"/>
          <w:szCs w:val="32"/>
        </w:rPr>
        <w:t>（二）</w:t>
      </w:r>
      <w:r>
        <w:rPr>
          <w:rFonts w:ascii="Arial Narrow" w:hAnsi="Arial Narrow" w:eastAsia="仿宋_GB2312" w:cs="Arial"/>
          <w:sz w:val="32"/>
          <w:szCs w:val="32"/>
        </w:rPr>
        <w:t>科学设置绩效目标，按照全面实施预算绩效管理的要求，注重绩效目标与项目目标、项目内容的对应关系，合理设置项目绩效目标和各项产出指标，做到绩效目标明确，绩效指标细化、量化、可衡量。</w:t>
      </w:r>
    </w:p>
    <w:p>
      <w:pPr>
        <w:adjustRightInd w:val="0"/>
        <w:snapToGrid w:val="0"/>
        <w:spacing w:line="360" w:lineRule="auto"/>
        <w:ind w:firstLine="640" w:firstLineChars="200"/>
        <w:rPr>
          <w:rFonts w:ascii="Arial Narrow" w:hAnsi="Arial Narrow" w:eastAsia="仿宋_GB2312" w:cs="Arial"/>
          <w:sz w:val="32"/>
          <w:szCs w:val="32"/>
        </w:rPr>
      </w:pPr>
    </w:p>
    <w:p>
      <w:pPr>
        <w:rPr>
          <w:rFonts w:ascii="Arial Narrow" w:hAnsi="Arial Narrow" w:cs="Arial"/>
          <w:spacing w:val="4"/>
          <w:kern w:val="0"/>
          <w:sz w:val="28"/>
          <w:szCs w:val="28"/>
        </w:rPr>
      </w:pPr>
    </w:p>
    <w:p>
      <w:pPr>
        <w:spacing w:line="360" w:lineRule="auto"/>
        <w:ind w:firstLine="480" w:firstLineChars="200"/>
        <w:rPr>
          <w:rFonts w:ascii="Arial Narrow" w:hAnsi="Arial Narrow" w:cs="Arial"/>
          <w:sz w:val="24"/>
        </w:rPr>
      </w:pPr>
    </w:p>
    <w:p>
      <w:pPr>
        <w:spacing w:line="360" w:lineRule="auto"/>
        <w:ind w:right="840" w:firstLine="602" w:firstLineChars="200"/>
        <w:jc w:val="right"/>
        <w:rPr>
          <w:rFonts w:ascii="Arial Narrow" w:hAnsi="Arial Narrow" w:cs="Arial"/>
          <w:b/>
          <w:bCs/>
          <w:sz w:val="30"/>
          <w:szCs w:val="30"/>
        </w:rPr>
      </w:pPr>
      <w:r>
        <w:rPr>
          <w:rFonts w:ascii="Arial Narrow" w:hAnsi="Arial Narrow" w:cs="Arial"/>
          <w:b/>
          <w:bCs/>
          <w:sz w:val="30"/>
          <w:szCs w:val="30"/>
        </w:rPr>
        <w:t>北京互联网法院</w:t>
      </w:r>
    </w:p>
    <w:p>
      <w:pPr>
        <w:spacing w:line="360" w:lineRule="auto"/>
        <w:ind w:firstLine="6160" w:firstLineChars="2200"/>
        <w:rPr>
          <w:rFonts w:ascii="Arial Narrow" w:hAnsi="Arial Narrow" w:cs="Arial"/>
        </w:rPr>
      </w:pPr>
      <w:r>
        <w:rPr>
          <w:rFonts w:ascii="Arial Narrow" w:hAnsi="Arial Narrow" w:cs="Arial"/>
          <w:sz w:val="28"/>
          <w:szCs w:val="28"/>
        </w:rPr>
        <w:t xml:space="preserve">2022年5月18日   </w:t>
      </w:r>
    </w:p>
    <w:sectPr>
      <w:headerReference r:id="rId4" w:type="default"/>
      <w:footerReference r:id="rId5" w:type="default"/>
      <w:pgSz w:w="11906" w:h="16838"/>
      <w:pgMar w:top="1911" w:right="1474" w:bottom="1882" w:left="1588" w:header="851" w:footer="153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等线 Light">
    <w:altName w:val="汉仪中宋简"/>
    <w:panose1 w:val="02010600030101010101"/>
    <w:charset w:val="86"/>
    <w:family w:val="auto"/>
    <w:pitch w:val="default"/>
    <w:sig w:usb0="00000000" w:usb1="00000000" w:usb2="00000016" w:usb3="00000000" w:csb0="0004000F" w:csb1="00000000"/>
  </w:font>
  <w:font w:name="Cambria">
    <w:altName w:val="Noto Sans Syriac Eastern"/>
    <w:panose1 w:val="02040503050406030204"/>
    <w:charset w:val="00"/>
    <w:family w:val="roman"/>
    <w:pitch w:val="default"/>
    <w:sig w:usb0="00000000" w:usb1="00000000" w:usb2="02000000"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Light">
    <w:altName w:val="方正宋体S-超大字符集(SIP)"/>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细黑一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2883164"/>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130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CB2"/>
    <w:rsid w:val="000120A2"/>
    <w:rsid w:val="000410E3"/>
    <w:rsid w:val="000420B9"/>
    <w:rsid w:val="000536F0"/>
    <w:rsid w:val="00053853"/>
    <w:rsid w:val="00055CD5"/>
    <w:rsid w:val="000625CF"/>
    <w:rsid w:val="00064288"/>
    <w:rsid w:val="00066E4B"/>
    <w:rsid w:val="00075658"/>
    <w:rsid w:val="000828F1"/>
    <w:rsid w:val="00085BAF"/>
    <w:rsid w:val="000976F3"/>
    <w:rsid w:val="000A3E8E"/>
    <w:rsid w:val="000A5A08"/>
    <w:rsid w:val="000D3B5D"/>
    <w:rsid w:val="000E564C"/>
    <w:rsid w:val="000F301F"/>
    <w:rsid w:val="000F6C36"/>
    <w:rsid w:val="00103383"/>
    <w:rsid w:val="00106A0A"/>
    <w:rsid w:val="001129C0"/>
    <w:rsid w:val="001332C7"/>
    <w:rsid w:val="00141705"/>
    <w:rsid w:val="001471CC"/>
    <w:rsid w:val="00151281"/>
    <w:rsid w:val="001546F5"/>
    <w:rsid w:val="00157E3D"/>
    <w:rsid w:val="0016066D"/>
    <w:rsid w:val="001766E7"/>
    <w:rsid w:val="00180895"/>
    <w:rsid w:val="00193D0E"/>
    <w:rsid w:val="00193F51"/>
    <w:rsid w:val="001A4BDB"/>
    <w:rsid w:val="001C25D5"/>
    <w:rsid w:val="001C3525"/>
    <w:rsid w:val="001C6238"/>
    <w:rsid w:val="001E09C1"/>
    <w:rsid w:val="001F17BE"/>
    <w:rsid w:val="00200E18"/>
    <w:rsid w:val="00203B4D"/>
    <w:rsid w:val="002148A9"/>
    <w:rsid w:val="00220641"/>
    <w:rsid w:val="0022404B"/>
    <w:rsid w:val="002251B5"/>
    <w:rsid w:val="00227410"/>
    <w:rsid w:val="002703EA"/>
    <w:rsid w:val="00282443"/>
    <w:rsid w:val="00287A3D"/>
    <w:rsid w:val="002925FF"/>
    <w:rsid w:val="002A0A04"/>
    <w:rsid w:val="002A63E3"/>
    <w:rsid w:val="002B4B59"/>
    <w:rsid w:val="002C763C"/>
    <w:rsid w:val="002E325A"/>
    <w:rsid w:val="002F1CCF"/>
    <w:rsid w:val="003028A5"/>
    <w:rsid w:val="00304B3C"/>
    <w:rsid w:val="00313C00"/>
    <w:rsid w:val="00314C98"/>
    <w:rsid w:val="003317EC"/>
    <w:rsid w:val="00362AF2"/>
    <w:rsid w:val="00384BCF"/>
    <w:rsid w:val="0038535E"/>
    <w:rsid w:val="003962A1"/>
    <w:rsid w:val="003A5D97"/>
    <w:rsid w:val="003D0056"/>
    <w:rsid w:val="003E4FCD"/>
    <w:rsid w:val="003E6666"/>
    <w:rsid w:val="003E6BDC"/>
    <w:rsid w:val="003E7FCD"/>
    <w:rsid w:val="003F06F2"/>
    <w:rsid w:val="003F730D"/>
    <w:rsid w:val="003F7A1E"/>
    <w:rsid w:val="004036A7"/>
    <w:rsid w:val="00404B8B"/>
    <w:rsid w:val="004160E8"/>
    <w:rsid w:val="00441FFF"/>
    <w:rsid w:val="0044496B"/>
    <w:rsid w:val="00451B12"/>
    <w:rsid w:val="0047463F"/>
    <w:rsid w:val="0048322E"/>
    <w:rsid w:val="0049329E"/>
    <w:rsid w:val="004B7A95"/>
    <w:rsid w:val="004C465F"/>
    <w:rsid w:val="004E4AB7"/>
    <w:rsid w:val="004E73DD"/>
    <w:rsid w:val="004F509B"/>
    <w:rsid w:val="004F50EA"/>
    <w:rsid w:val="005138BC"/>
    <w:rsid w:val="005232BC"/>
    <w:rsid w:val="00533322"/>
    <w:rsid w:val="005334C6"/>
    <w:rsid w:val="005628B7"/>
    <w:rsid w:val="005654F5"/>
    <w:rsid w:val="00571C8B"/>
    <w:rsid w:val="005878A2"/>
    <w:rsid w:val="005A4021"/>
    <w:rsid w:val="005B49A7"/>
    <w:rsid w:val="005B5F02"/>
    <w:rsid w:val="005C2261"/>
    <w:rsid w:val="005E0BCE"/>
    <w:rsid w:val="005E32F1"/>
    <w:rsid w:val="005F42D8"/>
    <w:rsid w:val="005F4696"/>
    <w:rsid w:val="00602414"/>
    <w:rsid w:val="00615899"/>
    <w:rsid w:val="00616C6A"/>
    <w:rsid w:val="0061709B"/>
    <w:rsid w:val="006277A2"/>
    <w:rsid w:val="006302FD"/>
    <w:rsid w:val="00640017"/>
    <w:rsid w:val="00656C80"/>
    <w:rsid w:val="00664A68"/>
    <w:rsid w:val="00664FC5"/>
    <w:rsid w:val="006675A8"/>
    <w:rsid w:val="0068097C"/>
    <w:rsid w:val="006A44CE"/>
    <w:rsid w:val="006A7688"/>
    <w:rsid w:val="006B5C17"/>
    <w:rsid w:val="006B77A0"/>
    <w:rsid w:val="006C0244"/>
    <w:rsid w:val="006C2B3A"/>
    <w:rsid w:val="006D198D"/>
    <w:rsid w:val="006E53EA"/>
    <w:rsid w:val="006E5529"/>
    <w:rsid w:val="006E5C1F"/>
    <w:rsid w:val="006E7B13"/>
    <w:rsid w:val="006F3B8C"/>
    <w:rsid w:val="0071142C"/>
    <w:rsid w:val="00714043"/>
    <w:rsid w:val="00722ED6"/>
    <w:rsid w:val="00727156"/>
    <w:rsid w:val="00727F35"/>
    <w:rsid w:val="00735325"/>
    <w:rsid w:val="00755722"/>
    <w:rsid w:val="00797D83"/>
    <w:rsid w:val="007A2F3C"/>
    <w:rsid w:val="007B31F3"/>
    <w:rsid w:val="007C3978"/>
    <w:rsid w:val="007E22EB"/>
    <w:rsid w:val="007F5CA4"/>
    <w:rsid w:val="00802218"/>
    <w:rsid w:val="00802981"/>
    <w:rsid w:val="00803F07"/>
    <w:rsid w:val="008100FF"/>
    <w:rsid w:val="00813659"/>
    <w:rsid w:val="008243D4"/>
    <w:rsid w:val="00842DA5"/>
    <w:rsid w:val="008435D0"/>
    <w:rsid w:val="00850EB4"/>
    <w:rsid w:val="00857E99"/>
    <w:rsid w:val="00862819"/>
    <w:rsid w:val="00877A21"/>
    <w:rsid w:val="00880875"/>
    <w:rsid w:val="008A6032"/>
    <w:rsid w:val="008B5830"/>
    <w:rsid w:val="008C5F84"/>
    <w:rsid w:val="008E695A"/>
    <w:rsid w:val="009004A0"/>
    <w:rsid w:val="00923C9F"/>
    <w:rsid w:val="00926B4E"/>
    <w:rsid w:val="00945410"/>
    <w:rsid w:val="00952BBB"/>
    <w:rsid w:val="00955C8F"/>
    <w:rsid w:val="00957885"/>
    <w:rsid w:val="00960D5E"/>
    <w:rsid w:val="00963442"/>
    <w:rsid w:val="00975EB8"/>
    <w:rsid w:val="00976311"/>
    <w:rsid w:val="00977109"/>
    <w:rsid w:val="00995BC9"/>
    <w:rsid w:val="009A3C20"/>
    <w:rsid w:val="009B0CB2"/>
    <w:rsid w:val="009B4335"/>
    <w:rsid w:val="009B548D"/>
    <w:rsid w:val="009C1FBE"/>
    <w:rsid w:val="009D03A3"/>
    <w:rsid w:val="009D5187"/>
    <w:rsid w:val="009D6FDE"/>
    <w:rsid w:val="009E162C"/>
    <w:rsid w:val="009F4FBD"/>
    <w:rsid w:val="009F67AA"/>
    <w:rsid w:val="00A020EC"/>
    <w:rsid w:val="00A04F06"/>
    <w:rsid w:val="00A2641F"/>
    <w:rsid w:val="00A26AC1"/>
    <w:rsid w:val="00A34ACC"/>
    <w:rsid w:val="00A35559"/>
    <w:rsid w:val="00A4138B"/>
    <w:rsid w:val="00A465FD"/>
    <w:rsid w:val="00A529EA"/>
    <w:rsid w:val="00A545B2"/>
    <w:rsid w:val="00A80DEC"/>
    <w:rsid w:val="00A81561"/>
    <w:rsid w:val="00A817F0"/>
    <w:rsid w:val="00A90ADA"/>
    <w:rsid w:val="00A923C5"/>
    <w:rsid w:val="00A95CB3"/>
    <w:rsid w:val="00AA0E54"/>
    <w:rsid w:val="00AA3909"/>
    <w:rsid w:val="00B0012F"/>
    <w:rsid w:val="00B033CA"/>
    <w:rsid w:val="00B10CB2"/>
    <w:rsid w:val="00B47F7C"/>
    <w:rsid w:val="00B50917"/>
    <w:rsid w:val="00B50B86"/>
    <w:rsid w:val="00B568B0"/>
    <w:rsid w:val="00B6067C"/>
    <w:rsid w:val="00B62ADB"/>
    <w:rsid w:val="00B726B3"/>
    <w:rsid w:val="00B84165"/>
    <w:rsid w:val="00BA08A0"/>
    <w:rsid w:val="00BA380C"/>
    <w:rsid w:val="00BA6C38"/>
    <w:rsid w:val="00BB40D5"/>
    <w:rsid w:val="00BC3922"/>
    <w:rsid w:val="00BD0C27"/>
    <w:rsid w:val="00BD7960"/>
    <w:rsid w:val="00BF302F"/>
    <w:rsid w:val="00C050EE"/>
    <w:rsid w:val="00C25A92"/>
    <w:rsid w:val="00C26CD7"/>
    <w:rsid w:val="00C40166"/>
    <w:rsid w:val="00C84652"/>
    <w:rsid w:val="00CA1493"/>
    <w:rsid w:val="00CA2F22"/>
    <w:rsid w:val="00CA5FE8"/>
    <w:rsid w:val="00CB17A1"/>
    <w:rsid w:val="00CC3A98"/>
    <w:rsid w:val="00CD5C26"/>
    <w:rsid w:val="00CE6507"/>
    <w:rsid w:val="00CE6526"/>
    <w:rsid w:val="00CF599A"/>
    <w:rsid w:val="00D1651D"/>
    <w:rsid w:val="00D34EC5"/>
    <w:rsid w:val="00D37396"/>
    <w:rsid w:val="00D40FB7"/>
    <w:rsid w:val="00D455A1"/>
    <w:rsid w:val="00D4565C"/>
    <w:rsid w:val="00D502FC"/>
    <w:rsid w:val="00D51364"/>
    <w:rsid w:val="00D55611"/>
    <w:rsid w:val="00D56EF5"/>
    <w:rsid w:val="00D6740B"/>
    <w:rsid w:val="00D67EBC"/>
    <w:rsid w:val="00D85DA3"/>
    <w:rsid w:val="00D903DC"/>
    <w:rsid w:val="00D91929"/>
    <w:rsid w:val="00DA5662"/>
    <w:rsid w:val="00DA6145"/>
    <w:rsid w:val="00DB6A28"/>
    <w:rsid w:val="00DE51E4"/>
    <w:rsid w:val="00E0322C"/>
    <w:rsid w:val="00E124D3"/>
    <w:rsid w:val="00E2179F"/>
    <w:rsid w:val="00E23316"/>
    <w:rsid w:val="00E24C83"/>
    <w:rsid w:val="00E3489D"/>
    <w:rsid w:val="00E350F3"/>
    <w:rsid w:val="00E556B5"/>
    <w:rsid w:val="00E66AB4"/>
    <w:rsid w:val="00E75F21"/>
    <w:rsid w:val="00E961F1"/>
    <w:rsid w:val="00EA1F2F"/>
    <w:rsid w:val="00EA5654"/>
    <w:rsid w:val="00EA686D"/>
    <w:rsid w:val="00EA7224"/>
    <w:rsid w:val="00EC05BC"/>
    <w:rsid w:val="00EC0D4F"/>
    <w:rsid w:val="00EC62B6"/>
    <w:rsid w:val="00ED0D22"/>
    <w:rsid w:val="00EE4369"/>
    <w:rsid w:val="00EE68FC"/>
    <w:rsid w:val="00F018BC"/>
    <w:rsid w:val="00F22CCC"/>
    <w:rsid w:val="00F47CD2"/>
    <w:rsid w:val="00F51AE1"/>
    <w:rsid w:val="00F54278"/>
    <w:rsid w:val="00F60919"/>
    <w:rsid w:val="00F67187"/>
    <w:rsid w:val="00F7286E"/>
    <w:rsid w:val="00F73E1E"/>
    <w:rsid w:val="00F7429D"/>
    <w:rsid w:val="00F7543D"/>
    <w:rsid w:val="00F758AA"/>
    <w:rsid w:val="00F92DC7"/>
    <w:rsid w:val="00F95B89"/>
    <w:rsid w:val="00F96DDB"/>
    <w:rsid w:val="00FC30C7"/>
    <w:rsid w:val="7BAF6519"/>
    <w:rsid w:val="DFBF6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adjustRightInd w:val="0"/>
      <w:snapToGrid w:val="0"/>
      <w:spacing w:before="156" w:beforeLines="50" w:line="360" w:lineRule="auto"/>
      <w:ind w:firstLine="562" w:firstLineChars="200"/>
      <w:outlineLvl w:val="0"/>
    </w:pPr>
    <w:rPr>
      <w:rFonts w:ascii="宋体" w:hAnsi="宋体"/>
      <w:b/>
      <w:bCs/>
      <w:kern w:val="0"/>
      <w:sz w:val="28"/>
      <w:szCs w:val="28"/>
    </w:rPr>
  </w:style>
  <w:style w:type="paragraph" w:styleId="3">
    <w:name w:val="heading 2"/>
    <w:basedOn w:val="1"/>
    <w:next w:val="1"/>
    <w:link w:val="2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2"/>
    <w:qFormat/>
    <w:uiPriority w:val="1"/>
    <w:pPr>
      <w:autoSpaceDE w:val="0"/>
      <w:autoSpaceDN w:val="0"/>
      <w:ind w:left="102"/>
      <w:jc w:val="left"/>
    </w:pPr>
    <w:rPr>
      <w:rFonts w:ascii="宋体" w:hAnsi="宋体" w:cs="宋体"/>
      <w:kern w:val="0"/>
      <w:sz w:val="28"/>
      <w:szCs w:val="28"/>
      <w:lang w:eastAsia="en-US"/>
    </w:rPr>
  </w:style>
  <w:style w:type="paragraph" w:styleId="5">
    <w:name w:val="toc 3"/>
    <w:basedOn w:val="1"/>
    <w:next w:val="1"/>
    <w:unhideWhenUsed/>
    <w:qFormat/>
    <w:uiPriority w:val="39"/>
    <w:pPr>
      <w:ind w:left="840" w:leftChars="400"/>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34"/>
      </w:tabs>
      <w:adjustRightInd w:val="0"/>
      <w:snapToGrid w:val="0"/>
      <w:spacing w:line="380" w:lineRule="exact"/>
      <w:jc w:val="center"/>
    </w:pPr>
  </w:style>
  <w:style w:type="paragraph" w:styleId="9">
    <w:name w:val="toc 2"/>
    <w:basedOn w:val="1"/>
    <w:next w:val="1"/>
    <w:unhideWhenUsed/>
    <w:qFormat/>
    <w:uiPriority w:val="39"/>
    <w:pPr>
      <w:ind w:left="420" w:leftChars="200"/>
    </w:p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3">
    <w:name w:val="page number"/>
    <w:basedOn w:val="12"/>
    <w:qFormat/>
    <w:uiPriority w:val="0"/>
  </w:style>
  <w:style w:type="character" w:styleId="14">
    <w:name w:val="Hyperlink"/>
    <w:unhideWhenUsed/>
    <w:qFormat/>
    <w:uiPriority w:val="99"/>
    <w:rPr>
      <w:color w:val="0000FF"/>
      <w:u w:val="single"/>
    </w:rPr>
  </w:style>
  <w:style w:type="character" w:customStyle="1" w:styleId="15">
    <w:name w:val="标题 1 字符"/>
    <w:basedOn w:val="12"/>
    <w:qFormat/>
    <w:uiPriority w:val="9"/>
    <w:rPr>
      <w:rFonts w:ascii="Times New Roman" w:hAnsi="Times New Roman" w:eastAsia="宋体" w:cs="Times New Roman"/>
      <w:b/>
      <w:bCs/>
      <w:kern w:val="44"/>
      <w:sz w:val="44"/>
      <w:szCs w:val="44"/>
    </w:rPr>
  </w:style>
  <w:style w:type="character" w:customStyle="1" w:styleId="16">
    <w:name w:val="页脚 字符"/>
    <w:basedOn w:val="12"/>
    <w:qFormat/>
    <w:uiPriority w:val="99"/>
    <w:rPr>
      <w:rFonts w:ascii="Times New Roman" w:hAnsi="Times New Roman" w:eastAsia="宋体" w:cs="Times New Roman"/>
      <w:sz w:val="18"/>
      <w:szCs w:val="18"/>
    </w:rPr>
  </w:style>
  <w:style w:type="character" w:customStyle="1" w:styleId="17">
    <w:name w:val="页脚 字符1"/>
    <w:link w:val="6"/>
    <w:qFormat/>
    <w:uiPriority w:val="99"/>
    <w:rPr>
      <w:rFonts w:ascii="Times New Roman" w:hAnsi="Times New Roman" w:eastAsia="宋体" w:cs="Times New Roman"/>
      <w:sz w:val="18"/>
      <w:szCs w:val="18"/>
    </w:rPr>
  </w:style>
  <w:style w:type="character" w:customStyle="1" w:styleId="18">
    <w:name w:val="标题 1 字符1"/>
    <w:link w:val="2"/>
    <w:qFormat/>
    <w:uiPriority w:val="0"/>
    <w:rPr>
      <w:rFonts w:ascii="宋体" w:hAnsi="宋体" w:eastAsia="宋体" w:cs="Times New Roman"/>
      <w:b/>
      <w:bCs/>
      <w:kern w:val="0"/>
      <w:sz w:val="28"/>
      <w:szCs w:val="28"/>
    </w:rPr>
  </w:style>
  <w:style w:type="paragraph" w:customStyle="1" w:styleId="19">
    <w:name w:val="TOC Heading"/>
    <w:basedOn w:val="2"/>
    <w:next w:val="1"/>
    <w:unhideWhenUsed/>
    <w:qFormat/>
    <w:uiPriority w:val="39"/>
    <w:pPr>
      <w:widowControl/>
      <w:adjustRightInd/>
      <w:snapToGrid/>
      <w:spacing w:before="480" w:beforeLines="0" w:line="276" w:lineRule="auto"/>
      <w:ind w:firstLine="0" w:firstLineChars="0"/>
      <w:jc w:val="left"/>
      <w:outlineLvl w:val="9"/>
    </w:pPr>
    <w:rPr>
      <w:rFonts w:ascii="Cambria" w:hAnsi="Cambria"/>
      <w:color w:val="365F91"/>
    </w:rPr>
  </w:style>
  <w:style w:type="paragraph" w:customStyle="1" w:styleId="20">
    <w:name w:val="_Style 13"/>
    <w:basedOn w:val="1"/>
    <w:next w:val="1"/>
    <w:unhideWhenUsed/>
    <w:qFormat/>
    <w:uiPriority w:val="39"/>
    <w:pPr>
      <w:ind w:left="840" w:leftChars="400"/>
    </w:pPr>
  </w:style>
  <w:style w:type="character" w:customStyle="1" w:styleId="21">
    <w:name w:val="页眉 字符"/>
    <w:basedOn w:val="12"/>
    <w:link w:val="7"/>
    <w:qFormat/>
    <w:uiPriority w:val="99"/>
    <w:rPr>
      <w:rFonts w:ascii="Times New Roman" w:hAnsi="Times New Roman" w:eastAsia="宋体" w:cs="Times New Roman"/>
      <w:sz w:val="18"/>
      <w:szCs w:val="18"/>
    </w:rPr>
  </w:style>
  <w:style w:type="character" w:customStyle="1" w:styleId="22">
    <w:name w:val="正文文本 字符"/>
    <w:basedOn w:val="12"/>
    <w:link w:val="4"/>
    <w:qFormat/>
    <w:uiPriority w:val="1"/>
    <w:rPr>
      <w:rFonts w:ascii="宋体" w:hAnsi="宋体" w:eastAsia="宋体" w:cs="宋体"/>
      <w:kern w:val="0"/>
      <w:sz w:val="28"/>
      <w:szCs w:val="28"/>
      <w:lang w:eastAsia="en-US"/>
    </w:rPr>
  </w:style>
  <w:style w:type="paragraph" w:customStyle="1" w:styleId="23">
    <w:name w:val="_Style 22"/>
    <w:basedOn w:val="1"/>
    <w:next w:val="24"/>
    <w:qFormat/>
    <w:uiPriority w:val="34"/>
    <w:pPr>
      <w:ind w:firstLine="420" w:firstLineChars="200"/>
    </w:pPr>
    <w:rPr>
      <w:rFonts w:ascii="Calibri" w:hAnsi="Calibri"/>
      <w:szCs w:val="22"/>
    </w:rPr>
  </w:style>
  <w:style w:type="paragraph" w:styleId="24">
    <w:name w:val="List Paragraph"/>
    <w:basedOn w:val="1"/>
    <w:qFormat/>
    <w:uiPriority w:val="34"/>
    <w:pPr>
      <w:ind w:firstLine="420" w:firstLineChars="200"/>
    </w:pPr>
  </w:style>
  <w:style w:type="character" w:customStyle="1" w:styleId="25">
    <w:name w:val="标题 2 字符"/>
    <w:basedOn w:val="12"/>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1149</Words>
  <Characters>6553</Characters>
  <Lines>54</Lines>
  <Paragraphs>15</Paragraphs>
  <TotalTime>996</TotalTime>
  <ScaleCrop>false</ScaleCrop>
  <LinksUpToDate>false</LinksUpToDate>
  <CharactersWithSpaces>7687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2021-06-02T23:58:00Z</dcterms:created>
  <dc:creator>宋 小梅</dc:creator>
  <cp:lastModifiedBy>user</cp:lastModifiedBy>
  <cp:lastPrinted>2022-04-03T01:25:00Z</cp:lastPrinted>
  <dcterms:modified xsi:type="dcterms:W3CDTF">2022-08-25T17:30:32Z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