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39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971"/>
        <w:gridCol w:w="977"/>
        <w:gridCol w:w="1542"/>
        <w:gridCol w:w="594"/>
        <w:gridCol w:w="4385"/>
        <w:gridCol w:w="1143"/>
        <w:gridCol w:w="755"/>
        <w:gridCol w:w="1002"/>
        <w:gridCol w:w="757"/>
        <w:gridCol w:w="27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23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23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6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(A)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(B)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分值（10分）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6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19.02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14.20%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1.42 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6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其中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:财政拨款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19.02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14.20%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1.42 </w:t>
            </w: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76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其他资金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该项资金为我院实有资金。其中党员活动经费用于开展党员活动，支部书记补助用于发放当年基层党组织离退休书记、副书记工作性补贴，利息收入为我院基本户利息待年终上缴财政。</w:t>
            </w:r>
          </w:p>
        </w:tc>
        <w:tc>
          <w:tcPr>
            <w:tcW w:w="209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基本完成了年初制定的年度总体目标，保证资金的专款专用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A）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全年实际值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B）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得分计算方法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开展党员活动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按照要求完成开展党员活动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未实现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完成值达到指标值，记满分；未达到指标值，按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B/A或A/B*该指标分值记分。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0.71 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偏差原因：21年度因疫情原因，未开展党员活动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整改措施：加强项目精细化管理，及时对绩效目标偏离情况进行矫正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发放支部书记补助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发放支部书记补助5.40万元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2.70万元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偏差原因：因2021年年底受疫情影响，剩余款项未及时发放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整改措施：加强项目精细化管理，及时对绩效目标偏离情况进行矫正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利息收入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基本户利息待年终上缴财政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未实现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偏差原因：利息收入未纳入项目管理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整改措施：将利息收入纳入项目管理，提高对其他收入资金的管控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进度指标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资金使用期限为2021年度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2021年度1-12月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若为定性指标，则根据“四档”原则分别按照指标分值的100-90%(含90%)、90-75%(含75%)、75-60%(含60%)、60-0%来记分。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项目预算控制数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19.02万元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19.02万元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提高单位资金使用效率，加强对其他收入的监管力度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基本实现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整改措施：及时、全面、完整收集项目效果资料，充分体现绩效目标完成情况；根据项目服务对象范围，选择适当的方式、方法，开展服务对象满意度调查，注重满意度等效果资料分析，充分反映项目实施绩效。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环境效益指标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保证资金专款专用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整改措施：及时、全面、完整收集项目效果资料，充分体现绩效目标完成情况；根据项目服务对象范围，选择适当的方式、方法，开展服务对象满意度调查，注重满意度等效果资料分析，充分反映项目实施绩效。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</w:t>
            </w:r>
          </w:p>
        </w:tc>
        <w:tc>
          <w:tcPr>
            <w:tcW w:w="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已实现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同效益指标得分计算方式</w:t>
            </w:r>
          </w:p>
        </w:tc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偏差原因：未对项目涉及工作人员进行满意度问卷调查，但在项目实施过程中未接到投诉。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54.63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ZmQwYTc0ZmZkOGY0YmYyYWQ0ZDRjOGJjOGVkYjkifQ=="/>
  </w:docVars>
  <w:rsids>
    <w:rsidRoot w:val="600640DD"/>
    <w:rsid w:val="600640DD"/>
    <w:rsid w:val="65CA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2022-08-30T08:09:00Z</dcterms:created>
  <dc:creator>眼里住着星星</dc:creator>
  <cp:lastModifiedBy>眼里住着星星</cp:lastModifiedBy>
  <dcterms:modified xsi:type="dcterms:W3CDTF">2022-08-30T09:21:37Z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3ADD20630E1E4EC3AEBCCD1237FF13B6</vt:lpwstr>
  </property>
</Properties>
</file>