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numId w:val="0"/>
        </w:numPr>
        <w:kinsoku/>
        <w:wordWrap/>
        <w:overflowPunct/>
        <w:topLinePunct w:val="0"/>
        <w:autoSpaceDE/>
        <w:autoSpaceDN/>
        <w:bidi w:val="0"/>
        <w:adjustRightInd/>
        <w:snapToGrid/>
        <w:spacing w:line="580" w:lineRule="exact"/>
        <w:jc w:val="center"/>
        <w:textAlignment w:val="auto"/>
        <w:rPr>
          <w:rFonts w:hint="eastAsia" w:ascii="黑体" w:hAnsi="Times New Roman" w:eastAsia="黑体" w:cs="Times New Roman"/>
          <w:sz w:val="28"/>
          <w:szCs w:val="28"/>
          <w:highlight w:val="none"/>
          <w:lang w:eastAsia="zh-CN"/>
        </w:rPr>
      </w:pPr>
      <w:bookmarkStart w:id="0" w:name="_GoBack"/>
      <w:r>
        <w:rPr>
          <w:rFonts w:hint="eastAsia" w:ascii="黑体" w:eastAsia="黑体" w:cs="Times New Roman"/>
          <w:sz w:val="28"/>
          <w:szCs w:val="28"/>
          <w:highlight w:val="none"/>
          <w:lang w:eastAsia="zh-CN"/>
        </w:rPr>
        <w:t>中国民主同盟北京市委员会</w:t>
      </w:r>
      <w:r>
        <w:rPr>
          <w:rFonts w:hint="eastAsia" w:ascii="黑体" w:eastAsia="黑体" w:cs="Times New Roman"/>
          <w:sz w:val="28"/>
          <w:szCs w:val="28"/>
          <w:highlight w:val="none"/>
          <w:lang w:val="en-US" w:eastAsia="zh-CN"/>
        </w:rPr>
        <w:t>2021年度</w:t>
      </w:r>
      <w:r>
        <w:rPr>
          <w:rFonts w:hint="eastAsia" w:ascii="黑体" w:hAnsi="Times New Roman" w:eastAsia="黑体" w:cs="Times New Roman"/>
          <w:sz w:val="28"/>
          <w:szCs w:val="28"/>
          <w:highlight w:val="none"/>
          <w:lang w:eastAsia="zh-CN"/>
        </w:rPr>
        <w:t>部门整体绩效评价报告</w:t>
      </w:r>
    </w:p>
    <w:bookmarkEnd w:id="0"/>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kern w:val="0"/>
          <w:sz w:val="28"/>
          <w:szCs w:val="28"/>
        </w:rPr>
      </w:pPr>
      <w:r>
        <w:rPr>
          <w:rFonts w:hint="eastAsia" w:ascii="黑体" w:hAnsi="黑体" w:eastAsia="黑体" w:cs="宋体"/>
          <w:color w:val="000000"/>
          <w:kern w:val="0"/>
          <w:sz w:val="28"/>
          <w:szCs w:val="28"/>
          <w:lang w:eastAsia="zh-CN"/>
        </w:rPr>
        <w:t>（</w:t>
      </w:r>
      <w:r>
        <w:rPr>
          <w:rFonts w:hint="eastAsia" w:ascii="仿宋_GB2312" w:hAnsi="仿宋_GB2312" w:eastAsia="仿宋_GB2312" w:cs="仿宋_GB2312"/>
          <w:color w:val="000000"/>
          <w:kern w:val="0"/>
          <w:sz w:val="28"/>
          <w:szCs w:val="28"/>
          <w:lang w:eastAsia="zh-CN"/>
        </w:rPr>
        <w:t>一）</w:t>
      </w:r>
      <w:r>
        <w:rPr>
          <w:rFonts w:hint="eastAsia" w:ascii="仿宋_GB2312" w:hAnsi="仿宋_GB2312" w:eastAsia="仿宋_GB2312" w:cs="仿宋_GB2312"/>
          <w:color w:val="000000"/>
          <w:kern w:val="0"/>
          <w:sz w:val="28"/>
          <w:szCs w:val="28"/>
        </w:rPr>
        <w:t>部门概况</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机构设置及职责工作任务情况</w:t>
      </w:r>
    </w:p>
    <w:p>
      <w:pPr>
        <w:pStyle w:val="2"/>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民盟北京市委属于民主党派机关，内设办公室、组织部、宣传部、参政议政部、研究室、社会服务部等6个职能部门；是民盟组织在北京市的工作机构，为民盟参与政治协商、履行参政议政和民主监督职能提供保障和服务工作。</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部门整体绩效目标设立情况</w:t>
      </w:r>
    </w:p>
    <w:p>
      <w:pPr>
        <w:pStyle w:val="2"/>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2021年，民盟北京市委紧紧围绕民盟中央和北京市中心工作，以强化思想政治引领，践行“四新”“三好”总要求，坚持上下联动、左右互动、内外协同，发挥民盟组织整体优势，推动参政议政工作高质量发展为依据，结合各部室职责任务设立部门整体绩效目标。按照中国特色社会主义参政党的要求，坚持和发展中国共产党领导的多党合作和政治协商制度，坚持中国特色社会主义政党制度，提高政治站位。以首善标准加快建设符合新时代要求的中国特色社会主义参政党地方组织，不断提升参政议政和社会服务等履职能力，切实加强自身建设。夯实思想政治基础，丰富理论研究成果。围绕首都发展大局凝聚智慧建言献策，塑造参政议政品牌扩大民盟影响，增强民主监督职能，探索履职方式，加强基层组织建设工作。</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（二）</w:t>
      </w:r>
      <w:r>
        <w:rPr>
          <w:rFonts w:hint="eastAsia" w:ascii="仿宋_GB2312" w:hAnsi="仿宋_GB2312" w:eastAsia="仿宋_GB2312" w:cs="仿宋_GB2312"/>
          <w:color w:val="000000"/>
          <w:kern w:val="0"/>
          <w:sz w:val="28"/>
          <w:szCs w:val="28"/>
        </w:rPr>
        <w:t>当年预算执行情况</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rPr>
        <w:t>202</w:t>
      </w:r>
      <w:r>
        <w:rPr>
          <w:rFonts w:hint="eastAsia" w:ascii="仿宋_GB2312" w:hAnsi="仿宋_GB2312" w:eastAsia="仿宋_GB2312" w:cs="仿宋_GB2312"/>
          <w:color w:val="000000"/>
          <w:kern w:val="0"/>
          <w:sz w:val="28"/>
          <w:szCs w:val="28"/>
          <w:lang w:val="en-US" w:eastAsia="zh-CN"/>
        </w:rPr>
        <w:t>1</w:t>
      </w:r>
      <w:r>
        <w:rPr>
          <w:rFonts w:hint="eastAsia" w:ascii="仿宋_GB2312" w:hAnsi="仿宋_GB2312" w:eastAsia="仿宋_GB2312" w:cs="仿宋_GB2312"/>
          <w:color w:val="000000"/>
          <w:kern w:val="0"/>
          <w:sz w:val="28"/>
          <w:szCs w:val="28"/>
        </w:rPr>
        <w:t>年全年预算数</w:t>
      </w:r>
      <w:r>
        <w:rPr>
          <w:rFonts w:hint="eastAsia" w:ascii="仿宋_GB2312" w:hAnsi="仿宋_GB2312" w:eastAsia="仿宋_GB2312" w:cs="仿宋_GB2312"/>
          <w:kern w:val="0"/>
          <w:sz w:val="28"/>
          <w:szCs w:val="28"/>
          <w:lang w:val="en-US" w:eastAsia="zh-CN"/>
        </w:rPr>
        <w:t>1739.33</w:t>
      </w:r>
      <w:r>
        <w:rPr>
          <w:rFonts w:hint="eastAsia" w:ascii="仿宋_GB2312" w:hAnsi="仿宋_GB2312" w:eastAsia="仿宋_GB2312" w:cs="仿宋_GB2312"/>
          <w:color w:val="000000"/>
          <w:kern w:val="0"/>
          <w:sz w:val="28"/>
          <w:szCs w:val="28"/>
        </w:rPr>
        <w:t>万元，其中，基本支出预算数</w:t>
      </w:r>
      <w:r>
        <w:rPr>
          <w:rFonts w:hint="eastAsia" w:ascii="仿宋_GB2312" w:hAnsi="仿宋_GB2312" w:eastAsia="仿宋_GB2312" w:cs="仿宋_GB2312"/>
          <w:kern w:val="0"/>
          <w:sz w:val="28"/>
          <w:szCs w:val="28"/>
          <w:lang w:val="en-US" w:eastAsia="zh-CN"/>
        </w:rPr>
        <w:t>1472.90</w:t>
      </w:r>
      <w:r>
        <w:rPr>
          <w:rFonts w:hint="eastAsia" w:ascii="仿宋_GB2312" w:hAnsi="仿宋_GB2312" w:eastAsia="仿宋_GB2312" w:cs="仿宋_GB2312"/>
          <w:color w:val="000000"/>
          <w:kern w:val="0"/>
          <w:sz w:val="28"/>
          <w:szCs w:val="28"/>
        </w:rPr>
        <w:t>万元，项目支出预算数</w:t>
      </w:r>
      <w:r>
        <w:rPr>
          <w:rFonts w:hint="eastAsia" w:ascii="仿宋_GB2312" w:hAnsi="仿宋_GB2312" w:eastAsia="仿宋_GB2312" w:cs="仿宋_GB2312"/>
          <w:kern w:val="0"/>
          <w:sz w:val="28"/>
          <w:szCs w:val="28"/>
          <w:lang w:val="en-US" w:eastAsia="zh-CN"/>
        </w:rPr>
        <w:t>266.43</w:t>
      </w:r>
      <w:r>
        <w:rPr>
          <w:rFonts w:hint="eastAsia" w:ascii="仿宋_GB2312" w:hAnsi="仿宋_GB2312" w:eastAsia="仿宋_GB2312" w:cs="仿宋_GB2312"/>
          <w:color w:val="000000"/>
          <w:kern w:val="0"/>
          <w:sz w:val="28"/>
          <w:szCs w:val="28"/>
        </w:rPr>
        <w:t>万元，其他支出预算数</w:t>
      </w:r>
      <w:r>
        <w:rPr>
          <w:rFonts w:hint="eastAsia" w:ascii="仿宋_GB2312" w:hAnsi="仿宋_GB2312" w:eastAsia="仿宋_GB2312" w:cs="仿宋_GB2312"/>
          <w:kern w:val="0"/>
          <w:sz w:val="28"/>
          <w:szCs w:val="28"/>
          <w:lang w:val="en-US" w:eastAsia="zh-CN"/>
        </w:rPr>
        <w:t>0</w:t>
      </w:r>
      <w:r>
        <w:rPr>
          <w:rFonts w:hint="eastAsia" w:ascii="仿宋_GB2312" w:hAnsi="仿宋_GB2312" w:eastAsia="仿宋_GB2312" w:cs="仿宋_GB2312"/>
          <w:color w:val="000000"/>
          <w:kern w:val="0"/>
          <w:sz w:val="28"/>
          <w:szCs w:val="28"/>
        </w:rPr>
        <w:t>万元。资金总体支出</w:t>
      </w:r>
      <w:r>
        <w:rPr>
          <w:rFonts w:hint="eastAsia" w:ascii="仿宋_GB2312" w:hAnsi="仿宋_GB2312" w:eastAsia="仿宋_GB2312" w:cs="仿宋_GB2312"/>
          <w:kern w:val="0"/>
          <w:sz w:val="28"/>
          <w:szCs w:val="28"/>
          <w:lang w:val="en-US" w:eastAsia="zh-CN"/>
        </w:rPr>
        <w:t>1655.77</w:t>
      </w:r>
      <w:r>
        <w:rPr>
          <w:rFonts w:hint="eastAsia" w:ascii="仿宋_GB2312" w:hAnsi="仿宋_GB2312" w:eastAsia="仿宋_GB2312" w:cs="仿宋_GB2312"/>
          <w:color w:val="000000"/>
          <w:kern w:val="0"/>
          <w:sz w:val="28"/>
          <w:szCs w:val="28"/>
        </w:rPr>
        <w:t>万元，其中，基本支出</w:t>
      </w:r>
      <w:r>
        <w:rPr>
          <w:rFonts w:hint="eastAsia" w:ascii="仿宋_GB2312" w:hAnsi="仿宋_GB2312" w:eastAsia="仿宋_GB2312" w:cs="仿宋_GB2312"/>
          <w:kern w:val="0"/>
          <w:sz w:val="28"/>
          <w:szCs w:val="28"/>
          <w:lang w:val="en-US" w:eastAsia="zh-CN"/>
        </w:rPr>
        <w:t>1419.04</w:t>
      </w:r>
      <w:r>
        <w:rPr>
          <w:rFonts w:hint="eastAsia" w:ascii="仿宋_GB2312" w:hAnsi="仿宋_GB2312" w:eastAsia="仿宋_GB2312" w:cs="仿宋_GB2312"/>
          <w:color w:val="000000"/>
          <w:kern w:val="0"/>
          <w:sz w:val="28"/>
          <w:szCs w:val="28"/>
        </w:rPr>
        <w:t>万元，项目支出</w:t>
      </w:r>
      <w:r>
        <w:rPr>
          <w:rFonts w:hint="eastAsia" w:ascii="仿宋_GB2312" w:hAnsi="仿宋_GB2312" w:eastAsia="仿宋_GB2312" w:cs="仿宋_GB2312"/>
          <w:kern w:val="0"/>
          <w:sz w:val="28"/>
          <w:szCs w:val="28"/>
          <w:lang w:val="en-US" w:eastAsia="zh-CN"/>
        </w:rPr>
        <w:t>236.73</w:t>
      </w:r>
      <w:r>
        <w:rPr>
          <w:rFonts w:hint="eastAsia" w:ascii="仿宋_GB2312" w:hAnsi="仿宋_GB2312" w:eastAsia="仿宋_GB2312" w:cs="仿宋_GB2312"/>
          <w:color w:val="000000"/>
          <w:kern w:val="0"/>
          <w:sz w:val="28"/>
          <w:szCs w:val="28"/>
        </w:rPr>
        <w:t>万元，其他支出</w:t>
      </w:r>
      <w:r>
        <w:rPr>
          <w:rFonts w:hint="eastAsia" w:ascii="仿宋_GB2312" w:hAnsi="仿宋_GB2312" w:eastAsia="仿宋_GB2312" w:cs="仿宋_GB2312"/>
          <w:color w:val="000000"/>
          <w:kern w:val="0"/>
          <w:sz w:val="28"/>
          <w:szCs w:val="28"/>
          <w:lang w:val="en-US" w:eastAsia="zh-CN"/>
        </w:rPr>
        <w:t>0</w:t>
      </w:r>
      <w:r>
        <w:rPr>
          <w:rFonts w:hint="eastAsia" w:ascii="仿宋_GB2312" w:hAnsi="仿宋_GB2312" w:eastAsia="仿宋_GB2312" w:cs="仿宋_GB2312"/>
          <w:color w:val="000000"/>
          <w:kern w:val="0"/>
          <w:sz w:val="28"/>
          <w:szCs w:val="28"/>
        </w:rPr>
        <w:t>万元。预算执行率为</w:t>
      </w:r>
      <w:r>
        <w:rPr>
          <w:rFonts w:hint="eastAsia" w:ascii="仿宋_GB2312" w:hAnsi="仿宋_GB2312" w:eastAsia="仿宋_GB2312" w:cs="仿宋_GB2312"/>
          <w:kern w:val="0"/>
          <w:sz w:val="28"/>
          <w:szCs w:val="28"/>
          <w:lang w:val="en-US" w:eastAsia="zh-CN"/>
        </w:rPr>
        <w:t>95.20%</w:t>
      </w:r>
      <w:r>
        <w:rPr>
          <w:rFonts w:hint="eastAsia" w:ascii="仿宋_GB2312" w:hAnsi="仿宋_GB2312" w:eastAsia="仿宋_GB2312" w:cs="仿宋_GB2312"/>
          <w:color w:val="000000"/>
          <w:kern w:val="0"/>
          <w:sz w:val="28"/>
          <w:szCs w:val="28"/>
        </w:rPr>
        <w:t>。</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（三）</w:t>
      </w:r>
      <w:r>
        <w:rPr>
          <w:rFonts w:hint="eastAsia" w:ascii="仿宋_GB2312" w:hAnsi="仿宋_GB2312" w:eastAsia="仿宋_GB2312" w:cs="仿宋_GB2312"/>
          <w:color w:val="000000"/>
          <w:kern w:val="0"/>
          <w:sz w:val="28"/>
          <w:szCs w:val="28"/>
        </w:rPr>
        <w:t>整体绩效目标实现情况</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产出完成情况分析</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lang w:val="en-US" w:eastAsia="zh-CN"/>
        </w:rPr>
        <w:t>1</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产出数量</w:t>
      </w:r>
    </w:p>
    <w:p>
      <w:pPr>
        <w:pStyle w:val="2"/>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全年共立项参政议政调研课题27项，开展较大规模调研、座谈60余次。围绕完善“接诉即办”机制、提升西山永定河文化带品牌价值、博物馆之城建设等3项主委课题，主委亲自带队开展实地调研。围绕“两区”建设，组织专家赴自贸区实地考察，开展调研座谈10余次，召开5次专题研讨会。</w:t>
      </w:r>
    </w:p>
    <w:p>
      <w:pPr>
        <w:pStyle w:val="2"/>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以“四个十”为载体的思想政治宣传重点工作成效显著。举办10场“民盟先贤肖像巡回展”，印发新版民盟先贤肖像画册1千册。“民盟先贤肖像巡回展”总数达到37场，其中京外11场，观众累计达2万余人次，成为民盟北京市委首创的重要品牌活动。截止2021年底，全市共建成“盟员之家”74个。年初，民盟中央主席丁仲礼一行莅临朝阳区安华里社区“盟员之家”，调研指导盟务工作，对民盟北京市委依托基层社区开展党盟合作和公益服务活动予以高度评价，对“盟员之家”建设发展、管理模式、取得成效予以充分肯定。持续做好民盟重大历史题材美术创作并取得重要进展，完成第2期投标作品小样评审，10幅作品全面完成签约。在项目数量指标方面基本达到预期目标。</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lang w:val="en-US" w:eastAsia="zh-CN"/>
        </w:rPr>
        <w:t>2</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产出质量</w:t>
      </w:r>
    </w:p>
    <w:p>
      <w:pPr>
        <w:pStyle w:val="2"/>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按照中共北京市委统一部署，对口怀柔区启动开展为期三年（2021-2023年）的“国际科技创新中心”建设专项民主监督工作。结合相关调研成果，在北京市政协议政性常委会上提交《发挥新型举国体制优势  加快怀柔科学城建设发展》书面发言，其中多项建议被吸纳到市政协“加快国际科技创新中心建设”课题报告。</w:t>
      </w:r>
    </w:p>
    <w:p>
      <w:pPr>
        <w:pStyle w:val="2"/>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在全国两会和北京市两会、建党百年庆典、抗疫防汛等关键时刻及时发出首都民盟好声音。制定印发《反映社情民意信息工作评选表彰暂行办法》，及时发布信息编报指南，引导各级各类组织和广大盟员更好发挥作用。截至2021年底，累计报送各类信息605篇，其中5篇和3个建言专报获中共北京市委主要领导重要批示，124篇建言类信息被中央、北京市有关部门采用。</w:t>
      </w:r>
    </w:p>
    <w:p>
      <w:pPr>
        <w:pStyle w:val="2"/>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召开民盟北京市委社会服务工作总结表彰大会，全面总结2014年以来社会服务工作，隆重表彰先进集体、先进个人。民盟中央和中共北京市委统战部领导出席并讲话，对民盟北京市委社会服务工作取得的优异成绩给予高度评价。</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lang w:val="en-US" w:eastAsia="zh-CN"/>
        </w:rPr>
        <w:t>3</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产出进度</w:t>
      </w:r>
    </w:p>
    <w:p>
      <w:pPr>
        <w:pStyle w:val="2"/>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预计完成日期2021年12月；实际完成日期2021年12月。</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lang w:val="en-US" w:eastAsia="zh-CN"/>
        </w:rPr>
        <w:t>4</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 xml:space="preserve">产出成本  </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 xml:space="preserve">财政拨款实际收入1739.33万元，支出1655.77万元，预算完成率95.20%。其中，基本财政拨款实际收入1472.90万元，支出1419.04万元，预算完成率96.34%。项目财政拨款实际收入266.43万元，项目支出236.73万元，结余29.70万元,原因包括未使用机动经费及受疫情影响出差任务大幅减少。                                   </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效果实现情况分析</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lang w:val="en-US" w:eastAsia="zh-CN"/>
        </w:rPr>
        <w:t>1</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经济效益</w:t>
      </w:r>
    </w:p>
    <w:p>
      <w:pPr>
        <w:pStyle w:val="2"/>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本年度未设立此项目标。</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lang w:val="en-US" w:eastAsia="zh-CN"/>
        </w:rPr>
        <w:t>2</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社会效益</w:t>
      </w:r>
    </w:p>
    <w:p>
      <w:pPr>
        <w:pStyle w:val="2"/>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在全国两会和北京市两会、建党百年庆典、抗疫防汛、助力北京冬奥盛会等关键时刻及时发出首都民盟好声音。组织结合中共党史学习，开展丰富多彩的特色活动，推动政治共识专题教育走深走实。推动首都各届盟员缅怀民盟先贤业绩风范，继承弘扬民盟优良传统。强化思想政治引领，提高“政治三力”，践行“四新”“三好”总要求，坚持上下联动、左右互动、内外协同，圆满完成全年各项目标任务，取得显著工作成效。</w:t>
      </w:r>
    </w:p>
    <w:p>
      <w:pPr>
        <w:pStyle w:val="2"/>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落实中央文明办和民盟中央新一轮“科学探索·圆梦工程”航天科普志愿服务行动，组建专家团队前往河北广宗和贵州黔西南州等地开展航天科普讲座、航天科技课程和师资力量培训，帮助师生增强民族自豪感，提升科学素养，增强团队意识，提升科技教育能力。</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lang w:val="en-US" w:eastAsia="zh-CN"/>
        </w:rPr>
        <w:t>3</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环境效益</w:t>
      </w:r>
    </w:p>
    <w:p>
      <w:pPr>
        <w:pStyle w:val="2"/>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本年度未设立此项目标。</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lang w:val="en-US" w:eastAsia="zh-CN"/>
        </w:rPr>
        <w:t>4</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可持续性影响</w:t>
      </w:r>
    </w:p>
    <w:p>
      <w:pPr>
        <w:pStyle w:val="2"/>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结合中共党史学习，组织开展以“四个十”为代表的特色活动，推动政治共识专题教育走深走实，推动首都各届盟员缅怀民盟先贤业绩风范，继承弘扬民盟优良传统。</w:t>
      </w:r>
    </w:p>
    <w:p>
      <w:pPr>
        <w:pStyle w:val="2"/>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巩固“三治三强”专项行动成效，有序完成机关干部职务职级晋升和轮岗工作，落实机关公务员平时考核制度，激发干事创业热情。完成民盟市委机关文化墙建设，利用机关活动室开展文化活动，塑造“书香民盟”氛围。严格落实疫情防控规定，有效确保“零感染”。邀请纪检部门负责人开展严守政治纪律、加强廉政建设专题教育。持续保持全国文明单位荣誉，呈现昂扬向上精神风貌。</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lang w:val="en-US" w:eastAsia="zh-CN"/>
        </w:rPr>
        <w:t>5</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服务对象满意度</w:t>
      </w:r>
    </w:p>
    <w:p>
      <w:pPr>
        <w:pStyle w:val="2"/>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通过抽样调查，各基层组织及盟员满意度95%，达到良好标准。</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（四）</w:t>
      </w:r>
      <w:r>
        <w:rPr>
          <w:rFonts w:hint="eastAsia" w:ascii="仿宋_GB2312" w:hAnsi="仿宋_GB2312" w:eastAsia="仿宋_GB2312" w:cs="仿宋_GB2312"/>
          <w:color w:val="000000"/>
          <w:kern w:val="0"/>
          <w:sz w:val="28"/>
          <w:szCs w:val="28"/>
        </w:rPr>
        <w:t>预算管理情况分析</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财务管理</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lang w:val="en-US" w:eastAsia="zh-CN"/>
        </w:rPr>
        <w:t>1</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财务管理制度健全性</w:t>
      </w:r>
    </w:p>
    <w:p>
      <w:pPr>
        <w:pStyle w:val="2"/>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本单位财务人员严格按照政府会计制度履行财务管理职责，做好财务预算编制、执行、控制、分析及决算工作；内部财务管理制度健全；预算资金管理办法、绩效跟踪管理办法、资产管理办法等各项制度健全；部门内部财务管理制度完整、合规；会计核算制度完整、合规。</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lang w:val="en-US" w:eastAsia="zh-CN"/>
        </w:rPr>
        <w:t>2</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资金使用合规性和安全性</w:t>
      </w:r>
    </w:p>
    <w:p>
      <w:pPr>
        <w:pStyle w:val="2"/>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本年度支出的所有资金符合国家财经法规和财务管理制度规定以及有关专项资金管理办法的规定；资金拨付有完整的审批程序和手续；项目支出按规定经过评估论证；支出符合部门预算批复的用途；资金使用无截留、挤占、挪用、虚列支出等情况。</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lang w:val="en-US" w:eastAsia="zh-CN"/>
        </w:rPr>
        <w:t>3</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会计基础信息完善性</w:t>
      </w:r>
    </w:p>
    <w:p>
      <w:pPr>
        <w:pStyle w:val="2"/>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本单位依法建账，严格按照政府会计制度设置会计科目，开展会计工作。原始凭证的格式正确、内容完整、要素齐全，填制方法、审核程序等符合制度要求;记账凭证内容、填制方法、所附原始凭证、符合制度要求，字迹清楚，装订整齐。</w:t>
      </w:r>
    </w:p>
    <w:p>
      <w:pPr>
        <w:pStyle w:val="2"/>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本单位按规定设置总账、明细账、日记账和备查账，账薄启用规范，账薄登记字迹清楚、要素齐全、摘要明确，结账、错误更正方法都符合会计制度的规定。能做到账证、账账、账实相符，银行存款与银行对账单及时核对。对会计凭证、会计账簿、会计报表和其他会计资料都能按照国家规定定期整理归档，妥善保管。保证会计基础信息资料真实、完整、准确。</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资产管理</w:t>
      </w:r>
    </w:p>
    <w:p>
      <w:pPr>
        <w:pStyle w:val="2"/>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本单位建有资产管理制度，对单位公共财产物资实行统一管理、统一调配，并按使用人建立了资产实物管理台账，实行使用、保管签字登记制度。对固定资产统一采购、多人经办，每月月初根据各部门的需求制订采购计划，实行多人经办、“货比三家”，并按政府采购程序和有关规定加强采购手续。年底对财产物资进行清查、盘点、核对、处理。对取得的资产实物及时进行会计核算。</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绩效管理</w:t>
      </w:r>
    </w:p>
    <w:p>
      <w:pPr>
        <w:pStyle w:val="2"/>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我单位在整体目标执行中及时掌握执行的基本情况，收集整理相关资料，确定了绩效目标、资金使用情况、完成情况及项目效益的实现情况等。对绩效信息及时进行汇总分析整理，对绩效目标偏离情况及时进行矫正。</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结转结余率</w:t>
      </w:r>
    </w:p>
    <w:p>
      <w:pPr>
        <w:pStyle w:val="2"/>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2020年结转结余资金82.99万元，预算支出数1680.67万元，结转结余率4.94%。2021年结转结余资金83.56万元，预算支出数1739.33万元，结转结余率4.80%。</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部门预决算差异率</w:t>
      </w:r>
    </w:p>
    <w:p>
      <w:pPr>
        <w:pStyle w:val="2"/>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2021年度年初预算支出为1700.97万元，决算支出为1655.77万元，决算比年初预算减少45.20万元，减少2.66%。</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（五）</w:t>
      </w:r>
      <w:r>
        <w:rPr>
          <w:rFonts w:hint="eastAsia" w:ascii="仿宋_GB2312" w:hAnsi="仿宋_GB2312" w:eastAsia="仿宋_GB2312" w:cs="仿宋_GB2312"/>
          <w:sz w:val="28"/>
          <w:szCs w:val="28"/>
        </w:rPr>
        <w:t>总体评价结论</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评价得分情况</w:t>
      </w:r>
    </w:p>
    <w:p>
      <w:pPr>
        <w:pStyle w:val="2"/>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综合考虑各种因素，整体绩效评价得分90.9分，其中，当年预算执行情况19.4分，整体绩效目标实现情况51.5分，预算管理情况20分。</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存在的问题及原因分析</w:t>
      </w:r>
    </w:p>
    <w:p>
      <w:pPr>
        <w:pStyle w:val="2"/>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在项目立项方面，缺少前期调研论证和风险评估，资金分配与实际需求存在一定差异；主要是项目前期工作不够细致，需要加强项目管理，不断完善内控制度；针对疫情变化，及时调整工作方式方法，全面完成项目各项指标。</w:t>
      </w:r>
    </w:p>
    <w:p>
      <w:pPr>
        <w:pStyle w:val="2"/>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在绩效目标设立方面，目标编制不够具体，指标设定值较粗，未进行更加明确的细化；对项目指标理解不够深入，工作不够细致。民盟北京市委重视项目绩效工作，但在项目执行层面需要进一步加深对相关政策文件的理解，吃透文件精神，强化绩效意识。</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（六）</w:t>
      </w:r>
      <w:r>
        <w:rPr>
          <w:rFonts w:hint="eastAsia" w:ascii="仿宋_GB2312" w:hAnsi="仿宋_GB2312" w:eastAsia="仿宋_GB2312" w:cs="仿宋_GB2312"/>
          <w:color w:val="000000"/>
          <w:kern w:val="0"/>
          <w:sz w:val="28"/>
          <w:szCs w:val="28"/>
        </w:rPr>
        <w:t>措施建议</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加强预算编制的规范性，做到细化、量化、可衡量，整体绩效目标设立二级、三级指标，完善整体绩效目标管理体系，保证年度预算支出进度和项目完成程度同步，减少预决算差异，有效控制结余结转资金规模。进一步细化项目管理控制制度，使之更加完善。</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加强服务对象满意度调查的针对性，根据不同项目的服务对象，随时组织开展满意度调查，并建立满意度调查常态机制，同时对调查满意度资料进行收集整理，便于进行项目绩效评价。</w:t>
      </w: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F26D4B"/>
    <w:rsid w:val="5D615A7E"/>
    <w:rsid w:val="67F26D4B"/>
    <w:rsid w:val="6A0F4B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customStyle="1" w:styleId="6">
    <w:name w:val="样式1"/>
    <w:basedOn w:val="3"/>
    <w:next w:val="1"/>
    <w:uiPriority w:val="0"/>
    <w:pPr>
      <w:spacing w:line="240" w:lineRule="auto"/>
    </w:pPr>
    <w:rPr>
      <w:rFonts w:eastAsia="黑体" w:asciiTheme="minorAscii" w:hAnsiTheme="minorAscii"/>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2022-08-19T09:16:00Z</dcterms:created>
  <dc:creator>user</dc:creator>
  <cp:lastModifiedBy>user</cp:lastModifiedBy>
  <dcterms:modified xsi:type="dcterms:W3CDTF">2022-08-19T09:22:29Z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ies>
</file>