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174" w:type="dxa"/>
        <w:tblInd w:w="0" w:type="dxa"/>
        <w:tblLayout w:type="fixed"/>
        <w:tblCellMar>
          <w:top w:w="0" w:type="dxa"/>
          <w:left w:w="108" w:type="dxa"/>
          <w:bottom w:w="0" w:type="dxa"/>
          <w:right w:w="108" w:type="dxa"/>
        </w:tblCellMar>
      </w:tblPr>
      <w:tblGrid>
        <w:gridCol w:w="924"/>
        <w:gridCol w:w="718"/>
        <w:gridCol w:w="1162"/>
        <w:gridCol w:w="2434"/>
        <w:gridCol w:w="1954"/>
        <w:gridCol w:w="645"/>
        <w:gridCol w:w="644"/>
        <w:gridCol w:w="3102"/>
        <w:gridCol w:w="2591"/>
      </w:tblGrid>
      <w:tr>
        <w:tblPrEx>
          <w:tblLayout w:type="fixed"/>
          <w:tblCellMar>
            <w:top w:w="0" w:type="dxa"/>
            <w:left w:w="108" w:type="dxa"/>
            <w:bottom w:w="0" w:type="dxa"/>
            <w:right w:w="108" w:type="dxa"/>
          </w:tblCellMar>
        </w:tblPrEx>
        <w:trPr>
          <w:trHeight w:val="499" w:hRule="atLeast"/>
        </w:trPr>
        <w:tc>
          <w:tcPr>
            <w:tcW w:w="14174" w:type="dxa"/>
            <w:gridSpan w:val="9"/>
            <w:tcBorders>
              <w:top w:val="nil"/>
              <w:left w:val="nil"/>
              <w:bottom w:val="single" w:color="auto" w:sz="4" w:space="0"/>
              <w:right w:val="nil"/>
            </w:tcBorders>
            <w:vAlign w:val="bottom"/>
          </w:tcPr>
          <w:p>
            <w:pPr>
              <w:jc w:val="center"/>
              <w:rPr>
                <w:rFonts w:hint="eastAsia" w:ascii="宋体" w:hAnsi="宋体" w:cs="宋体"/>
                <w:color w:val="000000"/>
                <w:kern w:val="0"/>
                <w:sz w:val="20"/>
                <w:szCs w:val="20"/>
                <w:lang w:eastAsia="zh-CN"/>
              </w:rPr>
            </w:pPr>
            <w:r>
              <w:rPr>
                <w:rFonts w:hint="eastAsia" w:ascii="宋体" w:hAnsi="宋体" w:cs="宋体"/>
                <w:color w:val="000000"/>
                <w:kern w:val="0"/>
                <w:sz w:val="44"/>
                <w:szCs w:val="44"/>
              </w:rPr>
              <w:t>202</w:t>
            </w:r>
            <w:r>
              <w:rPr>
                <w:rFonts w:hint="eastAsia" w:ascii="宋体" w:hAnsi="宋体" w:cs="宋体"/>
                <w:color w:val="000000"/>
                <w:kern w:val="0"/>
                <w:sz w:val="44"/>
                <w:szCs w:val="44"/>
                <w:lang w:val="en-US" w:eastAsia="zh-CN"/>
              </w:rPr>
              <w:t>1</w:t>
            </w:r>
            <w:r>
              <w:rPr>
                <w:rFonts w:hint="eastAsia" w:ascii="宋体" w:hAnsi="宋体" w:cs="宋体"/>
                <w:color w:val="000000"/>
                <w:kern w:val="0"/>
                <w:sz w:val="44"/>
                <w:szCs w:val="44"/>
              </w:rPr>
              <w:t>年</w:t>
            </w:r>
            <w:r>
              <w:rPr>
                <w:rFonts w:hint="eastAsia" w:ascii="宋体" w:hAnsi="宋体" w:cs="宋体"/>
                <w:color w:val="000000"/>
                <w:kern w:val="0"/>
                <w:sz w:val="44"/>
                <w:szCs w:val="44"/>
                <w:lang w:val="en-US" w:eastAsia="zh-CN"/>
              </w:rPr>
              <w:t>部门</w:t>
            </w:r>
            <w:r>
              <w:rPr>
                <w:rFonts w:hint="eastAsia" w:ascii="宋体" w:hAnsi="宋体" w:cs="宋体"/>
                <w:color w:val="000000"/>
                <w:kern w:val="0"/>
                <w:sz w:val="44"/>
                <w:szCs w:val="44"/>
              </w:rPr>
              <w:t>整体绩效评价指标体系评分表</w:t>
            </w:r>
          </w:p>
        </w:tc>
      </w:tr>
      <w:tr>
        <w:tblPrEx>
          <w:tblLayout w:type="fixed"/>
          <w:tblCellMar>
            <w:top w:w="0" w:type="dxa"/>
            <w:left w:w="108" w:type="dxa"/>
            <w:bottom w:w="0" w:type="dxa"/>
            <w:right w:w="108" w:type="dxa"/>
          </w:tblCellMar>
        </w:tblPrEx>
        <w:trPr>
          <w:trHeight w:val="470" w:hRule="atLeast"/>
        </w:trPr>
        <w:tc>
          <w:tcPr>
            <w:tcW w:w="14174" w:type="dxa"/>
            <w:gridSpan w:val="9"/>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一、当年预算执行情况（20分）</w:t>
            </w:r>
          </w:p>
        </w:tc>
      </w:tr>
      <w:tr>
        <w:tblPrEx>
          <w:tblLayout w:type="fixed"/>
          <w:tblCellMar>
            <w:top w:w="0" w:type="dxa"/>
            <w:left w:w="108" w:type="dxa"/>
            <w:bottom w:w="0" w:type="dxa"/>
            <w:right w:w="108" w:type="dxa"/>
          </w:tblCellMar>
        </w:tblPrEx>
        <w:trPr>
          <w:trHeight w:val="660" w:hRule="atLeast"/>
        </w:trPr>
        <w:tc>
          <w:tcPr>
            <w:tcW w:w="9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一级</w:t>
            </w: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　</w:t>
            </w: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预算数</w:t>
            </w: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（万元）</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1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259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Layout w:type="fixed"/>
          <w:tblCellMar>
            <w:top w:w="0" w:type="dxa"/>
            <w:left w:w="108" w:type="dxa"/>
            <w:bottom w:w="0" w:type="dxa"/>
            <w:right w:w="108" w:type="dxa"/>
          </w:tblCellMar>
        </w:tblPrEx>
        <w:trPr>
          <w:trHeight w:val="630" w:hRule="atLeast"/>
        </w:trPr>
        <w:tc>
          <w:tcPr>
            <w:tcW w:w="92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1739.33</w:t>
            </w:r>
            <w:r>
              <w:rPr>
                <w:rFonts w:hint="eastAsia" w:ascii="宋体" w:hAnsi="宋体" w:cs="宋体"/>
                <w:color w:val="000000"/>
                <w:kern w:val="0"/>
                <w:sz w:val="20"/>
                <w:szCs w:val="20"/>
              </w:rPr>
              <w:t>　</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1655.77</w:t>
            </w:r>
            <w:r>
              <w:rPr>
                <w:rFonts w:hint="eastAsia" w:ascii="宋体" w:hAnsi="宋体" w:cs="宋体"/>
                <w:color w:val="000000"/>
                <w:kern w:val="0"/>
                <w:sz w:val="20"/>
                <w:szCs w:val="20"/>
              </w:rPr>
              <w:t>　</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95.20%</w:t>
            </w:r>
            <w:r>
              <w:rPr>
                <w:rFonts w:hint="eastAsia" w:ascii="宋体" w:hAnsi="宋体" w:cs="宋体"/>
                <w:color w:val="000000"/>
                <w:kern w:val="0"/>
                <w:sz w:val="20"/>
                <w:szCs w:val="20"/>
              </w:rPr>
              <w:t>　</w:t>
            </w:r>
          </w:p>
        </w:tc>
        <w:tc>
          <w:tcPr>
            <w:tcW w:w="64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4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19.4</w:t>
            </w:r>
            <w:r>
              <w:rPr>
                <w:rFonts w:hint="eastAsia" w:ascii="宋体" w:hAnsi="宋体" w:cs="宋体"/>
                <w:color w:val="000000"/>
                <w:kern w:val="0"/>
                <w:sz w:val="20"/>
                <w:szCs w:val="20"/>
              </w:rPr>
              <w:t>　</w:t>
            </w:r>
          </w:p>
        </w:tc>
        <w:tc>
          <w:tcPr>
            <w:tcW w:w="310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部门全年执行数与全年预算数的比率。资金总体=基本支出+项目支出+其他</w:t>
            </w:r>
          </w:p>
        </w:tc>
        <w:tc>
          <w:tcPr>
            <w:tcW w:w="259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①得分一档最高不能超过该指标分值上限（20分）。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Layout w:type="fixed"/>
          <w:tblCellMar>
            <w:top w:w="0" w:type="dxa"/>
            <w:left w:w="108" w:type="dxa"/>
            <w:bottom w:w="0" w:type="dxa"/>
            <w:right w:w="108" w:type="dxa"/>
          </w:tblCellMar>
        </w:tblPrEx>
        <w:trPr>
          <w:trHeight w:val="600" w:hRule="atLeast"/>
        </w:trPr>
        <w:tc>
          <w:tcPr>
            <w:tcW w:w="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71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1472.90</w:t>
            </w:r>
            <w:r>
              <w:rPr>
                <w:rFonts w:hint="eastAsia" w:ascii="宋体" w:hAnsi="宋体" w:cs="宋体"/>
                <w:color w:val="000000"/>
                <w:kern w:val="0"/>
                <w:sz w:val="20"/>
                <w:szCs w:val="20"/>
              </w:rPr>
              <w:t>　</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1419.04</w:t>
            </w:r>
            <w:r>
              <w:rPr>
                <w:rFonts w:hint="eastAsia" w:ascii="宋体" w:hAnsi="宋体" w:cs="宋体"/>
                <w:color w:val="000000"/>
                <w:kern w:val="0"/>
                <w:sz w:val="20"/>
                <w:szCs w:val="20"/>
              </w:rPr>
              <w:t>　</w:t>
            </w:r>
          </w:p>
        </w:tc>
        <w:tc>
          <w:tcPr>
            <w:tcW w:w="195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6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64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310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259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615" w:hRule="atLeast"/>
        </w:trPr>
        <w:tc>
          <w:tcPr>
            <w:tcW w:w="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71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266.43</w:t>
            </w:r>
            <w:r>
              <w:rPr>
                <w:rFonts w:hint="eastAsia" w:ascii="宋体" w:hAnsi="宋体" w:cs="宋体"/>
                <w:color w:val="000000"/>
                <w:kern w:val="0"/>
                <w:sz w:val="20"/>
                <w:szCs w:val="20"/>
              </w:rPr>
              <w:t>　</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236.73</w:t>
            </w:r>
            <w:r>
              <w:rPr>
                <w:rFonts w:hint="eastAsia" w:ascii="宋体" w:hAnsi="宋体" w:cs="宋体"/>
                <w:color w:val="000000"/>
                <w:kern w:val="0"/>
                <w:sz w:val="20"/>
                <w:szCs w:val="20"/>
              </w:rPr>
              <w:t>　</w:t>
            </w:r>
          </w:p>
        </w:tc>
        <w:tc>
          <w:tcPr>
            <w:tcW w:w="195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6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64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310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259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44" w:hRule="atLeast"/>
        </w:trPr>
        <w:tc>
          <w:tcPr>
            <w:tcW w:w="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71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r>
              <w:rPr>
                <w:rFonts w:hint="eastAsia" w:ascii="宋体" w:hAnsi="宋体" w:cs="宋体"/>
                <w:color w:val="000000"/>
                <w:kern w:val="0"/>
                <w:sz w:val="20"/>
                <w:szCs w:val="20"/>
              </w:rPr>
              <w:t>　</w:t>
            </w:r>
          </w:p>
        </w:tc>
        <w:tc>
          <w:tcPr>
            <w:tcW w:w="195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6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64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310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259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569" w:hRule="atLeast"/>
        </w:trPr>
        <w:tc>
          <w:tcPr>
            <w:tcW w:w="14174" w:type="dxa"/>
            <w:gridSpan w:val="9"/>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二、整体绩效目标实现情况（60分）</w:t>
            </w:r>
          </w:p>
        </w:tc>
      </w:tr>
      <w:tr>
        <w:tblPrEx>
          <w:tblLayout w:type="fixed"/>
          <w:tblCellMar>
            <w:top w:w="0" w:type="dxa"/>
            <w:left w:w="108" w:type="dxa"/>
            <w:bottom w:w="0" w:type="dxa"/>
            <w:right w:w="108" w:type="dxa"/>
          </w:tblCellMar>
        </w:tblPrEx>
        <w:trPr>
          <w:trHeight w:val="499" w:hRule="atLeast"/>
        </w:trPr>
        <w:tc>
          <w:tcPr>
            <w:tcW w:w="9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一级</w:t>
            </w: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　</w:t>
            </w: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三级</w:t>
            </w: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1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259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Layout w:type="fixed"/>
          <w:tblCellMar>
            <w:top w:w="0" w:type="dxa"/>
            <w:left w:w="108" w:type="dxa"/>
            <w:bottom w:w="0" w:type="dxa"/>
            <w:right w:w="108" w:type="dxa"/>
          </w:tblCellMar>
        </w:tblPrEx>
        <w:trPr>
          <w:trHeight w:val="1196" w:hRule="atLeast"/>
        </w:trPr>
        <w:tc>
          <w:tcPr>
            <w:tcW w:w="92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71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盟员之家建设，《群言》1000册，重大题材画作创作</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盟员之家建设</w:t>
            </w:r>
            <w:r>
              <w:rPr>
                <w:rFonts w:hint="eastAsia" w:ascii="宋体" w:hAnsi="宋体" w:cs="宋体"/>
                <w:color w:val="000000"/>
                <w:kern w:val="0"/>
                <w:sz w:val="20"/>
                <w:szCs w:val="20"/>
                <w:lang w:eastAsia="zh-CN"/>
              </w:rPr>
              <w:t>总数量达到</w:t>
            </w:r>
            <w:r>
              <w:rPr>
                <w:rFonts w:hint="eastAsia" w:ascii="宋体" w:hAnsi="宋体" w:cs="宋体"/>
                <w:color w:val="000000"/>
                <w:kern w:val="0"/>
                <w:sz w:val="20"/>
                <w:szCs w:val="20"/>
              </w:rPr>
              <w:t>7</w:t>
            </w: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家，</w:t>
            </w:r>
            <w:r>
              <w:rPr>
                <w:rFonts w:hint="eastAsia" w:ascii="宋体" w:hAnsi="宋体" w:cs="宋体"/>
                <w:color w:val="000000"/>
                <w:kern w:val="0"/>
                <w:sz w:val="20"/>
                <w:szCs w:val="20"/>
                <w:lang w:eastAsia="zh-CN"/>
              </w:rPr>
              <w:t>订阅</w:t>
            </w:r>
            <w:r>
              <w:rPr>
                <w:rFonts w:hint="eastAsia" w:ascii="宋体" w:hAnsi="宋体" w:cs="宋体"/>
                <w:color w:val="000000"/>
                <w:kern w:val="0"/>
                <w:sz w:val="20"/>
                <w:szCs w:val="20"/>
              </w:rPr>
              <w:t>《群言》1000册，重大题材画作</w:t>
            </w:r>
            <w:r>
              <w:rPr>
                <w:rFonts w:hint="eastAsia" w:ascii="宋体" w:hAnsi="宋体" w:cs="宋体"/>
                <w:color w:val="000000"/>
                <w:kern w:val="0"/>
                <w:sz w:val="20"/>
                <w:szCs w:val="20"/>
                <w:lang w:eastAsia="zh-CN"/>
              </w:rPr>
              <w:t>签约</w:t>
            </w:r>
            <w:r>
              <w:rPr>
                <w:rFonts w:hint="eastAsia" w:ascii="宋体" w:hAnsi="宋体" w:cs="宋体"/>
                <w:color w:val="000000"/>
                <w:kern w:val="0"/>
                <w:sz w:val="20"/>
                <w:szCs w:val="20"/>
              </w:rPr>
              <w:t>4幅</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盟员之家建设</w:t>
            </w:r>
            <w:r>
              <w:rPr>
                <w:rFonts w:hint="eastAsia" w:ascii="宋体" w:hAnsi="宋体" w:cs="宋体"/>
                <w:color w:val="000000"/>
                <w:kern w:val="0"/>
                <w:sz w:val="20"/>
                <w:szCs w:val="20"/>
                <w:lang w:eastAsia="zh-CN"/>
              </w:rPr>
              <w:t>总数达到</w:t>
            </w:r>
            <w:r>
              <w:rPr>
                <w:rFonts w:hint="eastAsia" w:ascii="宋体" w:hAnsi="宋体" w:cs="宋体"/>
                <w:color w:val="000000"/>
                <w:kern w:val="0"/>
                <w:sz w:val="20"/>
                <w:szCs w:val="20"/>
              </w:rPr>
              <w:t>7</w:t>
            </w: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家左右，</w:t>
            </w:r>
            <w:r>
              <w:rPr>
                <w:rFonts w:hint="eastAsia" w:ascii="宋体" w:hAnsi="宋体" w:cs="宋体"/>
                <w:color w:val="000000"/>
                <w:kern w:val="0"/>
                <w:sz w:val="20"/>
                <w:szCs w:val="20"/>
                <w:lang w:eastAsia="zh-CN"/>
              </w:rPr>
              <w:t>订阅</w:t>
            </w:r>
            <w:r>
              <w:rPr>
                <w:rFonts w:hint="eastAsia" w:ascii="宋体" w:hAnsi="宋体" w:cs="宋体"/>
                <w:color w:val="000000"/>
                <w:kern w:val="0"/>
                <w:sz w:val="20"/>
                <w:szCs w:val="20"/>
              </w:rPr>
              <w:t>《群言》1000册，重大题材画作</w:t>
            </w:r>
            <w:r>
              <w:rPr>
                <w:rFonts w:hint="eastAsia" w:ascii="宋体" w:hAnsi="宋体" w:cs="宋体"/>
                <w:color w:val="000000"/>
                <w:kern w:val="0"/>
                <w:sz w:val="20"/>
                <w:szCs w:val="20"/>
                <w:lang w:eastAsia="zh-CN"/>
              </w:rPr>
              <w:t>签约</w:t>
            </w:r>
            <w:r>
              <w:rPr>
                <w:rFonts w:hint="eastAsia" w:ascii="宋体" w:hAnsi="宋体" w:cs="宋体"/>
                <w:color w:val="000000"/>
                <w:kern w:val="0"/>
                <w:sz w:val="20"/>
                <w:szCs w:val="20"/>
                <w:lang w:val="en-US" w:eastAsia="zh-CN"/>
              </w:rPr>
              <w:t>10</w:t>
            </w:r>
            <w:r>
              <w:rPr>
                <w:rFonts w:hint="eastAsia" w:ascii="宋体" w:hAnsi="宋体" w:cs="宋体"/>
                <w:color w:val="000000"/>
                <w:kern w:val="0"/>
                <w:sz w:val="20"/>
                <w:szCs w:val="20"/>
              </w:rPr>
              <w:t>幅</w:t>
            </w: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7</w:t>
            </w:r>
          </w:p>
        </w:tc>
        <w:tc>
          <w:tcPr>
            <w:tcW w:w="310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数量：计划完成率=（实际完成工作数/计划工作数）×100%。实际完成工作数：一定时期（年度或规划期）内部门（单位）实际完成工作任务的数量。计划工作数：部门（单位）整体绩效目标确定的一定时期（年度或规划期）内预计完成工作任务的数量。产出质量：质量达标率=质量达标工作数/实际完成工作数×100%。质量达标工作数：一定时期（年度或规划期）内部门（单位）实际完成工作数中达到部门绩效目标要求（绩效标准值）的工作任务数量。产出进度：按时完成率=（按时完成工作数/实际完成工作数）×100%。按时完成工作数：部门（单位）按照整体绩效目标确定的时限实际完成的工作任务数量。产出成本：单位产出相对于上一年度的节约额；②单位产出相对于市场同类产出的节约额；③部门公用经费的控制情况。</w:t>
            </w:r>
          </w:p>
        </w:tc>
        <w:tc>
          <w:tcPr>
            <w:tcW w:w="259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部门根据本单位情况自行确定并选择产出指标，合理确定各项指标权重。可量化的指标按照比率*单项指标分值即为该指标得分。如果不能定量评价，则以定性的方式进行自评。</w:t>
            </w:r>
          </w:p>
        </w:tc>
      </w:tr>
      <w:tr>
        <w:tblPrEx>
          <w:tblLayout w:type="fixed"/>
          <w:tblCellMar>
            <w:top w:w="0" w:type="dxa"/>
            <w:left w:w="108" w:type="dxa"/>
            <w:bottom w:w="0" w:type="dxa"/>
            <w:right w:w="108" w:type="dxa"/>
          </w:tblCellMar>
        </w:tblPrEx>
        <w:trPr>
          <w:trHeight w:val="1130" w:hRule="atLeast"/>
        </w:trPr>
        <w:tc>
          <w:tcPr>
            <w:tcW w:w="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71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民盟先贤肖像巡回展</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10场</w:t>
            </w:r>
            <w:r>
              <w:rPr>
                <w:rFonts w:hint="eastAsia" w:ascii="宋体" w:hAnsi="宋体" w:cs="宋体"/>
                <w:color w:val="000000"/>
                <w:kern w:val="0"/>
                <w:sz w:val="20"/>
                <w:szCs w:val="20"/>
              </w:rPr>
              <w:t>　</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10场</w:t>
            </w:r>
            <w:r>
              <w:rPr>
                <w:rFonts w:hint="eastAsia" w:ascii="宋体" w:hAnsi="宋体" w:cs="宋体"/>
                <w:color w:val="000000"/>
                <w:kern w:val="0"/>
                <w:sz w:val="20"/>
                <w:szCs w:val="20"/>
              </w:rPr>
              <w:t>　</w:t>
            </w:r>
          </w:p>
        </w:tc>
        <w:tc>
          <w:tcPr>
            <w:tcW w:w="6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7</w:t>
            </w:r>
          </w:p>
        </w:tc>
        <w:tc>
          <w:tcPr>
            <w:tcW w:w="310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259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1258" w:hRule="atLeast"/>
        </w:trPr>
        <w:tc>
          <w:tcPr>
            <w:tcW w:w="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71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召开暑期全委会培训班。</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　召开1期暑期全委会培训班</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召开1期暑期全委会培训班　</w:t>
            </w:r>
          </w:p>
        </w:tc>
        <w:tc>
          <w:tcPr>
            <w:tcW w:w="6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7</w:t>
            </w:r>
          </w:p>
        </w:tc>
        <w:tc>
          <w:tcPr>
            <w:tcW w:w="310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259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797" w:hRule="atLeast"/>
        </w:trPr>
        <w:tc>
          <w:tcPr>
            <w:tcW w:w="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71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调研课题</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调研课题8</w:t>
            </w:r>
            <w:r>
              <w:rPr>
                <w:rFonts w:hint="eastAsia" w:ascii="宋体" w:hAnsi="宋体" w:cs="宋体"/>
                <w:color w:val="000000"/>
                <w:kern w:val="0"/>
                <w:sz w:val="20"/>
                <w:szCs w:val="20"/>
                <w:lang w:val="en-US" w:eastAsia="zh-CN"/>
              </w:rPr>
              <w:t>项</w:t>
            </w:r>
            <w:r>
              <w:rPr>
                <w:rFonts w:hint="eastAsia" w:ascii="宋体" w:hAnsi="宋体" w:cs="宋体"/>
                <w:color w:val="000000"/>
                <w:kern w:val="0"/>
                <w:sz w:val="20"/>
                <w:szCs w:val="20"/>
              </w:rPr>
              <w:t>　</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000000"/>
                <w:kern w:val="0"/>
                <w:sz w:val="20"/>
                <w:szCs w:val="20"/>
                <w:lang w:val="en-US"/>
              </w:rPr>
            </w:pPr>
            <w:r>
              <w:rPr>
                <w:rFonts w:hint="eastAsia" w:ascii="宋体" w:hAnsi="宋体" w:cs="宋体"/>
                <w:color w:val="000000"/>
                <w:kern w:val="0"/>
                <w:sz w:val="20"/>
                <w:szCs w:val="20"/>
              </w:rPr>
              <w:t>调研课题</w:t>
            </w:r>
            <w:r>
              <w:rPr>
                <w:rFonts w:hint="eastAsia" w:ascii="宋体" w:hAnsi="宋体" w:cs="宋体"/>
                <w:color w:val="000000"/>
                <w:kern w:val="0"/>
                <w:sz w:val="20"/>
                <w:szCs w:val="20"/>
                <w:lang w:val="en-US" w:eastAsia="zh-CN"/>
              </w:rPr>
              <w:t>27项</w:t>
            </w:r>
          </w:p>
        </w:tc>
        <w:tc>
          <w:tcPr>
            <w:tcW w:w="6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6</w:t>
            </w:r>
          </w:p>
        </w:tc>
        <w:tc>
          <w:tcPr>
            <w:tcW w:w="310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259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5674" w:hRule="atLeast"/>
        </w:trPr>
        <w:tc>
          <w:tcPr>
            <w:tcW w:w="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71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社会效益</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按照中国特色社会主义参政党的要求，坚持和发展中国共产党领导的多党合作和政治协商制度，坚持中国特色社会主义政党制度，提高政治站位。以首善标准加快建设符合新时代要求的中国特色社会主义参政党地方组织，不断提升参政议政和社会服务等履职能力，切实加强自身建设。夯实思想政治基础，丰富理论研究成果。围绕首都发展大局凝聚智慧建言献策，增强民主监督职能，探索履职方式，加强基层组织建设工作。</w:t>
            </w:r>
            <w:r>
              <w:rPr>
                <w:rFonts w:hint="eastAsia" w:ascii="宋体" w:hAnsi="宋体" w:cs="宋体"/>
                <w:color w:val="000000"/>
                <w:kern w:val="0"/>
                <w:sz w:val="20"/>
                <w:szCs w:val="20"/>
              </w:rPr>
              <w:tab/>
            </w:r>
            <w:r>
              <w:rPr>
                <w:rFonts w:hint="eastAsia" w:ascii="宋体" w:hAnsi="宋体" w:cs="宋体"/>
                <w:color w:val="000000"/>
                <w:kern w:val="0"/>
                <w:sz w:val="20"/>
                <w:szCs w:val="20"/>
              </w:rPr>
              <w:tab/>
            </w:r>
            <w:r>
              <w:rPr>
                <w:rFonts w:hint="eastAsia" w:ascii="宋体" w:hAnsi="宋体" w:cs="宋体"/>
                <w:color w:val="000000"/>
                <w:kern w:val="0"/>
                <w:sz w:val="20"/>
                <w:szCs w:val="20"/>
              </w:rPr>
              <w:t>　</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eastAsia="zh-CN"/>
              </w:rPr>
              <w:t>组织结合中共党史学习，开展丰富多彩的特色活动，推动政治共识专题教育走深走实。</w:t>
            </w:r>
            <w:r>
              <w:rPr>
                <w:rFonts w:hint="eastAsia" w:ascii="宋体" w:hAnsi="宋体" w:cs="宋体"/>
                <w:color w:val="000000"/>
                <w:kern w:val="0"/>
                <w:sz w:val="20"/>
                <w:szCs w:val="20"/>
                <w:lang w:val="en-US" w:eastAsia="zh-CN"/>
              </w:rPr>
              <w:t>推动首都各届盟员缅怀民盟先贤业绩风范，继承弘扬民盟优良传统。</w:t>
            </w:r>
            <w:r>
              <w:rPr>
                <w:rFonts w:hint="eastAsia" w:ascii="宋体" w:hAnsi="宋体" w:cs="宋体"/>
                <w:color w:val="000000"/>
                <w:kern w:val="0"/>
                <w:sz w:val="20"/>
                <w:szCs w:val="20"/>
                <w:lang w:eastAsia="zh-CN"/>
              </w:rPr>
              <w:t>强化思想政</w:t>
            </w:r>
            <w:r>
              <w:rPr>
                <w:rFonts w:hint="eastAsia" w:ascii="宋体" w:hAnsi="宋体" w:cs="宋体"/>
                <w:color w:val="000000"/>
                <w:kern w:val="0"/>
                <w:sz w:val="20"/>
                <w:szCs w:val="20"/>
              </w:rPr>
              <w:t>治引领</w:t>
            </w:r>
            <w:r>
              <w:rPr>
                <w:rFonts w:hint="eastAsia" w:ascii="宋体" w:hAnsi="宋体" w:cs="宋体"/>
                <w:color w:val="000000"/>
                <w:kern w:val="0"/>
                <w:sz w:val="20"/>
                <w:szCs w:val="20"/>
                <w:lang w:eastAsia="zh-CN"/>
              </w:rPr>
              <w:t>，提高“政治三力”，践行“四新”“三好”总要求</w:t>
            </w:r>
            <w:r>
              <w:rPr>
                <w:rFonts w:hint="eastAsia" w:ascii="宋体" w:hAnsi="宋体" w:cs="宋体"/>
                <w:color w:val="000000"/>
                <w:kern w:val="0"/>
                <w:sz w:val="20"/>
                <w:szCs w:val="20"/>
              </w:rPr>
              <w:t>，</w:t>
            </w:r>
            <w:r>
              <w:rPr>
                <w:rFonts w:hint="eastAsia" w:ascii="宋体" w:hAnsi="宋体" w:cs="宋体"/>
                <w:color w:val="000000"/>
                <w:kern w:val="0"/>
                <w:sz w:val="20"/>
                <w:szCs w:val="20"/>
                <w:lang w:eastAsia="zh-CN"/>
              </w:rPr>
              <w:t>坚持上下</w:t>
            </w:r>
            <w:r>
              <w:rPr>
                <w:rFonts w:hint="eastAsia" w:ascii="宋体" w:hAnsi="宋体" w:cs="宋体"/>
                <w:color w:val="000000"/>
                <w:kern w:val="0"/>
                <w:sz w:val="20"/>
                <w:szCs w:val="20"/>
              </w:rPr>
              <w:t>联动、左右互动、内外协同圆满完成</w:t>
            </w:r>
            <w:r>
              <w:rPr>
                <w:rFonts w:hint="eastAsia" w:ascii="宋体" w:hAnsi="宋体" w:cs="宋体"/>
                <w:color w:val="000000"/>
                <w:kern w:val="0"/>
                <w:sz w:val="20"/>
                <w:szCs w:val="20"/>
                <w:lang w:eastAsia="zh-CN"/>
              </w:rPr>
              <w:t>全年</w:t>
            </w:r>
            <w:r>
              <w:rPr>
                <w:rFonts w:hint="eastAsia" w:ascii="宋体" w:hAnsi="宋体" w:cs="宋体"/>
                <w:color w:val="000000"/>
                <w:kern w:val="0"/>
                <w:sz w:val="20"/>
                <w:szCs w:val="20"/>
              </w:rPr>
              <w:t>各项目标任务，取得显著</w:t>
            </w:r>
            <w:r>
              <w:rPr>
                <w:rFonts w:hint="eastAsia" w:ascii="宋体" w:hAnsi="宋体" w:cs="宋体"/>
                <w:color w:val="000000"/>
                <w:kern w:val="0"/>
                <w:sz w:val="20"/>
                <w:szCs w:val="20"/>
                <w:lang w:eastAsia="zh-CN"/>
              </w:rPr>
              <w:t>工作</w:t>
            </w:r>
            <w:r>
              <w:rPr>
                <w:rFonts w:hint="eastAsia" w:ascii="宋体" w:hAnsi="宋体" w:cs="宋体"/>
                <w:color w:val="000000"/>
                <w:kern w:val="0"/>
                <w:sz w:val="20"/>
                <w:szCs w:val="20"/>
              </w:rPr>
              <w:t>成效。</w:t>
            </w:r>
          </w:p>
        </w:tc>
        <w:tc>
          <w:tcPr>
            <w:tcW w:w="64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7.5</w:t>
            </w:r>
          </w:p>
        </w:tc>
        <w:tc>
          <w:tcPr>
            <w:tcW w:w="310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经济效益：部门（单位）履行职责对经济发展所带来的直接或间接影响。社会效益：部门（单位）履行职责对社会发展所带来的直接或间接影响。环境效益：部门（单位）履行职责对环境所带来的直接或间接影响。可持续性影响：部门绩效目标实现的长效机制建设情况，部门工作效率提升措施的创新。服务对象满意度：部门（单位）的服务对象对部门履职效果的满意程度。</w:t>
            </w:r>
          </w:p>
        </w:tc>
        <w:tc>
          <w:tcPr>
            <w:tcW w:w="259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部门根据实际情况选择指标进行填写，并将其细化为相应的个性化指标。对于效益类指标可从受益对象瞄准度、受益广度和受益深度上进行设计分析。</w:t>
            </w:r>
          </w:p>
        </w:tc>
      </w:tr>
      <w:tr>
        <w:tblPrEx>
          <w:tblLayout w:type="fixed"/>
          <w:tblCellMar>
            <w:top w:w="0" w:type="dxa"/>
            <w:left w:w="108" w:type="dxa"/>
            <w:bottom w:w="0" w:type="dxa"/>
            <w:right w:w="108" w:type="dxa"/>
          </w:tblCellMar>
        </w:tblPrEx>
        <w:trPr>
          <w:trHeight w:val="500" w:hRule="atLeast"/>
        </w:trPr>
        <w:tc>
          <w:tcPr>
            <w:tcW w:w="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71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default" w:ascii="宋体" w:hAnsi="宋体" w:cs="宋体"/>
                <w:color w:val="000000"/>
                <w:kern w:val="0"/>
                <w:sz w:val="20"/>
                <w:szCs w:val="20"/>
              </w:rPr>
              <w:t>可持续影响性</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eastAsia="zh-CN"/>
              </w:rPr>
            </w:pPr>
            <w:r>
              <w:rPr>
                <w:rFonts w:hint="eastAsia" w:ascii="宋体" w:hAnsi="宋体" w:cs="宋体"/>
                <w:color w:val="000000"/>
                <w:kern w:val="0"/>
                <w:sz w:val="20"/>
                <w:szCs w:val="20"/>
              </w:rPr>
              <w:t>塑造参政议政品牌扩大民盟影响</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lang w:val="en-US" w:eastAsia="zh-CN"/>
              </w:rPr>
              <w:t>为盟员搭建展示平台，采取多种形式教育活动，提高盟员履职建言能力，</w:t>
            </w:r>
            <w:r>
              <w:rPr>
                <w:rFonts w:hint="eastAsia" w:ascii="宋体" w:hAnsi="宋体" w:cs="宋体"/>
                <w:color w:val="000000"/>
                <w:kern w:val="0"/>
                <w:sz w:val="20"/>
                <w:szCs w:val="20"/>
                <w:lang w:eastAsia="zh-CN"/>
              </w:rPr>
              <w:t>发扬民盟的优良传统，</w:t>
            </w:r>
            <w:r>
              <w:rPr>
                <w:rFonts w:hint="eastAsia" w:ascii="宋体" w:hAnsi="宋体" w:cs="宋体"/>
                <w:color w:val="000000"/>
                <w:kern w:val="0"/>
                <w:sz w:val="20"/>
                <w:szCs w:val="20"/>
                <w:lang w:val="en-US" w:eastAsia="zh-CN"/>
              </w:rPr>
              <w:t>加强</w:t>
            </w:r>
            <w:r>
              <w:rPr>
                <w:rFonts w:hint="eastAsia" w:ascii="宋体" w:hAnsi="宋体" w:cs="宋体"/>
                <w:color w:val="000000"/>
                <w:kern w:val="0"/>
                <w:sz w:val="20"/>
                <w:szCs w:val="20"/>
                <w:lang w:eastAsia="zh-CN"/>
              </w:rPr>
              <w:t>基层的组织建设</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eastAsia="zh-CN"/>
              </w:rPr>
            </w:pPr>
            <w:r>
              <w:rPr>
                <w:rFonts w:hint="eastAsia" w:ascii="宋体" w:hAnsi="宋体" w:cs="宋体"/>
                <w:color w:val="000000"/>
                <w:kern w:val="0"/>
                <w:sz w:val="20"/>
                <w:szCs w:val="20"/>
                <w:lang w:eastAsia="zh-CN"/>
              </w:rPr>
              <w:t>推动首都各界盟员业绩风范，继承弘扬民盟优良传统。</w:t>
            </w: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w:t>
            </w:r>
            <w:r>
              <w:rPr>
                <w:rFonts w:hint="eastAsia" w:ascii="宋体" w:hAnsi="宋体" w:cs="宋体"/>
                <w:color w:val="000000"/>
                <w:kern w:val="0"/>
                <w:sz w:val="20"/>
                <w:szCs w:val="20"/>
              </w:rPr>
              <w:t>　</w:t>
            </w:r>
          </w:p>
        </w:tc>
        <w:tc>
          <w:tcPr>
            <w:tcW w:w="310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259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675" w:hRule="atLeast"/>
        </w:trPr>
        <w:tc>
          <w:tcPr>
            <w:tcW w:w="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71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000000"/>
                <w:kern w:val="0"/>
                <w:sz w:val="20"/>
                <w:szCs w:val="20"/>
              </w:rPr>
            </w:pPr>
            <w:r>
              <w:rPr>
                <w:rFonts w:hint="default" w:ascii="宋体" w:hAnsi="宋体" w:cs="宋体"/>
                <w:color w:val="000000"/>
                <w:kern w:val="0"/>
                <w:sz w:val="20"/>
                <w:szCs w:val="20"/>
              </w:rPr>
              <w:t>服务对象满意度</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服务对象满意度≧95%</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≧95%</w:t>
            </w:r>
            <w:r>
              <w:rPr>
                <w:rFonts w:hint="eastAsia" w:ascii="宋体" w:hAnsi="宋体" w:cs="宋体"/>
                <w:color w:val="000000"/>
                <w:kern w:val="0"/>
                <w:sz w:val="20"/>
                <w:szCs w:val="20"/>
              </w:rPr>
              <w:t>　</w:t>
            </w:r>
          </w:p>
        </w:tc>
        <w:tc>
          <w:tcPr>
            <w:tcW w:w="64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9</w:t>
            </w:r>
          </w:p>
        </w:tc>
        <w:tc>
          <w:tcPr>
            <w:tcW w:w="310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259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699" w:hRule="atLeast"/>
        </w:trPr>
        <w:tc>
          <w:tcPr>
            <w:tcW w:w="14174" w:type="dxa"/>
            <w:gridSpan w:val="9"/>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三、预算管理情况（20分）</w:t>
            </w:r>
          </w:p>
        </w:tc>
      </w:tr>
      <w:tr>
        <w:tblPrEx>
          <w:tblLayout w:type="fixed"/>
          <w:tblCellMar>
            <w:top w:w="0" w:type="dxa"/>
            <w:left w:w="108" w:type="dxa"/>
            <w:bottom w:w="0" w:type="dxa"/>
            <w:right w:w="108" w:type="dxa"/>
          </w:tblCellMar>
        </w:tblPrEx>
        <w:trPr>
          <w:trHeight w:val="702" w:hRule="atLeast"/>
        </w:trPr>
        <w:tc>
          <w:tcPr>
            <w:tcW w:w="92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一级</w:t>
            </w: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71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二级指标</w:t>
            </w: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三级</w:t>
            </w: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1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259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Layout w:type="fixed"/>
          <w:tblCellMar>
            <w:top w:w="0" w:type="dxa"/>
            <w:left w:w="108" w:type="dxa"/>
            <w:bottom w:w="0" w:type="dxa"/>
            <w:right w:w="108" w:type="dxa"/>
          </w:tblCellMar>
        </w:tblPrEx>
        <w:trPr>
          <w:trHeight w:val="1230" w:hRule="atLeast"/>
        </w:trPr>
        <w:tc>
          <w:tcPr>
            <w:tcW w:w="92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71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财务管理制度健全性</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预算资金管理办法、绩效跟踪管理办法、资产管理办法等各项制度健全；部门内部财务管理制度完整、合规；会计核算制度完整、合规。</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健全、完整</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1</w:t>
            </w: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31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财务管理制度健全性:部门（单位）为加强财务管理、规范财务行为而制定的管理制度。</w:t>
            </w:r>
          </w:p>
        </w:tc>
        <w:tc>
          <w:tcPr>
            <w:tcW w:w="259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①预算资金管理办法、绩效跟踪管理办法、资产管理办法等各项制度是否健全；②部门内部财务管理制度是否完整、合规；③会计核算制度是否完整、合规。每有一项不合格扣0.5分，扣完为止。</w:t>
            </w:r>
          </w:p>
        </w:tc>
      </w:tr>
      <w:tr>
        <w:tblPrEx>
          <w:tblLayout w:type="fixed"/>
          <w:tblCellMar>
            <w:top w:w="0" w:type="dxa"/>
            <w:left w:w="108" w:type="dxa"/>
            <w:bottom w:w="0" w:type="dxa"/>
            <w:right w:w="108" w:type="dxa"/>
          </w:tblCellMar>
        </w:tblPrEx>
        <w:trPr>
          <w:trHeight w:val="1450" w:hRule="atLeast"/>
        </w:trPr>
        <w:tc>
          <w:tcPr>
            <w:tcW w:w="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71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资金使用合规性和安全性</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rPr>
              <w:t>资金使用合规性和安全性</w:t>
            </w:r>
            <w:r>
              <w:rPr>
                <w:rFonts w:hint="eastAsia" w:ascii="宋体" w:hAnsi="宋体" w:cs="宋体"/>
                <w:color w:val="000000"/>
                <w:kern w:val="0"/>
                <w:sz w:val="20"/>
                <w:szCs w:val="20"/>
                <w:lang w:val="en-US" w:eastAsia="zh-CN"/>
              </w:rPr>
              <w:t>符合国家财经法和财务管理制度，资金使用有完整的审批流程，符合部门预算批复的用途，不存在挪用等情况，资产使用符合政府采购程序和流程</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资金使用合规性和安全性</w:t>
            </w:r>
            <w:r>
              <w:rPr>
                <w:rFonts w:hint="eastAsia" w:ascii="宋体" w:hAnsi="宋体" w:cs="宋体"/>
                <w:color w:val="000000"/>
                <w:kern w:val="0"/>
                <w:sz w:val="20"/>
                <w:szCs w:val="20"/>
                <w:lang w:val="en-US" w:eastAsia="zh-CN"/>
              </w:rPr>
              <w:t>符合国家财经法和财务管理制度，资金使用有完整的审批流程，符合部门预算批复的用途，不存在挪用等情况，资产使用符合政府采购程序和流程</w:t>
            </w:r>
            <w:r>
              <w:rPr>
                <w:rFonts w:hint="eastAsia" w:ascii="宋体" w:hAnsi="宋体" w:cs="宋体"/>
                <w:color w:val="000000"/>
                <w:kern w:val="0"/>
                <w:sz w:val="20"/>
                <w:szCs w:val="20"/>
              </w:rPr>
              <w:t>　　</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2</w:t>
            </w: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31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资金使用合规性和安全性:部门（单位）使用预算资金是否符合相关的预算财务管理制度的规定，是否符合相关规定的开支范围，用以反映考核部门（单位）预算资金的规范运行和安全运行情况。</w:t>
            </w:r>
          </w:p>
        </w:tc>
        <w:tc>
          <w:tcPr>
            <w:tcW w:w="259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Layout w:type="fixed"/>
          <w:tblCellMar>
            <w:top w:w="0" w:type="dxa"/>
            <w:left w:w="108" w:type="dxa"/>
            <w:bottom w:w="0" w:type="dxa"/>
            <w:right w:w="108" w:type="dxa"/>
          </w:tblCellMar>
        </w:tblPrEx>
        <w:trPr>
          <w:trHeight w:val="1035" w:hRule="atLeast"/>
        </w:trPr>
        <w:tc>
          <w:tcPr>
            <w:tcW w:w="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71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会计基础信息完善性</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rPr>
              <w:t>会计基础信息</w:t>
            </w:r>
            <w:r>
              <w:rPr>
                <w:rFonts w:hint="eastAsia" w:ascii="宋体" w:hAnsi="宋体" w:cs="宋体"/>
                <w:color w:val="000000"/>
                <w:kern w:val="0"/>
                <w:sz w:val="20"/>
                <w:szCs w:val="20"/>
                <w:lang w:val="en-US" w:eastAsia="zh-CN"/>
              </w:rPr>
              <w:t>完整、真实、准确</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会计基础信息</w:t>
            </w:r>
            <w:r>
              <w:rPr>
                <w:rFonts w:hint="eastAsia" w:ascii="宋体" w:hAnsi="宋体" w:cs="宋体"/>
                <w:color w:val="000000"/>
                <w:kern w:val="0"/>
                <w:sz w:val="20"/>
                <w:szCs w:val="20"/>
                <w:lang w:val="en-US" w:eastAsia="zh-CN"/>
              </w:rPr>
              <w:t>完整、真实、准确</w:t>
            </w:r>
            <w:r>
              <w:rPr>
                <w:rFonts w:hint="eastAsia" w:ascii="宋体" w:hAnsi="宋体" w:cs="宋体"/>
                <w:color w:val="000000"/>
                <w:kern w:val="0"/>
                <w:sz w:val="20"/>
                <w:szCs w:val="20"/>
              </w:rPr>
              <w:t>　</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1</w:t>
            </w: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w:t>
            </w:r>
          </w:p>
        </w:tc>
        <w:tc>
          <w:tcPr>
            <w:tcW w:w="31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会计基础信息完善性:部门（单位）会计基础信息情况。</w:t>
            </w:r>
          </w:p>
        </w:tc>
        <w:tc>
          <w:tcPr>
            <w:tcW w:w="259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①基础数据信息和会计信息资料是否真实；②基础数据信息和会计信息资料是否完整；③基础数据信息和会计信息资料是否准确。每有一项不合格扣0.5分，扣完为止。</w:t>
            </w:r>
          </w:p>
        </w:tc>
      </w:tr>
      <w:tr>
        <w:tblPrEx>
          <w:tblLayout w:type="fixed"/>
          <w:tblCellMar>
            <w:top w:w="0" w:type="dxa"/>
            <w:left w:w="108" w:type="dxa"/>
            <w:bottom w:w="0" w:type="dxa"/>
            <w:right w:w="108" w:type="dxa"/>
          </w:tblCellMar>
        </w:tblPrEx>
        <w:trPr>
          <w:trHeight w:val="2220" w:hRule="atLeast"/>
        </w:trPr>
        <w:tc>
          <w:tcPr>
            <w:tcW w:w="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71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资产管理规范性</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资产保持安全完整，资产配置合理，资产使用和资产处理规范</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 xml:space="preserve"> </w:t>
            </w:r>
            <w:r>
              <w:rPr>
                <w:rFonts w:hint="eastAsia" w:ascii="宋体" w:hAnsi="宋体" w:cs="宋体"/>
                <w:color w:val="000000"/>
                <w:kern w:val="0"/>
                <w:sz w:val="20"/>
                <w:szCs w:val="20"/>
              </w:rPr>
              <w:t>资产保持安全完整，资产配置合理，资产使用和资产处理规范</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4</w:t>
            </w: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31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资产管理规范性:部门（单位）的资产是否保持安全完整，资产配置是否合理，资产使用和资产处理是否规范，用以反映和考核部门（单位）资产管理的整体水平。</w:t>
            </w:r>
          </w:p>
        </w:tc>
        <w:tc>
          <w:tcPr>
            <w:tcW w:w="259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Layout w:type="fixed"/>
          <w:tblCellMar>
            <w:top w:w="0" w:type="dxa"/>
            <w:left w:w="108" w:type="dxa"/>
            <w:bottom w:w="0" w:type="dxa"/>
            <w:right w:w="108" w:type="dxa"/>
          </w:tblCellMar>
        </w:tblPrEx>
        <w:trPr>
          <w:trHeight w:val="2350" w:hRule="atLeast"/>
        </w:trPr>
        <w:tc>
          <w:tcPr>
            <w:tcW w:w="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71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绩效管理情况</w:t>
            </w:r>
          </w:p>
        </w:tc>
        <w:tc>
          <w:tcPr>
            <w:tcW w:w="24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　及时对绩效信息进行汇总分析整理；对绩效目标偏离情况及时进行矫正</w:t>
            </w:r>
            <w:r>
              <w:rPr>
                <w:rFonts w:hint="eastAsia" w:ascii="宋体" w:hAnsi="宋体" w:cs="宋体"/>
                <w:color w:val="000000"/>
                <w:kern w:val="0"/>
                <w:sz w:val="20"/>
                <w:szCs w:val="20"/>
                <w:lang w:eastAsia="zh-CN"/>
              </w:rPr>
              <w:t>。</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绩效信息汇总分析及时，对目标偏离情况及时矫正。</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4</w:t>
            </w: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1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绩效管理情况:考核部门（单位）在绩效管理信息的汇总和应用情况。</w:t>
            </w:r>
          </w:p>
        </w:tc>
        <w:tc>
          <w:tcPr>
            <w:tcW w:w="259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①部门（单位）是否及时对绩效信息进行汇总分析整理；②部门（单位）是否对绩效目标偏离情况及时进行矫正。每有一项不合格扣2分。</w:t>
            </w:r>
          </w:p>
        </w:tc>
      </w:tr>
      <w:tr>
        <w:tblPrEx>
          <w:tblLayout w:type="fixed"/>
          <w:tblCellMar>
            <w:top w:w="0" w:type="dxa"/>
            <w:left w:w="108" w:type="dxa"/>
            <w:bottom w:w="0" w:type="dxa"/>
            <w:right w:w="108" w:type="dxa"/>
          </w:tblCellMar>
        </w:tblPrEx>
        <w:trPr>
          <w:trHeight w:val="394" w:hRule="atLeast"/>
        </w:trPr>
        <w:tc>
          <w:tcPr>
            <w:tcW w:w="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71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359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20</w:t>
            </w:r>
            <w:r>
              <w:rPr>
                <w:rFonts w:hint="eastAsia" w:ascii="宋体" w:hAnsi="宋体" w:cs="宋体"/>
                <w:color w:val="000000"/>
                <w:kern w:val="0"/>
                <w:sz w:val="20"/>
                <w:szCs w:val="20"/>
                <w:lang w:val="en-US" w:eastAsia="zh-CN"/>
              </w:rPr>
              <w:t>20</w:t>
            </w:r>
            <w:r>
              <w:rPr>
                <w:rFonts w:hint="eastAsia" w:ascii="宋体" w:hAnsi="宋体" w:cs="宋体"/>
                <w:color w:val="000000"/>
                <w:kern w:val="0"/>
                <w:sz w:val="20"/>
                <w:szCs w:val="20"/>
              </w:rPr>
              <w:t>年</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年</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得分</w:t>
            </w:r>
          </w:p>
        </w:tc>
        <w:tc>
          <w:tcPr>
            <w:tcW w:w="31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259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Layout w:type="fixed"/>
          <w:tblCellMar>
            <w:top w:w="0" w:type="dxa"/>
            <w:left w:w="108" w:type="dxa"/>
            <w:bottom w:w="0" w:type="dxa"/>
            <w:right w:w="108" w:type="dxa"/>
          </w:tblCellMar>
        </w:tblPrEx>
        <w:trPr>
          <w:trHeight w:val="2844" w:hRule="atLeast"/>
        </w:trPr>
        <w:tc>
          <w:tcPr>
            <w:tcW w:w="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71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结转结余率（4）</w:t>
            </w:r>
          </w:p>
        </w:tc>
        <w:tc>
          <w:tcPr>
            <w:tcW w:w="359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4.94%</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4.80%</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1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结转结余率=结转结余总额/支出预算数×100%。</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结转结余总额：部门（单位）本年度的结转资金与结余资金之和。</w:t>
            </w:r>
          </w:p>
        </w:tc>
        <w:tc>
          <w:tcPr>
            <w:tcW w:w="259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Layout w:type="fixed"/>
          <w:tblCellMar>
            <w:top w:w="0" w:type="dxa"/>
            <w:left w:w="108" w:type="dxa"/>
            <w:bottom w:w="0" w:type="dxa"/>
            <w:right w:w="108" w:type="dxa"/>
          </w:tblCellMar>
        </w:tblPrEx>
        <w:trPr>
          <w:trHeight w:val="1506" w:hRule="atLeast"/>
        </w:trPr>
        <w:tc>
          <w:tcPr>
            <w:tcW w:w="92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p>
        </w:tc>
        <w:tc>
          <w:tcPr>
            <w:tcW w:w="71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359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95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2.66%</w:t>
            </w:r>
          </w:p>
        </w:tc>
        <w:tc>
          <w:tcPr>
            <w:tcW w:w="64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64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1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通过年度部门决算与年初部门预算对比，对部门的年度支出情况进行考核，衡量部门预算的约束力。</w:t>
            </w:r>
          </w:p>
        </w:tc>
        <w:tc>
          <w:tcPr>
            <w:tcW w:w="259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rPr>
            </w:pPr>
            <w:r>
              <w:rPr>
                <w:rFonts w:hint="eastAsia" w:ascii="宋体" w:hAnsi="宋体" w:cs="宋体"/>
                <w:color w:val="000000"/>
                <w:kern w:val="0"/>
                <w:sz w:val="20"/>
                <w:szCs w:val="20"/>
              </w:rPr>
              <w:t>部门预决算差异率高于市级平均差异率（28.3%）的，每高出10%（含），扣0.4分，扣完为止。</w:t>
            </w:r>
          </w:p>
        </w:tc>
      </w:tr>
      <w:tr>
        <w:tblPrEx>
          <w:tblLayout w:type="fixed"/>
          <w:tblCellMar>
            <w:top w:w="0" w:type="dxa"/>
            <w:left w:w="108" w:type="dxa"/>
            <w:bottom w:w="0" w:type="dxa"/>
            <w:right w:w="108" w:type="dxa"/>
          </w:tblCellMar>
        </w:tblPrEx>
        <w:trPr>
          <w:trHeight w:val="404" w:hRule="atLeast"/>
        </w:trPr>
        <w:tc>
          <w:tcPr>
            <w:tcW w:w="7192"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64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644"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90.9</w:t>
            </w:r>
            <w:r>
              <w:rPr>
                <w:rFonts w:hint="eastAsia" w:ascii="宋体" w:hAnsi="宋体" w:cs="宋体"/>
                <w:color w:val="000000"/>
                <w:kern w:val="0"/>
                <w:sz w:val="20"/>
                <w:szCs w:val="20"/>
              </w:rPr>
              <w:t>　</w:t>
            </w:r>
          </w:p>
        </w:tc>
        <w:tc>
          <w:tcPr>
            <w:tcW w:w="5693"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pPr>
        <w:spacing w:line="20" w:lineRule="exact"/>
        <w:ind w:left="-21" w:leftChars="-10" w:right="42" w:rightChars="20"/>
        <w:rPr>
          <w:rFonts w:hint="eastAsia"/>
        </w:rPr>
      </w:pPr>
    </w:p>
    <w:p>
      <w:bookmarkStart w:id="0" w:name="_GoBack"/>
      <w:bookmarkEnd w:id="0"/>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yNDE2MDRlNzZhYjEwZWQ1YTcyNWRmZDFmOTYzNjUifQ=="/>
  </w:docVars>
  <w:rsids>
    <w:rsidRoot w:val="3FF32583"/>
    <w:rsid w:val="09252350"/>
    <w:rsid w:val="1B072500"/>
    <w:rsid w:val="1C167D0E"/>
    <w:rsid w:val="26BA45B0"/>
    <w:rsid w:val="2D391871"/>
    <w:rsid w:val="2EED5E56"/>
    <w:rsid w:val="2F155B46"/>
    <w:rsid w:val="369D4FD9"/>
    <w:rsid w:val="36E05994"/>
    <w:rsid w:val="37D645A7"/>
    <w:rsid w:val="397D3DA9"/>
    <w:rsid w:val="3FF32583"/>
    <w:rsid w:val="4DE760FF"/>
    <w:rsid w:val="58B73B1A"/>
    <w:rsid w:val="59EF5395"/>
    <w:rsid w:val="5AD16BA7"/>
    <w:rsid w:val="5D400B90"/>
    <w:rsid w:val="5F8C0199"/>
    <w:rsid w:val="61215FAE"/>
    <w:rsid w:val="63495E86"/>
    <w:rsid w:val="65BD4D75"/>
    <w:rsid w:val="6E721643"/>
    <w:rsid w:val="70DA0A8C"/>
    <w:rsid w:val="76B73D3E"/>
    <w:rsid w:val="7D9E6F13"/>
    <w:rsid w:val="7FA016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3270</Words>
  <Characters>3441</Characters>
  <Lines>0</Lines>
  <Paragraphs>0</Paragraphs>
  <TotalTime>9</TotalTime>
  <ScaleCrop>false</ScaleCrop>
  <LinksUpToDate>false</LinksUpToDate>
  <CharactersWithSpaces>3487</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2022-05-16T11:12:00Z</dcterms:created>
  <dc:creator>郭淋娜呀</dc:creator>
  <cp:lastModifiedBy>user</cp:lastModifiedBy>
  <dcterms:modified xsi:type="dcterms:W3CDTF">2022-05-26T11:39:06Z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ICV">
    <vt:lpwstr>E293DB17DDBF40FEACB80E4442058B4B</vt:lpwstr>
  </property>
</Properties>
</file>