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6B2" w:rsidRDefault="00AE06B2" w:rsidP="00AE06B2">
      <w:pPr>
        <w:spacing w:line="580" w:lineRule="exact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附件2：</w:t>
      </w:r>
    </w:p>
    <w:p w:rsidR="00AE06B2" w:rsidRDefault="00AE06B2" w:rsidP="00AE06B2">
      <w:pPr>
        <w:spacing w:line="580" w:lineRule="exact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北京金隅集团股份有限公司</w:t>
      </w:r>
    </w:p>
    <w:p w:rsidR="00AE06B2" w:rsidRPr="00867F6D" w:rsidRDefault="00AE06B2" w:rsidP="00AE06B2">
      <w:pPr>
        <w:spacing w:line="580" w:lineRule="exact"/>
        <w:jc w:val="center"/>
        <w:rPr>
          <w:rFonts w:ascii="黑体" w:eastAsia="黑体" w:hint="eastAsia"/>
          <w:sz w:val="28"/>
          <w:szCs w:val="28"/>
        </w:rPr>
      </w:pPr>
      <w:r w:rsidRPr="00867F6D">
        <w:rPr>
          <w:rFonts w:ascii="黑体" w:eastAsia="黑体" w:hint="eastAsia"/>
          <w:sz w:val="28"/>
          <w:szCs w:val="28"/>
        </w:rPr>
        <w:t>部门整体绩效评价报告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一）部门概况</w:t>
      </w:r>
      <w:bookmarkStart w:id="0" w:name="_GoBack"/>
      <w:bookmarkEnd w:id="0"/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1.机构设置及职责工作任务情况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本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部门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内设办公室、战略规划部、财务管理部、资产经营管理部、人力资源部、审计部、党委组织部等18个部门，下属1个事业单位，中国共产党北京建筑材料集团总公司委员会党校。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2.部门整体绩效目标设立情况（包括绩效目标设立依据、目标与职责任务匹配情况、目标合理性等）。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依据本部门所辖的事业单位职责，2021年更好的为在职干部、职工及社会其它单位和人员提供成人高等教育和其它培训服务，圆满完成年初的各项计划。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（二）当年预算执行情况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2021年全年预算数942.39万元，其中，基本支出预算数722.39万元，项目支出预算数0万元，其他支出预算数220万元。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资金总体支出</w:t>
      </w:r>
      <w:r w:rsidRPr="00867F6D">
        <w:rPr>
          <w:rFonts w:ascii="仿宋_GB2312" w:eastAsia="仿宋_GB2312" w:hAnsi="仿宋_GB2312" w:cs="仿宋_GB2312" w:hint="eastAsia"/>
          <w:kern w:val="0"/>
          <w:sz w:val="28"/>
          <w:szCs w:val="28"/>
        </w:rPr>
        <w:t>1080.35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万元，其中，基本支出</w:t>
      </w:r>
      <w:r w:rsidRPr="00867F6D">
        <w:rPr>
          <w:rFonts w:ascii="仿宋_GB2312" w:eastAsia="仿宋_GB2312" w:hAnsi="仿宋_GB2312" w:cs="仿宋_GB2312" w:hint="eastAsia"/>
          <w:kern w:val="0"/>
          <w:sz w:val="28"/>
          <w:szCs w:val="28"/>
        </w:rPr>
        <w:t>720.47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万元，项目支出</w:t>
      </w:r>
      <w:r w:rsidRPr="00867F6D">
        <w:rPr>
          <w:rFonts w:ascii="仿宋_GB2312" w:eastAsia="仿宋_GB2312" w:hAnsi="仿宋_GB2312" w:cs="仿宋_GB2312" w:hint="eastAsia"/>
          <w:kern w:val="0"/>
          <w:sz w:val="28"/>
          <w:szCs w:val="28"/>
        </w:rPr>
        <w:t>0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万元，其他支出</w:t>
      </w:r>
      <w:r w:rsidRPr="00867F6D">
        <w:rPr>
          <w:rFonts w:ascii="仿宋_GB2312" w:eastAsia="仿宋_GB2312" w:hAnsi="仿宋_GB2312" w:cs="仿宋_GB2312" w:hint="eastAsia"/>
          <w:kern w:val="0"/>
          <w:sz w:val="28"/>
          <w:szCs w:val="28"/>
        </w:rPr>
        <w:t>359.88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万元，预算执行率为</w:t>
      </w:r>
      <w:r w:rsidRPr="00867F6D">
        <w:rPr>
          <w:rFonts w:ascii="仿宋_GB2312" w:eastAsia="仿宋_GB2312" w:hAnsi="仿宋_GB2312" w:cs="仿宋_GB2312" w:hint="eastAsia"/>
          <w:kern w:val="0"/>
          <w:sz w:val="28"/>
          <w:szCs w:val="28"/>
        </w:rPr>
        <w:t>114.64%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（三）整体绩效目标实现情况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1.产出完成情况分析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2021年完成各类培训560人次，人员成本控制在1080.35万元。</w:t>
      </w: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                                  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2.效果实现情况分析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2021年在人员培训的过程中得到用人单位和培训人员的好评，满意度达到99%以上。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lastRenderedPageBreak/>
        <w:t>（四）预算管理情况分析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1.财务管理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（1）财务管理制度健全性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财务制度健全，制订了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财务管理办法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》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差旅费管理办法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》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合同管理办法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》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资产管理办法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》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资金管理办法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》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等多项财务管理制度。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（2）资金使用合</w:t>
      </w:r>
      <w:proofErr w:type="gramStart"/>
      <w:r w:rsidRPr="00867F6D">
        <w:rPr>
          <w:rFonts w:ascii="仿宋_GB2312" w:eastAsia="仿宋_GB2312" w:hAnsi="仿宋_GB2312" w:cs="仿宋_GB2312" w:hint="eastAsia"/>
          <w:sz w:val="28"/>
          <w:szCs w:val="28"/>
        </w:rPr>
        <w:t>规</w:t>
      </w:r>
      <w:proofErr w:type="gramEnd"/>
      <w:r w:rsidRPr="00867F6D">
        <w:rPr>
          <w:rFonts w:ascii="仿宋_GB2312" w:eastAsia="仿宋_GB2312" w:hAnsi="仿宋_GB2312" w:cs="仿宋_GB2312" w:hint="eastAsia"/>
          <w:sz w:val="28"/>
          <w:szCs w:val="28"/>
        </w:rPr>
        <w:t>性和安全性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604255">
        <w:rPr>
          <w:rFonts w:ascii="仿宋_GB2312" w:eastAsia="仿宋_GB2312" w:hAnsi="仿宋_GB2312" w:cs="仿宋_GB2312" w:hint="eastAsia"/>
          <w:sz w:val="28"/>
          <w:szCs w:val="28"/>
        </w:rPr>
        <w:t>本部门及下属事业单位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严格按照资金预算用途及财务管理制度执行。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（3）会计基础信息完善性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会计基础信息准确</w:t>
      </w:r>
      <w:r w:rsidRPr="00604255">
        <w:rPr>
          <w:rFonts w:ascii="仿宋_GB2312" w:eastAsia="仿宋_GB2312" w:hAnsi="仿宋_GB2312" w:cs="仿宋_GB2312" w:hint="eastAsia"/>
          <w:sz w:val="28"/>
          <w:szCs w:val="28"/>
        </w:rPr>
        <w:t>、完整</w:t>
      </w:r>
      <w:r w:rsidRPr="00867F6D">
        <w:rPr>
          <w:rFonts w:ascii="仿宋_GB2312" w:eastAsia="仿宋_GB2312" w:hAnsi="仿宋_GB2312" w:cs="仿宋_GB2312" w:hint="eastAsia"/>
          <w:sz w:val="28"/>
          <w:szCs w:val="28"/>
        </w:rPr>
        <w:t>，人员配置合理，符合会计政策规定。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2.资产管理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部门设立后勤部门对资产进行日常管理，定期盘点并与财务部门核对，准确无误。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3.绩效管理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2021年继续加强绩效监督管理，从绩效目标设定、事中跟踪目标实现进程、事后评价目标完成情况，全过程、各环节、保证资金运行和预算管理效益最大化。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4.结转结余率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本年度结转结余资金占拨付资金的5.57%。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5.部门预决算差异率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本年度部门预决算差异率14.64%。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（五）总体评价结论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1.评价得分情况</w:t>
      </w:r>
    </w:p>
    <w:p w:rsidR="00AE06B2" w:rsidRPr="00867F6D" w:rsidRDefault="00AE06B2" w:rsidP="00AE06B2">
      <w:pPr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本部门收入支出合理，严格按照政府会计制度执行，符合财务管理的各项制度，总体评价得分100分。</w:t>
      </w:r>
    </w:p>
    <w:p w:rsidR="00AE06B2" w:rsidRPr="00867F6D" w:rsidRDefault="00AE06B2" w:rsidP="00AE06B2">
      <w:pPr>
        <w:spacing w:line="580" w:lineRule="exact"/>
        <w:ind w:leftChars="50" w:left="105"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sz w:val="28"/>
          <w:szCs w:val="28"/>
        </w:rPr>
        <w:t>2.存在的问题及原因分析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无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（六）措施建议</w:t>
      </w:r>
    </w:p>
    <w:p w:rsidR="00AE06B2" w:rsidRPr="00867F6D" w:rsidRDefault="00AE06B2" w:rsidP="00AE06B2">
      <w:pPr>
        <w:spacing w:line="580" w:lineRule="exact"/>
        <w:ind w:firstLineChars="200" w:firstLine="560"/>
        <w:rPr>
          <w:rFonts w:hint="eastAsia"/>
          <w:sz w:val="28"/>
          <w:szCs w:val="28"/>
        </w:rPr>
      </w:pPr>
      <w:r w:rsidRPr="00867F6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无</w:t>
      </w:r>
    </w:p>
    <w:p w:rsidR="00396BD3" w:rsidRDefault="00396BD3"/>
    <w:sectPr w:rsidR="00396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FFB472"/>
    <w:multiLevelType w:val="singleLevel"/>
    <w:tmpl w:val="D7FFB4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6B2"/>
    <w:rsid w:val="00396BD3"/>
    <w:rsid w:val="008E43AE"/>
    <w:rsid w:val="00AE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39D803-E8FC-4669-B4F7-0DEDE99DE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AE06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rsid w:val="00AE06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王伟娟</dc:creator>
  <cp:keywords/>
  <dc:description/>
  <cp:lastModifiedBy>王伟娟</cp:lastModifiedBy>
  <cp:revision>1</cp:revision>
  <dcterms:created xsi:type="dcterms:W3CDTF">2022-08-19T02:23:00Z</dcterms:created>
  <dcterms:modified xsi:type="dcterms:W3CDTF">2022-08-19T02:25:00Z</dcterms:modified>
</cp:coreProperties>
</file>