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黑体" w:eastAsia="黑体"/>
          <w:sz w:val="28"/>
          <w:szCs w:val="28"/>
          <w:highlight w:val="none"/>
        </w:rPr>
      </w:pPr>
      <w:r>
        <w:rPr>
          <w:rFonts w:hint="eastAsia" w:ascii="黑体" w:eastAsia="黑体"/>
          <w:sz w:val="28"/>
          <w:szCs w:val="28"/>
          <w:highlight w:val="none"/>
        </w:rPr>
        <w:t>三</w:t>
      </w:r>
      <w:r>
        <w:rPr>
          <w:rFonts w:ascii="黑体" w:eastAsia="黑体"/>
          <w:sz w:val="28"/>
          <w:szCs w:val="28"/>
          <w:highlight w:val="none"/>
        </w:rPr>
        <w:t>、</w:t>
      </w:r>
      <w:r>
        <w:rPr>
          <w:rFonts w:hint="eastAsia" w:ascii="黑体" w:eastAsia="黑体"/>
          <w:sz w:val="28"/>
          <w:szCs w:val="28"/>
          <w:highlight w:val="none"/>
        </w:rPr>
        <w:t>项目</w:t>
      </w:r>
      <w:r>
        <w:rPr>
          <w:rFonts w:ascii="黑体" w:eastAsia="黑体"/>
          <w:sz w:val="28"/>
          <w:szCs w:val="28"/>
          <w:highlight w:val="none"/>
        </w:rPr>
        <w:t>支出绩效自评表</w:t>
      </w:r>
    </w:p>
    <w:p>
      <w:pPr>
        <w:spacing w:line="480" w:lineRule="exact"/>
        <w:jc w:val="center"/>
        <w:rPr>
          <w:rFonts w:ascii="方正小标宋简体" w:hAnsi="黑体" w:eastAsia="方正小标宋简体"/>
          <w:sz w:val="28"/>
          <w:szCs w:val="28"/>
        </w:rPr>
      </w:pPr>
      <w:r>
        <w:rPr>
          <w:rFonts w:hint="eastAsia" w:ascii="方正小标宋简体" w:hAnsi="黑体" w:eastAsia="方正小标宋简体"/>
          <w:sz w:val="28"/>
          <w:szCs w:val="28"/>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w:t>
      </w:r>
      <w:r>
        <w:rPr>
          <w:rFonts w:ascii="仿宋_GB2312" w:hAnsi="宋体" w:eastAsia="仿宋_GB2312"/>
          <w:sz w:val="28"/>
          <w:szCs w:val="28"/>
        </w:rPr>
        <w:t>2021</w:t>
      </w:r>
      <w:r>
        <w:rPr>
          <w:rFonts w:hint="eastAsia" w:ascii="仿宋_GB2312" w:hAnsi="宋体" w:eastAsia="仿宋_GB2312"/>
          <w:sz w:val="28"/>
          <w:szCs w:val="28"/>
        </w:rPr>
        <w:t xml:space="preserve"> 年度）</w:t>
      </w:r>
    </w:p>
    <w:p>
      <w:pPr>
        <w:spacing w:line="240" w:lineRule="exact"/>
        <w:rPr>
          <w:rFonts w:ascii="仿宋_GB2312" w:hAnsi="宋体" w:eastAsia="仿宋_GB2312"/>
          <w:sz w:val="30"/>
          <w:szCs w:val="30"/>
        </w:rPr>
      </w:pPr>
    </w:p>
    <w:tbl>
      <w:tblPr>
        <w:tblStyle w:val="6"/>
        <w:tblW w:w="9038" w:type="dxa"/>
        <w:jc w:val="center"/>
        <w:tblInd w:w="0" w:type="dxa"/>
        <w:tblLayout w:type="fixed"/>
        <w:tblCellMar>
          <w:top w:w="0" w:type="dxa"/>
          <w:left w:w="108" w:type="dxa"/>
          <w:bottom w:w="0" w:type="dxa"/>
          <w:right w:w="108" w:type="dxa"/>
        </w:tblCellMar>
      </w:tblPr>
      <w:tblGrid>
        <w:gridCol w:w="585"/>
        <w:gridCol w:w="686"/>
        <w:gridCol w:w="709"/>
        <w:gridCol w:w="1412"/>
        <w:gridCol w:w="1127"/>
        <w:gridCol w:w="12"/>
        <w:gridCol w:w="851"/>
        <w:gridCol w:w="850"/>
        <w:gridCol w:w="546"/>
        <w:gridCol w:w="305"/>
        <w:gridCol w:w="399"/>
        <w:gridCol w:w="451"/>
        <w:gridCol w:w="395"/>
        <w:gridCol w:w="710"/>
      </w:tblGrid>
      <w:tr>
        <w:tblPrEx>
          <w:tblLayout w:type="fixed"/>
          <w:tblCellMar>
            <w:top w:w="0" w:type="dxa"/>
            <w:left w:w="108" w:type="dxa"/>
            <w:bottom w:w="0" w:type="dxa"/>
            <w:right w:w="108" w:type="dxa"/>
          </w:tblCellMar>
        </w:tblPrEx>
        <w:trPr>
          <w:trHeight w:val="537" w:hRule="exact"/>
          <w:jc w:val="center"/>
        </w:trPr>
        <w:tc>
          <w:tcPr>
            <w:tcW w:w="127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76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宣传、理论及社会服务经费</w:t>
            </w:r>
          </w:p>
        </w:tc>
      </w:tr>
      <w:tr>
        <w:tblPrEx>
          <w:tblLayout w:type="fixed"/>
          <w:tblCellMar>
            <w:top w:w="0" w:type="dxa"/>
            <w:left w:w="108" w:type="dxa"/>
            <w:bottom w:w="0" w:type="dxa"/>
            <w:right w:w="108" w:type="dxa"/>
          </w:tblCellMar>
        </w:tblPrEx>
        <w:trPr>
          <w:trHeight w:val="654" w:hRule="exact"/>
          <w:jc w:val="center"/>
        </w:trPr>
        <w:tc>
          <w:tcPr>
            <w:tcW w:w="127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11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中国民主建国会北京市委员会</w:t>
            </w:r>
          </w:p>
        </w:tc>
        <w:tc>
          <w:tcPr>
            <w:tcW w:w="139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中国民主建国会北京市委员会（本级））</w:t>
            </w:r>
          </w:p>
        </w:tc>
      </w:tr>
      <w:tr>
        <w:tblPrEx>
          <w:tblLayout w:type="fixed"/>
          <w:tblCellMar>
            <w:top w:w="0" w:type="dxa"/>
            <w:left w:w="108" w:type="dxa"/>
            <w:bottom w:w="0" w:type="dxa"/>
            <w:right w:w="108" w:type="dxa"/>
          </w:tblCellMar>
        </w:tblPrEx>
        <w:trPr>
          <w:trHeight w:val="483" w:hRule="exact"/>
          <w:jc w:val="center"/>
        </w:trPr>
        <w:tc>
          <w:tcPr>
            <w:tcW w:w="127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11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焦甲、</w:t>
            </w:r>
            <w:r>
              <w:rPr>
                <w:rFonts w:hint="eastAsia" w:ascii="仿宋_GB2312" w:hAnsi="宋体" w:eastAsia="仿宋_GB2312" w:cs="宋体"/>
                <w:kern w:val="0"/>
                <w:szCs w:val="21"/>
              </w:rPr>
              <w:t>周民</w:t>
            </w:r>
            <w:r>
              <w:rPr>
                <w:rFonts w:hint="eastAsia" w:ascii="仿宋_GB2312" w:hAnsi="宋体" w:eastAsia="仿宋_GB2312" w:cs="宋体"/>
                <w:kern w:val="0"/>
                <w:szCs w:val="21"/>
                <w:lang w:eastAsia="zh-CN"/>
              </w:rPr>
              <w:t>、刘辉</w:t>
            </w:r>
          </w:p>
        </w:tc>
        <w:tc>
          <w:tcPr>
            <w:tcW w:w="139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rPr>
              <w:t>8</w:t>
            </w:r>
            <w:r>
              <w:rPr>
                <w:rFonts w:ascii="仿宋_GB2312" w:hAnsi="宋体" w:eastAsia="仿宋_GB2312" w:cs="宋体"/>
                <w:kern w:val="0"/>
                <w:szCs w:val="21"/>
              </w:rPr>
              <w:t>2218</w:t>
            </w:r>
            <w:r>
              <w:rPr>
                <w:rFonts w:hint="eastAsia" w:ascii="仿宋_GB2312" w:hAnsi="宋体" w:eastAsia="仿宋_GB2312" w:cs="宋体"/>
                <w:kern w:val="0"/>
                <w:szCs w:val="21"/>
                <w:lang w:val="en-US" w:eastAsia="zh-CN"/>
              </w:rPr>
              <w:t>292</w:t>
            </w:r>
          </w:p>
        </w:tc>
      </w:tr>
      <w:tr>
        <w:tblPrEx>
          <w:tblLayout w:type="fixed"/>
          <w:tblCellMar>
            <w:top w:w="0" w:type="dxa"/>
            <w:left w:w="108" w:type="dxa"/>
            <w:bottom w:w="0" w:type="dxa"/>
            <w:right w:w="108" w:type="dxa"/>
          </w:tblCellMar>
        </w:tblPrEx>
        <w:trPr>
          <w:trHeight w:val="567" w:hRule="exact"/>
          <w:jc w:val="center"/>
        </w:trPr>
        <w:tc>
          <w:tcPr>
            <w:tcW w:w="127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21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86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39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Layout w:type="fixed"/>
          <w:tblCellMar>
            <w:top w:w="0" w:type="dxa"/>
            <w:left w:w="108" w:type="dxa"/>
            <w:bottom w:w="0" w:type="dxa"/>
            <w:right w:w="108" w:type="dxa"/>
          </w:tblCellMar>
        </w:tblPrEx>
        <w:trPr>
          <w:trHeight w:val="306" w:hRule="exact"/>
          <w:jc w:val="center"/>
        </w:trPr>
        <w:tc>
          <w:tcPr>
            <w:tcW w:w="12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21"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68.68</w:t>
            </w:r>
          </w:p>
        </w:tc>
        <w:tc>
          <w:tcPr>
            <w:tcW w:w="86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68.68</w:t>
            </w:r>
          </w:p>
        </w:tc>
        <w:tc>
          <w:tcPr>
            <w:tcW w:w="139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67.47</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98.2</w:t>
            </w:r>
            <w:r>
              <w:rPr>
                <w:rFonts w:hint="eastAsia" w:ascii="仿宋_GB2312" w:hAnsi="宋体" w:eastAsia="仿宋_GB2312" w:cs="宋体"/>
                <w:kern w:val="0"/>
                <w:szCs w:val="21"/>
              </w:rPr>
              <w:t>%</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9.8</w:t>
            </w:r>
          </w:p>
        </w:tc>
      </w:tr>
      <w:tr>
        <w:tblPrEx>
          <w:tblLayout w:type="fixed"/>
          <w:tblCellMar>
            <w:top w:w="0" w:type="dxa"/>
            <w:left w:w="108" w:type="dxa"/>
            <w:bottom w:w="0" w:type="dxa"/>
            <w:right w:w="108" w:type="dxa"/>
          </w:tblCellMar>
        </w:tblPrEx>
        <w:trPr>
          <w:trHeight w:val="601" w:hRule="exact"/>
          <w:jc w:val="center"/>
        </w:trPr>
        <w:tc>
          <w:tcPr>
            <w:tcW w:w="12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68.68</w:t>
            </w:r>
          </w:p>
        </w:tc>
        <w:tc>
          <w:tcPr>
            <w:tcW w:w="86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68.68</w:t>
            </w:r>
          </w:p>
        </w:tc>
        <w:tc>
          <w:tcPr>
            <w:tcW w:w="139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67.47</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98.2</w:t>
            </w:r>
            <w:r>
              <w:rPr>
                <w:rFonts w:hint="eastAsia" w:ascii="仿宋_GB2312" w:hAnsi="宋体" w:eastAsia="仿宋_GB2312" w:cs="宋体"/>
                <w:kern w:val="0"/>
                <w:szCs w:val="21"/>
              </w:rPr>
              <w:t>%</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67" w:hRule="exact"/>
          <w:jc w:val="center"/>
        </w:trPr>
        <w:tc>
          <w:tcPr>
            <w:tcW w:w="12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6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9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306" w:hRule="exact"/>
          <w:jc w:val="center"/>
        </w:trPr>
        <w:tc>
          <w:tcPr>
            <w:tcW w:w="12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6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9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479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65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Layout w:type="fixed"/>
          <w:tblCellMar>
            <w:top w:w="0" w:type="dxa"/>
            <w:left w:w="108" w:type="dxa"/>
            <w:bottom w:w="0" w:type="dxa"/>
            <w:right w:w="108" w:type="dxa"/>
          </w:tblCellMar>
        </w:tblPrEx>
        <w:trPr>
          <w:trHeight w:val="2643"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9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高质量完成民建北京市委宣传教育、理论会史研究及社会服务联络等工作。</w:t>
            </w:r>
          </w:p>
        </w:tc>
        <w:tc>
          <w:tcPr>
            <w:tcW w:w="365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民建北京市委思想政治建设工作以习近平新时代中国特色社会主义思想为指导，深化政治共识教育，以提升宣传阵地管理水平为抓手，以提升履职能力为目标，在创新工作方法上下功夫，夯实思想政治建设根基，带领全市会员上下同心，聚焦河北丰宁、贵州黔西、北京门头沟和平谷，开展帮扶工作，取得了较好的成绩。</w:t>
            </w:r>
          </w:p>
        </w:tc>
      </w:tr>
      <w:tr>
        <w:tblPrEx>
          <w:tblLayout w:type="fixed"/>
          <w:tblCellMar>
            <w:top w:w="0" w:type="dxa"/>
            <w:left w:w="108" w:type="dxa"/>
            <w:bottom w:w="0" w:type="dxa"/>
            <w:right w:w="108" w:type="dxa"/>
          </w:tblCellMar>
        </w:tblPrEx>
        <w:trPr>
          <w:trHeight w:val="1237"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68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Layout w:type="fixed"/>
          <w:tblCellMar>
            <w:top w:w="0" w:type="dxa"/>
            <w:left w:w="108" w:type="dxa"/>
            <w:bottom w:w="0" w:type="dxa"/>
            <w:right w:w="108" w:type="dxa"/>
          </w:tblCellMar>
        </w:tblPrEx>
        <w:trPr>
          <w:trHeight w:val="68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产出指标（5</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数量指标（1</w:t>
            </w:r>
            <w:r>
              <w:rPr>
                <w:rFonts w:ascii="仿宋_GB2312" w:hAnsi="宋体" w:eastAsia="仿宋_GB2312" w:cs="宋体"/>
                <w:kern w:val="0"/>
                <w:szCs w:val="21"/>
              </w:rPr>
              <w:t>5</w:t>
            </w:r>
            <w:r>
              <w:rPr>
                <w:rFonts w:hint="eastAsia" w:ascii="仿宋_GB2312" w:hAnsi="宋体" w:eastAsia="仿宋_GB2312" w:cs="宋体"/>
                <w:kern w:val="0"/>
                <w:szCs w:val="21"/>
              </w:rPr>
              <w:t>分）</w:t>
            </w: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完成市委重点理论研究课题</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44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《北京民建》杂志发行</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12</w:t>
            </w:r>
            <w:r>
              <w:rPr>
                <w:rFonts w:hint="eastAsia" w:ascii="仿宋_GB2312" w:hAnsi="宋体" w:eastAsia="仿宋_GB2312" w:cs="宋体"/>
                <w:kern w:val="0"/>
                <w:szCs w:val="21"/>
              </w:rPr>
              <w:t>期</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12</w:t>
            </w:r>
            <w:r>
              <w:rPr>
                <w:rFonts w:hint="eastAsia" w:ascii="仿宋_GB2312" w:hAnsi="宋体" w:eastAsia="仿宋_GB2312" w:cs="宋体"/>
                <w:kern w:val="0"/>
                <w:szCs w:val="21"/>
              </w:rPr>
              <w:t>期</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43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教育实践活动</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2</w:t>
            </w:r>
            <w:r>
              <w:rPr>
                <w:rFonts w:ascii="微软雅黑" w:hAnsi="微软雅黑" w:eastAsia="微软雅黑" w:cs="宋体"/>
                <w:kern w:val="0"/>
                <w:szCs w:val="21"/>
              </w:rPr>
              <w:t>10</w:t>
            </w:r>
            <w:r>
              <w:rPr>
                <w:rFonts w:hint="eastAsia" w:ascii="仿宋_GB2312" w:hAnsi="宋体" w:eastAsia="仿宋_GB2312" w:cs="宋体"/>
                <w:kern w:val="0"/>
                <w:szCs w:val="21"/>
              </w:rPr>
              <w:t>次</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2</w:t>
            </w:r>
            <w:r>
              <w:rPr>
                <w:rFonts w:ascii="微软雅黑" w:hAnsi="微软雅黑" w:eastAsia="微软雅黑" w:cs="宋体"/>
                <w:kern w:val="0"/>
                <w:szCs w:val="21"/>
              </w:rPr>
              <w:t>10</w:t>
            </w:r>
            <w:r>
              <w:rPr>
                <w:rFonts w:hint="eastAsia" w:ascii="仿宋_GB2312" w:hAnsi="宋体" w:eastAsia="仿宋_GB2312" w:cs="宋体"/>
                <w:kern w:val="0"/>
                <w:szCs w:val="21"/>
              </w:rPr>
              <w:t>次</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28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组织培训</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w:t>
            </w:r>
            <w:r>
              <w:rPr>
                <w:rFonts w:ascii="仿宋_GB2312" w:hAnsi="宋体" w:eastAsia="仿宋_GB2312" w:cs="宋体"/>
                <w:kern w:val="0"/>
                <w:szCs w:val="21"/>
              </w:rPr>
              <w:t>1</w:t>
            </w:r>
            <w:r>
              <w:rPr>
                <w:rFonts w:hint="eastAsia" w:ascii="仿宋_GB2312" w:hAnsi="宋体" w:eastAsia="仿宋_GB2312" w:cs="宋体"/>
                <w:kern w:val="0"/>
                <w:szCs w:val="21"/>
              </w:rPr>
              <w:t>次</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理论研究成果</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51</w:t>
            </w:r>
            <w:r>
              <w:rPr>
                <w:rFonts w:hint="eastAsia" w:ascii="仿宋_GB2312" w:hAnsi="宋体" w:eastAsia="仿宋_GB2312" w:cs="宋体"/>
                <w:kern w:val="0"/>
                <w:szCs w:val="21"/>
              </w:rPr>
              <w:t>篇</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51</w:t>
            </w:r>
            <w:r>
              <w:rPr>
                <w:rFonts w:hint="eastAsia" w:ascii="仿宋_GB2312" w:hAnsi="宋体" w:eastAsia="仿宋_GB2312" w:cs="宋体"/>
                <w:kern w:val="0"/>
                <w:szCs w:val="21"/>
              </w:rPr>
              <w:t>篇</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00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质量指标（1</w:t>
            </w:r>
            <w:r>
              <w:rPr>
                <w:rFonts w:ascii="仿宋_GB2312" w:hAnsi="宋体" w:eastAsia="仿宋_GB2312" w:cs="宋体"/>
                <w:kern w:val="0"/>
                <w:szCs w:val="21"/>
              </w:rPr>
              <w:t>5</w:t>
            </w:r>
            <w:r>
              <w:rPr>
                <w:rFonts w:hint="eastAsia" w:ascii="仿宋_GB2312" w:hAnsi="宋体" w:eastAsia="仿宋_GB2312" w:cs="宋体"/>
                <w:kern w:val="0"/>
                <w:szCs w:val="21"/>
              </w:rPr>
              <w:t>分）</w:t>
            </w: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《中国统一战线》《团结报》等报刊发表理论文章</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w:t>
            </w:r>
            <w:r>
              <w:rPr>
                <w:rFonts w:hint="eastAsia" w:ascii="仿宋_GB2312" w:hAnsi="宋体" w:eastAsia="仿宋_GB2312" w:cs="宋体"/>
                <w:kern w:val="0"/>
                <w:szCs w:val="21"/>
              </w:rPr>
              <w:t>篇</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w:t>
            </w:r>
            <w:r>
              <w:rPr>
                <w:rFonts w:hint="eastAsia" w:ascii="仿宋_GB2312" w:hAnsi="宋体" w:eastAsia="仿宋_GB2312" w:cs="宋体"/>
                <w:kern w:val="0"/>
                <w:szCs w:val="21"/>
              </w:rPr>
              <w:t>篇</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68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推荐稿件获会中央采用率</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≥5</w:t>
            </w:r>
            <w:r>
              <w:rPr>
                <w:rFonts w:ascii="微软雅黑" w:hAnsi="微软雅黑" w:eastAsia="微软雅黑" w:cs="宋体"/>
                <w:kern w:val="0"/>
                <w:szCs w:val="21"/>
              </w:rPr>
              <w:t>0</w:t>
            </w:r>
            <w:r>
              <w:rPr>
                <w:rFonts w:hint="eastAsia" w:ascii="微软雅黑" w:hAnsi="微软雅黑" w:eastAsia="微软雅黑" w:cs="宋体"/>
                <w:kern w:val="0"/>
                <w:szCs w:val="21"/>
              </w:rPr>
              <w:t>%</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w:t>
            </w:r>
            <w:r>
              <w:rPr>
                <w:rFonts w:hint="eastAsia" w:ascii="仿宋_GB2312" w:hAnsi="宋体" w:eastAsia="仿宋_GB2312" w:cs="宋体"/>
                <w:kern w:val="0"/>
                <w:szCs w:val="21"/>
              </w:rPr>
              <w:t>8</w:t>
            </w:r>
            <w:r>
              <w:rPr>
                <w:rFonts w:ascii="仿宋_GB2312" w:hAnsi="宋体" w:eastAsia="仿宋_GB2312" w:cs="宋体"/>
                <w:kern w:val="0"/>
                <w:szCs w:val="21"/>
              </w:rPr>
              <w:t>5</w:t>
            </w:r>
            <w:r>
              <w:rPr>
                <w:rFonts w:hint="eastAsia" w:ascii="仿宋_GB2312" w:hAnsi="宋体" w:eastAsia="仿宋_GB2312" w:cs="宋体"/>
                <w:kern w:val="0"/>
                <w:szCs w:val="21"/>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37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以“七个一”系列活动为载体，开展教育实践活动，在民建全国宣传工作会议上作经验交流</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72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优秀稿件经推荐在民建中央网站上刊登</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r>
              <w:rPr>
                <w:rFonts w:ascii="仿宋_GB2312" w:hAnsi="宋体" w:eastAsia="仿宋_GB2312" w:cs="宋体"/>
                <w:kern w:val="0"/>
                <w:szCs w:val="21"/>
              </w:rPr>
              <w:t>6</w:t>
            </w:r>
            <w:r>
              <w:rPr>
                <w:rFonts w:hint="eastAsia" w:ascii="仿宋_GB2312" w:hAnsi="宋体" w:eastAsia="仿宋_GB2312" w:cs="宋体"/>
                <w:kern w:val="0"/>
                <w:szCs w:val="21"/>
              </w:rPr>
              <w:t>篇</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r>
              <w:rPr>
                <w:rFonts w:ascii="仿宋_GB2312" w:hAnsi="宋体" w:eastAsia="仿宋_GB2312" w:cs="宋体"/>
                <w:kern w:val="0"/>
                <w:szCs w:val="21"/>
              </w:rPr>
              <w:t>6</w:t>
            </w:r>
            <w:r>
              <w:rPr>
                <w:rFonts w:hint="eastAsia" w:ascii="仿宋_GB2312" w:hAnsi="宋体" w:eastAsia="仿宋_GB2312" w:cs="宋体"/>
                <w:kern w:val="0"/>
                <w:szCs w:val="21"/>
              </w:rPr>
              <w:t>篇</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3</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5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《北京民建》杂志发行</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1期/月</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1期/月</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3</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6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按照工作计划年度内全面完成</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w:t>
            </w:r>
            <w:r>
              <w:rPr>
                <w:rFonts w:hint="eastAsia" w:ascii="仿宋_GB2312" w:hAnsi="宋体" w:eastAsia="仿宋_GB2312" w:cs="宋体"/>
                <w:kern w:val="0"/>
                <w:szCs w:val="21"/>
              </w:rPr>
              <w:t>1</w:t>
            </w:r>
            <w:r>
              <w:rPr>
                <w:rFonts w:ascii="仿宋_GB2312" w:hAnsi="宋体" w:eastAsia="仿宋_GB2312" w:cs="宋体"/>
                <w:kern w:val="0"/>
                <w:szCs w:val="21"/>
              </w:rPr>
              <w:t>2</w:t>
            </w:r>
            <w:r>
              <w:rPr>
                <w:rFonts w:hint="eastAsia" w:ascii="仿宋_GB2312" w:hAnsi="宋体" w:eastAsia="仿宋_GB2312" w:cs="宋体"/>
                <w:kern w:val="0"/>
                <w:szCs w:val="21"/>
              </w:rPr>
              <w:t>月</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2</w:t>
            </w:r>
            <w:r>
              <w:rPr>
                <w:rFonts w:hint="eastAsia" w:ascii="仿宋_GB2312" w:hAnsi="宋体" w:eastAsia="仿宋_GB2312" w:cs="宋体"/>
                <w:kern w:val="0"/>
                <w:szCs w:val="21"/>
              </w:rPr>
              <w:t>月</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3</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12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预算定额指标</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68.68</w:t>
            </w:r>
            <w:r>
              <w:rPr>
                <w:rFonts w:hint="eastAsia" w:ascii="仿宋_GB2312" w:hAnsi="宋体" w:eastAsia="仿宋_GB2312" w:cs="宋体"/>
                <w:kern w:val="0"/>
                <w:szCs w:val="21"/>
              </w:rPr>
              <w:t>万元</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67.47</w:t>
            </w:r>
            <w:r>
              <w:rPr>
                <w:rFonts w:hint="eastAsia" w:ascii="仿宋_GB2312" w:hAnsi="宋体" w:eastAsia="仿宋_GB2312" w:cs="宋体"/>
                <w:kern w:val="0"/>
                <w:szCs w:val="21"/>
              </w:rPr>
              <w:t>万元</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9.8</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14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r>
              <w:rPr>
                <w:rFonts w:ascii="仿宋_GB2312" w:hAnsi="宋体" w:eastAsia="仿宋_GB2312" w:cs="宋体"/>
                <w:kern w:val="0"/>
                <w:szCs w:val="21"/>
              </w:rPr>
              <w:t>20</w:t>
            </w:r>
            <w:r>
              <w:rPr>
                <w:rFonts w:hint="eastAsia" w:ascii="仿宋_GB2312" w:hAnsi="宋体" w:eastAsia="仿宋_GB2312" w:cs="宋体"/>
                <w:kern w:val="0"/>
                <w:szCs w:val="21"/>
              </w:rPr>
              <w:t>分）</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经济效益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探索“赋能帮扶”工作模式，面向河北丰宁、贵州黔西投入和引进帮扶资金</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r>
              <w:rPr>
                <w:rFonts w:ascii="仿宋_GB2312" w:hAnsi="宋体" w:eastAsia="仿宋_GB2312" w:cs="宋体"/>
                <w:kern w:val="0"/>
                <w:szCs w:val="21"/>
              </w:rPr>
              <w:t>073</w:t>
            </w:r>
            <w:r>
              <w:rPr>
                <w:rFonts w:hint="eastAsia" w:ascii="仿宋_GB2312" w:hAnsi="宋体" w:eastAsia="仿宋_GB2312" w:cs="宋体"/>
                <w:kern w:val="0"/>
                <w:szCs w:val="21"/>
              </w:rPr>
              <w:t>万元</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r>
              <w:rPr>
                <w:rFonts w:ascii="仿宋_GB2312" w:hAnsi="宋体" w:eastAsia="仿宋_GB2312" w:cs="宋体"/>
                <w:kern w:val="0"/>
                <w:szCs w:val="21"/>
              </w:rPr>
              <w:t>073</w:t>
            </w:r>
            <w:r>
              <w:rPr>
                <w:rFonts w:hint="eastAsia" w:ascii="仿宋_GB2312" w:hAnsi="宋体" w:eastAsia="仿宋_GB2312" w:cs="宋体"/>
                <w:kern w:val="0"/>
                <w:szCs w:val="21"/>
              </w:rPr>
              <w:t>万元</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12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赋能区域化，广泛联络促进京津冀协同发展，参加论坛企业现场签约</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r>
              <w:rPr>
                <w:rFonts w:ascii="仿宋_GB2312" w:hAnsi="宋体" w:eastAsia="仿宋_GB2312" w:cs="宋体"/>
                <w:kern w:val="0"/>
                <w:szCs w:val="21"/>
              </w:rPr>
              <w:t>0</w:t>
            </w:r>
            <w:r>
              <w:rPr>
                <w:rFonts w:hint="eastAsia" w:ascii="仿宋_GB2312" w:hAnsi="宋体" w:eastAsia="仿宋_GB2312" w:cs="宋体"/>
                <w:kern w:val="0"/>
                <w:szCs w:val="21"/>
              </w:rPr>
              <w:t>亿</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r>
              <w:rPr>
                <w:rFonts w:ascii="仿宋_GB2312" w:hAnsi="宋体" w:eastAsia="仿宋_GB2312" w:cs="宋体"/>
                <w:kern w:val="0"/>
                <w:szCs w:val="21"/>
              </w:rPr>
              <w:t>0</w:t>
            </w:r>
            <w:r>
              <w:rPr>
                <w:rFonts w:hint="eastAsia" w:ascii="仿宋_GB2312" w:hAnsi="宋体" w:eastAsia="仿宋_GB2312" w:cs="宋体"/>
                <w:kern w:val="0"/>
                <w:szCs w:val="21"/>
              </w:rPr>
              <w:t>亿</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71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帮扶地区实现就业</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≥4</w:t>
            </w:r>
            <w:r>
              <w:rPr>
                <w:rFonts w:ascii="微软雅黑" w:hAnsi="微软雅黑" w:eastAsia="微软雅黑" w:cs="宋体"/>
                <w:kern w:val="0"/>
                <w:szCs w:val="21"/>
              </w:rPr>
              <w:t>00</w:t>
            </w:r>
            <w:r>
              <w:rPr>
                <w:rFonts w:hint="eastAsia" w:ascii="微软雅黑" w:hAnsi="微软雅黑" w:eastAsia="微软雅黑" w:cs="宋体"/>
                <w:kern w:val="0"/>
                <w:szCs w:val="21"/>
              </w:rPr>
              <w:t>人</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≥4</w:t>
            </w:r>
            <w:r>
              <w:rPr>
                <w:rFonts w:ascii="微软雅黑" w:hAnsi="微软雅黑" w:eastAsia="微软雅黑" w:cs="宋体"/>
                <w:kern w:val="0"/>
                <w:szCs w:val="21"/>
              </w:rPr>
              <w:t>00</w:t>
            </w:r>
            <w:r>
              <w:rPr>
                <w:rFonts w:hint="eastAsia" w:ascii="微软雅黑" w:hAnsi="微软雅黑" w:eastAsia="微软雅黑" w:cs="宋体"/>
                <w:kern w:val="0"/>
                <w:szCs w:val="21"/>
              </w:rPr>
              <w:t>人</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64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为河南战胜洪灾捐赠款物</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r>
              <w:rPr>
                <w:rFonts w:ascii="仿宋_GB2312" w:hAnsi="宋体" w:eastAsia="仿宋_GB2312" w:cs="宋体"/>
                <w:kern w:val="0"/>
                <w:szCs w:val="21"/>
              </w:rPr>
              <w:t>53</w:t>
            </w:r>
            <w:r>
              <w:rPr>
                <w:rFonts w:hint="eastAsia" w:ascii="仿宋_GB2312" w:hAnsi="宋体" w:eastAsia="仿宋_GB2312" w:cs="宋体"/>
                <w:kern w:val="0"/>
                <w:szCs w:val="21"/>
              </w:rPr>
              <w:t>万元</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r>
              <w:rPr>
                <w:rFonts w:ascii="仿宋_GB2312" w:hAnsi="宋体" w:eastAsia="仿宋_GB2312" w:cs="宋体"/>
                <w:kern w:val="0"/>
                <w:szCs w:val="21"/>
              </w:rPr>
              <w:t>53</w:t>
            </w:r>
            <w:r>
              <w:rPr>
                <w:rFonts w:hint="eastAsia" w:ascii="仿宋_GB2312" w:hAnsi="宋体" w:eastAsia="仿宋_GB2312" w:cs="宋体"/>
                <w:kern w:val="0"/>
                <w:szCs w:val="21"/>
              </w:rPr>
              <w:t>万元</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r>
              <w:rPr>
                <w:rFonts w:ascii="仿宋_GB2312" w:hAnsi="宋体" w:eastAsia="仿宋_GB2312" w:cs="宋体"/>
                <w:kern w:val="0"/>
                <w:szCs w:val="21"/>
              </w:rPr>
              <w:t>20</w:t>
            </w:r>
            <w:r>
              <w:rPr>
                <w:rFonts w:hint="eastAsia" w:ascii="仿宋_GB2312" w:hAnsi="宋体" w:eastAsia="仿宋_GB2312" w:cs="宋体"/>
                <w:kern w:val="0"/>
                <w:szCs w:val="21"/>
              </w:rPr>
              <w:t>分）</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r>
              <w:rPr>
                <w:rFonts w:ascii="仿宋_GB2312" w:hAnsi="宋体" w:eastAsia="仿宋_GB2312" w:cs="宋体"/>
                <w:kern w:val="0"/>
                <w:szCs w:val="21"/>
              </w:rPr>
              <w:t>20</w:t>
            </w:r>
            <w:r>
              <w:rPr>
                <w:rFonts w:hint="eastAsia" w:ascii="仿宋_GB2312" w:hAnsi="宋体" w:eastAsia="仿宋_GB2312" w:cs="宋体"/>
                <w:kern w:val="0"/>
                <w:szCs w:val="21"/>
              </w:rPr>
              <w:t>分）</w:t>
            </w: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帮扶地区受益人群</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w:t>
            </w:r>
            <w:r>
              <w:rPr>
                <w:rFonts w:ascii="仿宋_GB2312" w:hAnsi="宋体" w:eastAsia="仿宋_GB2312" w:cs="宋体"/>
                <w:kern w:val="0"/>
                <w:szCs w:val="21"/>
              </w:rPr>
              <w:t>90</w:t>
            </w:r>
            <w:r>
              <w:rPr>
                <w:rFonts w:hint="eastAsia" w:ascii="仿宋_GB2312" w:hAnsi="宋体" w:eastAsia="仿宋_GB2312" w:cs="宋体"/>
                <w:kern w:val="0"/>
                <w:szCs w:val="21"/>
              </w:rPr>
              <w:t>%</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w:t>
            </w:r>
            <w:r>
              <w:rPr>
                <w:rFonts w:hint="eastAsia" w:ascii="仿宋_GB2312" w:hAnsi="宋体" w:eastAsia="仿宋_GB2312" w:cs="宋体"/>
                <w:kern w:val="0"/>
                <w:szCs w:val="21"/>
              </w:rPr>
              <w:t>9</w:t>
            </w:r>
            <w:r>
              <w:rPr>
                <w:rFonts w:ascii="仿宋_GB2312" w:hAnsi="宋体" w:eastAsia="仿宋_GB2312" w:cs="宋体"/>
                <w:kern w:val="0"/>
                <w:szCs w:val="21"/>
              </w:rPr>
              <w:t>0</w:t>
            </w:r>
            <w:r>
              <w:rPr>
                <w:rFonts w:hint="eastAsia" w:ascii="仿宋_GB2312" w:hAnsi="宋体" w:eastAsia="仿宋_GB2312" w:cs="宋体"/>
                <w:kern w:val="0"/>
                <w:szCs w:val="21"/>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10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参培会员满意度</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w:t>
            </w:r>
            <w:r>
              <w:rPr>
                <w:rFonts w:ascii="仿宋_GB2312" w:hAnsi="宋体" w:eastAsia="仿宋_GB2312" w:cs="宋体"/>
                <w:kern w:val="0"/>
                <w:szCs w:val="21"/>
              </w:rPr>
              <w:t>90</w:t>
            </w:r>
            <w:r>
              <w:rPr>
                <w:rFonts w:hint="eastAsia" w:ascii="仿宋_GB2312" w:hAnsi="宋体" w:eastAsia="仿宋_GB2312" w:cs="宋体"/>
                <w:kern w:val="0"/>
                <w:szCs w:val="21"/>
              </w:rPr>
              <w:t>%</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w:t>
            </w:r>
            <w:bookmarkStart w:id="0" w:name="_GoBack"/>
            <w:bookmarkEnd w:id="0"/>
            <w:r>
              <w:rPr>
                <w:rFonts w:hint="eastAsia" w:ascii="仿宋_GB2312" w:hAnsi="宋体" w:eastAsia="仿宋_GB2312" w:cs="宋体"/>
                <w:kern w:val="0"/>
                <w:szCs w:val="21"/>
              </w:rPr>
              <w:t>9</w:t>
            </w:r>
            <w:r>
              <w:rPr>
                <w:rFonts w:ascii="仿宋_GB2312" w:hAnsi="宋体" w:eastAsia="仿宋_GB2312" w:cs="宋体"/>
                <w:kern w:val="0"/>
                <w:szCs w:val="21"/>
              </w:rPr>
              <w:t>0</w:t>
            </w:r>
            <w:r>
              <w:rPr>
                <w:rFonts w:hint="eastAsia" w:ascii="仿宋_GB2312" w:hAnsi="宋体" w:eastAsia="仿宋_GB2312" w:cs="宋体"/>
                <w:kern w:val="0"/>
                <w:szCs w:val="21"/>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p>
            <w:pPr>
              <w:widowControl/>
              <w:spacing w:line="240" w:lineRule="exact"/>
              <w:jc w:val="center"/>
              <w:rPr>
                <w:rFonts w:ascii="仿宋_GB2312" w:hAnsi="宋体" w:eastAsia="仿宋_GB2312" w:cs="宋体"/>
                <w:kern w:val="0"/>
                <w:szCs w:val="21"/>
              </w:rPr>
            </w:pPr>
          </w:p>
          <w:p>
            <w:pPr>
              <w:widowControl/>
              <w:spacing w:line="240" w:lineRule="exact"/>
              <w:jc w:val="center"/>
              <w:rPr>
                <w:rFonts w:hint="eastAsia"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50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市委会网站获奖</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获会中央网站组稿先进单位一等奖</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获会中央网站组稿先进单位一等奖</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477" w:hRule="exact"/>
          <w:jc w:val="center"/>
        </w:trPr>
        <w:tc>
          <w:tcPr>
            <w:tcW w:w="6232"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w:t>
            </w:r>
            <w:r>
              <w:rPr>
                <w:rFonts w:ascii="仿宋_GB2312" w:hAnsi="宋体" w:eastAsia="仿宋_GB2312" w:cs="宋体"/>
                <w:color w:val="000000"/>
                <w:kern w:val="0"/>
                <w:szCs w:val="21"/>
              </w:rPr>
              <w:t>7.6</w:t>
            </w:r>
          </w:p>
        </w:tc>
        <w:tc>
          <w:tcPr>
            <w:tcW w:w="11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pStyle w:val="2"/>
        <w:ind w:left="0" w:leftChars="0" w:firstLine="0" w:firstLineChars="0"/>
      </w:pPr>
    </w:p>
    <w:p>
      <w:pPr>
        <w:pStyle w:val="2"/>
      </w:pPr>
    </w:p>
    <w:p>
      <w:pPr>
        <w:spacing w:line="480" w:lineRule="exact"/>
        <w:jc w:val="both"/>
        <w:rPr>
          <w:rFonts w:hint="eastAsia" w:ascii="黑体" w:eastAsia="黑体"/>
          <w:sz w:val="32"/>
          <w:szCs w:val="32"/>
          <w:highlight w:val="none"/>
        </w:rPr>
      </w:pPr>
      <w:r>
        <w:rPr>
          <w:rFonts w:hint="eastAsia" w:ascii="黑体" w:eastAsia="黑体"/>
          <w:sz w:val="28"/>
          <w:szCs w:val="28"/>
          <w:highlight w:val="none"/>
          <w:lang w:val="en-US" w:eastAsia="zh-CN"/>
        </w:rPr>
        <w:t xml:space="preserve">    （注：一级预算部门“一、二、三”均公开；二级预算单位仅公开“三”。）</w:t>
      </w:r>
    </w:p>
    <w:p>
      <w:pPr>
        <w:spacing w:line="480" w:lineRule="exact"/>
        <w:jc w:val="center"/>
        <w:rPr>
          <w:rFonts w:hint="eastAsia" w:ascii="黑体" w:eastAsia="黑体"/>
          <w:sz w:val="32"/>
          <w:szCs w:val="32"/>
        </w:rPr>
      </w:pPr>
      <w:r>
        <w:rPr>
          <w:rFonts w:hint="eastAsia" w:ascii="黑体" w:eastAsia="黑体"/>
          <w:sz w:val="32"/>
          <w:szCs w:val="32"/>
        </w:rPr>
        <w:t xml:space="preserve"> </w:t>
      </w:r>
    </w:p>
    <w:p/>
    <w:sectPr>
      <w:footerReference r:id="rId3" w:type="default"/>
      <w:footerReference r:id="rId4"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fldChar w:fldCharType="begin"/>
    </w:r>
    <w:r>
      <w:rPr>
        <w:rStyle w:val="5"/>
      </w:rPr>
      <w:instrText xml:space="preserve">PAGE  </w:instrText>
    </w:r>
    <w:r>
      <w:fldChar w:fldCharType="separate"/>
    </w:r>
    <w:r>
      <w:rPr>
        <w:rStyle w:val="5"/>
      </w:rPr>
      <w:t>24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fldChar w:fldCharType="begin"/>
    </w:r>
    <w:r>
      <w:rPr>
        <w:rStyle w:val="5"/>
      </w:rPr>
      <w:instrText xml:space="preserve">PAGE  </w:instrText>
    </w:r>
    <w:r>
      <w:fldChar w:fldCharType="separate"/>
    </w:r>
    <w:r>
      <w:rPr>
        <w:rStyle w:val="5"/>
      </w:rPr>
      <w:t>15</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4C7602"/>
    <w:rsid w:val="30211FF3"/>
    <w:rsid w:val="65FC102C"/>
    <w:rsid w:val="724C7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jmj</Company>
  <Pages>1</Pages>
  <Words>0</Words>
  <Characters>0</Characters>
  <Lines>0</Lines>
  <Paragraphs>0</Paragraphs>
  <TotalTime>0</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2022-08-24T06:51:00Z</dcterms:created>
  <dc:creator>user</dc:creator>
  <cp:lastModifiedBy>user</cp:lastModifiedBy>
  <dcterms:modified xsi:type="dcterms:W3CDTF">2022-08-25T08:02:36Z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