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560" w:firstLineChars="200"/>
        <w:textAlignment w:val="auto"/>
        <w:rPr>
          <w:rFonts w:hint="eastAsia" w:ascii="黑体" w:hAnsi="Times New Roman" w:eastAsia="黑体" w:cs="Times New Roman"/>
          <w:sz w:val="28"/>
          <w:szCs w:val="28"/>
          <w:highlight w:val="none"/>
          <w:lang w:eastAsia="zh-CN"/>
        </w:rPr>
      </w:pPr>
      <w:r>
        <w:rPr>
          <w:rFonts w:hint="eastAsia" w:ascii="黑体" w:hAnsi="Times New Roman" w:eastAsia="黑体" w:cs="Times New Roman"/>
          <w:sz w:val="28"/>
          <w:szCs w:val="28"/>
          <w:highlight w:val="none"/>
          <w:lang w:eastAsia="zh-CN"/>
        </w:rPr>
        <w:t>部门整体绩效评价报告</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color w:val="000000"/>
          <w:kern w:val="0"/>
          <w:sz w:val="28"/>
          <w:szCs w:val="28"/>
        </w:rPr>
      </w:pPr>
      <w:r>
        <w:rPr>
          <w:rFonts w:hint="eastAsia" w:ascii="黑体" w:hAnsi="黑体" w:eastAsia="黑体" w:cs="宋体"/>
          <w:color w:val="000000"/>
          <w:kern w:val="0"/>
          <w:sz w:val="28"/>
          <w:szCs w:val="28"/>
          <w:lang w:eastAsia="zh-CN"/>
        </w:rPr>
        <w:t>（</w:t>
      </w:r>
      <w:r>
        <w:rPr>
          <w:rFonts w:hint="eastAsia" w:ascii="仿宋_GB2312" w:hAnsi="仿宋_GB2312" w:eastAsia="仿宋_GB2312" w:cs="仿宋_GB2312"/>
          <w:color w:val="000000"/>
          <w:kern w:val="0"/>
          <w:sz w:val="28"/>
          <w:szCs w:val="28"/>
          <w:lang w:eastAsia="zh-CN"/>
        </w:rPr>
        <w:t>一）</w:t>
      </w:r>
      <w:r>
        <w:rPr>
          <w:rFonts w:hint="eastAsia" w:ascii="仿宋_GB2312" w:hAnsi="仿宋_GB2312" w:eastAsia="仿宋_GB2312" w:cs="仿宋_GB2312"/>
          <w:color w:val="000000"/>
          <w:kern w:val="0"/>
          <w:sz w:val="28"/>
          <w:szCs w:val="28"/>
        </w:rPr>
        <w:t>部门概况</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机构设置及职责工作任务情况</w:t>
      </w:r>
    </w:p>
    <w:p>
      <w:pPr>
        <w:spacing w:line="600" w:lineRule="exact"/>
        <w:ind w:firstLine="560" w:firstLineChars="200"/>
        <w:rPr>
          <w:rFonts w:ascii="仿宋" w:hAnsi="仿宋" w:eastAsia="仿宋"/>
          <w:sz w:val="28"/>
          <w:szCs w:val="28"/>
        </w:rPr>
      </w:pPr>
      <w:r>
        <w:rPr>
          <w:rFonts w:hint="eastAsia" w:ascii="仿宋" w:hAnsi="仿宋" w:eastAsia="仿宋"/>
          <w:sz w:val="28"/>
          <w:szCs w:val="28"/>
          <w:shd w:val="clear" w:color="auto" w:fill="FFFFFF"/>
        </w:rPr>
        <w:t>中国民主建国会北京市委员会属正局级行政单位，下设办公室、研究室、组织处、宣传处、参政议政处、社会服务和联络处。</w:t>
      </w:r>
    </w:p>
    <w:p>
      <w:pPr>
        <w:pStyle w:val="2"/>
        <w:rPr>
          <w:rFonts w:hint="eastAsia"/>
          <w:sz w:val="28"/>
          <w:szCs w:val="28"/>
        </w:rPr>
      </w:pPr>
      <w:r>
        <w:rPr>
          <w:rFonts w:hint="eastAsia" w:ascii="仿宋" w:hAnsi="仿宋" w:eastAsia="仿宋"/>
          <w:sz w:val="28"/>
          <w:szCs w:val="28"/>
          <w:shd w:val="clear" w:color="auto" w:fill="FFFFFF"/>
        </w:rPr>
        <w:t>中国民主建国会北京市委员会是中国民主建国会的省级地方组织，主要职能是参政议政、民主监督和参加中国共产党领导的政治协商。主要工作包括团结带领广大会员，积极参加社会主义现代化建设的实践活动，围绕首都经济建设和社会发展中的重大问题，开展调查研究，积极建言献策，努力服务社会等。</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部门整体绩效目标设立情况</w:t>
      </w:r>
    </w:p>
    <w:p>
      <w:pPr>
        <w:spacing w:line="600" w:lineRule="exact"/>
        <w:ind w:firstLine="560" w:firstLineChars="200"/>
        <w:rPr>
          <w:rFonts w:ascii="仿宋" w:hAnsi="仿宋" w:eastAsia="仿宋"/>
          <w:sz w:val="28"/>
          <w:szCs w:val="28"/>
          <w:shd w:val="clear" w:color="auto" w:fill="FFFFFF"/>
        </w:rPr>
      </w:pPr>
      <w:r>
        <w:rPr>
          <w:rFonts w:hint="eastAsia" w:ascii="仿宋" w:hAnsi="仿宋" w:eastAsia="仿宋"/>
          <w:sz w:val="28"/>
          <w:szCs w:val="28"/>
          <w:shd w:val="clear" w:color="auto" w:fill="FFFFFF"/>
        </w:rPr>
        <w:t>民建北京市委在民建中央和中共北京市委的领导下，发挥界别优势，研究制定了年度绩效目标：坚持以习近平新时代中国特色社会主义思想为指导，全面贯彻</w:t>
      </w:r>
      <w:r>
        <w:rPr>
          <w:rFonts w:hint="eastAsia" w:ascii="仿宋" w:hAnsi="仿宋" w:eastAsia="仿宋"/>
          <w:color w:val="auto"/>
          <w:sz w:val="28"/>
          <w:szCs w:val="28"/>
          <w:shd w:val="clear" w:color="auto" w:fill="FFFFFF"/>
        </w:rPr>
        <w:t>中共十九大和十九届</w:t>
      </w:r>
      <w:r>
        <w:rPr>
          <w:rFonts w:hint="eastAsia" w:ascii="仿宋" w:hAnsi="仿宋" w:eastAsia="仿宋"/>
          <w:color w:val="auto"/>
          <w:sz w:val="28"/>
          <w:szCs w:val="28"/>
          <w:shd w:val="clear" w:color="auto" w:fill="FFFFFF"/>
          <w:lang w:eastAsia="zh-CN"/>
        </w:rPr>
        <w:t>历次</w:t>
      </w:r>
      <w:r>
        <w:rPr>
          <w:rFonts w:hint="eastAsia" w:ascii="仿宋" w:hAnsi="仿宋" w:eastAsia="仿宋"/>
          <w:color w:val="auto"/>
          <w:sz w:val="28"/>
          <w:szCs w:val="28"/>
          <w:shd w:val="clear" w:color="auto" w:fill="FFFFFF"/>
        </w:rPr>
        <w:t>全会精神</w:t>
      </w:r>
      <w:r>
        <w:rPr>
          <w:rFonts w:hint="eastAsia" w:ascii="仿宋" w:hAnsi="仿宋" w:eastAsia="仿宋"/>
          <w:sz w:val="28"/>
          <w:szCs w:val="28"/>
          <w:shd w:val="clear" w:color="auto" w:fill="FFFFFF"/>
        </w:rPr>
        <w:t>，按照“四新”“三好”要求，从“讲政治、识大局、严要求、善履职”四个方面着手，进一步强化政治责任、使命担当、行动自觉，不断提高中国特色社会主义参政党建设水平；深入贯彻习近平总书记对北京重要讲话精神，紧紧围绕加强“四个中心”功能建设、提高“四个服务”水平，抓好“三件大事”，打好三大攻坚战，切实履行参政党职能，更加奋发有为地推进首都新发展。</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（二）</w:t>
      </w:r>
      <w:r>
        <w:rPr>
          <w:rFonts w:hint="eastAsia" w:ascii="仿宋_GB2312" w:hAnsi="仿宋_GB2312" w:eastAsia="仿宋_GB2312" w:cs="仿宋_GB2312"/>
          <w:color w:val="000000"/>
          <w:kern w:val="0"/>
          <w:sz w:val="28"/>
          <w:szCs w:val="28"/>
        </w:rPr>
        <w:t>当年预算执行情况</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202</w:t>
      </w:r>
      <w:r>
        <w:rPr>
          <w:rFonts w:hint="eastAsia" w:ascii="仿宋_GB2312" w:hAnsi="仿宋_GB2312" w:eastAsia="仿宋_GB2312" w:cs="仿宋_GB2312"/>
          <w:color w:val="000000"/>
          <w:kern w:val="0"/>
          <w:sz w:val="28"/>
          <w:szCs w:val="28"/>
          <w:lang w:val="en-US" w:eastAsia="zh-CN"/>
        </w:rPr>
        <w:t>1</w:t>
      </w:r>
      <w:r>
        <w:rPr>
          <w:rFonts w:hint="eastAsia" w:ascii="仿宋_GB2312" w:hAnsi="仿宋_GB2312" w:eastAsia="仿宋_GB2312" w:cs="仿宋_GB2312"/>
          <w:color w:val="000000"/>
          <w:kern w:val="0"/>
          <w:sz w:val="28"/>
          <w:szCs w:val="28"/>
        </w:rPr>
        <w:t>年全年预算数</w:t>
      </w:r>
      <w:r>
        <w:rPr>
          <w:rFonts w:hint="eastAsia" w:ascii="仿宋_GB2312" w:hAnsi="仿宋_GB2312" w:eastAsia="仿宋_GB2312" w:cs="仿宋_GB2312"/>
          <w:kern w:val="0"/>
          <w:sz w:val="28"/>
          <w:szCs w:val="28"/>
        </w:rPr>
        <w:t>1976.78</w:t>
      </w:r>
      <w:r>
        <w:rPr>
          <w:rFonts w:hint="eastAsia" w:ascii="仿宋_GB2312" w:hAnsi="仿宋_GB2312" w:eastAsia="仿宋_GB2312" w:cs="仿宋_GB2312"/>
          <w:color w:val="000000"/>
          <w:kern w:val="0"/>
          <w:sz w:val="28"/>
          <w:szCs w:val="28"/>
        </w:rPr>
        <w:t>万元，年初结转结余2万元</w:t>
      </w: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rPr>
        <w:t>其中，基本支出预算数</w:t>
      </w:r>
      <w:r>
        <w:rPr>
          <w:rFonts w:hint="eastAsia" w:ascii="仿宋_GB2312" w:hAnsi="仿宋_GB2312" w:eastAsia="仿宋_GB2312" w:cs="仿宋_GB2312"/>
          <w:kern w:val="0"/>
          <w:sz w:val="28"/>
          <w:szCs w:val="28"/>
        </w:rPr>
        <w:t>1854.36</w:t>
      </w:r>
      <w:r>
        <w:rPr>
          <w:rFonts w:hint="eastAsia" w:ascii="仿宋_GB2312" w:hAnsi="仿宋_GB2312" w:eastAsia="仿宋_GB2312" w:cs="仿宋_GB2312"/>
          <w:color w:val="000000"/>
          <w:kern w:val="0"/>
          <w:sz w:val="28"/>
          <w:szCs w:val="28"/>
        </w:rPr>
        <w:t>万元，项目支出预算数</w:t>
      </w:r>
      <w:r>
        <w:rPr>
          <w:rFonts w:hint="eastAsia" w:ascii="仿宋_GB2312" w:hAnsi="仿宋_GB2312" w:eastAsia="仿宋_GB2312" w:cs="仿宋_GB2312"/>
          <w:kern w:val="0"/>
          <w:sz w:val="28"/>
          <w:szCs w:val="28"/>
        </w:rPr>
        <w:t>124.42</w:t>
      </w:r>
      <w:r>
        <w:rPr>
          <w:rFonts w:hint="eastAsia" w:ascii="仿宋_GB2312" w:hAnsi="仿宋_GB2312" w:eastAsia="仿宋_GB2312" w:cs="仿宋_GB2312"/>
          <w:color w:val="000000"/>
          <w:kern w:val="0"/>
          <w:sz w:val="28"/>
          <w:szCs w:val="28"/>
        </w:rPr>
        <w:t>万元，其他支出预算数</w:t>
      </w:r>
      <w:r>
        <w:rPr>
          <w:rFonts w:hint="eastAsia" w:ascii="仿宋_GB2312" w:hAnsi="仿宋_GB2312" w:eastAsia="仿宋_GB2312" w:cs="仿宋_GB2312"/>
          <w:kern w:val="0"/>
          <w:sz w:val="28"/>
          <w:szCs w:val="28"/>
          <w:lang w:val="en-US" w:eastAsia="zh-CN"/>
        </w:rPr>
        <w:t>0</w:t>
      </w:r>
      <w:r>
        <w:rPr>
          <w:rFonts w:hint="eastAsia" w:ascii="仿宋_GB2312" w:hAnsi="仿宋_GB2312" w:eastAsia="仿宋_GB2312" w:cs="仿宋_GB2312"/>
          <w:color w:val="000000"/>
          <w:kern w:val="0"/>
          <w:sz w:val="28"/>
          <w:szCs w:val="28"/>
        </w:rPr>
        <w:t>万元。资金总体支出</w:t>
      </w:r>
      <w:r>
        <w:rPr>
          <w:rFonts w:hint="eastAsia" w:ascii="仿宋_GB2312" w:hAnsi="仿宋_GB2312" w:eastAsia="仿宋_GB2312" w:cs="仿宋_GB2312"/>
          <w:kern w:val="0"/>
          <w:sz w:val="28"/>
          <w:szCs w:val="28"/>
        </w:rPr>
        <w:t>1873.61</w:t>
      </w:r>
      <w:r>
        <w:rPr>
          <w:rFonts w:hint="eastAsia" w:ascii="仿宋_GB2312" w:hAnsi="仿宋_GB2312" w:eastAsia="仿宋_GB2312" w:cs="仿宋_GB2312"/>
          <w:color w:val="000000"/>
          <w:kern w:val="0"/>
          <w:sz w:val="28"/>
          <w:szCs w:val="28"/>
        </w:rPr>
        <w:t>万元，其中，基本支出</w:t>
      </w:r>
      <w:r>
        <w:rPr>
          <w:rFonts w:hint="eastAsia" w:ascii="仿宋_GB2312" w:hAnsi="仿宋_GB2312" w:eastAsia="仿宋_GB2312" w:cs="仿宋_GB2312"/>
          <w:kern w:val="0"/>
          <w:sz w:val="28"/>
          <w:szCs w:val="28"/>
        </w:rPr>
        <w:t>1756.36</w:t>
      </w:r>
      <w:r>
        <w:rPr>
          <w:rFonts w:hint="eastAsia" w:ascii="仿宋_GB2312" w:hAnsi="仿宋_GB2312" w:eastAsia="仿宋_GB2312" w:cs="仿宋_GB2312"/>
          <w:color w:val="000000"/>
          <w:kern w:val="0"/>
          <w:sz w:val="28"/>
          <w:szCs w:val="28"/>
        </w:rPr>
        <w:t>万元，项目支出</w:t>
      </w:r>
      <w:r>
        <w:rPr>
          <w:rFonts w:hint="eastAsia" w:ascii="仿宋_GB2312" w:hAnsi="仿宋_GB2312" w:eastAsia="仿宋_GB2312" w:cs="仿宋_GB2312"/>
          <w:kern w:val="0"/>
          <w:sz w:val="28"/>
          <w:szCs w:val="28"/>
        </w:rPr>
        <w:t>117.25</w:t>
      </w:r>
      <w:r>
        <w:rPr>
          <w:rFonts w:hint="eastAsia" w:ascii="仿宋_GB2312" w:hAnsi="仿宋_GB2312" w:eastAsia="仿宋_GB2312" w:cs="仿宋_GB2312"/>
          <w:color w:val="000000"/>
          <w:kern w:val="0"/>
          <w:sz w:val="28"/>
          <w:szCs w:val="28"/>
        </w:rPr>
        <w:t>万元，其他支出</w:t>
      </w:r>
      <w:r>
        <w:rPr>
          <w:rFonts w:hint="eastAsia" w:ascii="仿宋_GB2312" w:hAnsi="仿宋_GB2312" w:eastAsia="仿宋_GB2312" w:cs="仿宋_GB2312"/>
          <w:kern w:val="0"/>
          <w:sz w:val="28"/>
          <w:szCs w:val="28"/>
          <w:lang w:val="en-US" w:eastAsia="zh-CN"/>
        </w:rPr>
        <w:t>0</w:t>
      </w:r>
      <w:r>
        <w:rPr>
          <w:rFonts w:hint="eastAsia" w:ascii="仿宋_GB2312" w:hAnsi="仿宋_GB2312" w:eastAsia="仿宋_GB2312" w:cs="仿宋_GB2312"/>
          <w:color w:val="000000"/>
          <w:kern w:val="0"/>
          <w:sz w:val="28"/>
          <w:szCs w:val="28"/>
        </w:rPr>
        <w:t>万元。预算执行率为</w:t>
      </w:r>
      <w:r>
        <w:rPr>
          <w:rFonts w:hint="eastAsia" w:ascii="仿宋_GB2312" w:hAnsi="仿宋_GB2312" w:eastAsia="仿宋_GB2312" w:cs="仿宋_GB2312"/>
          <w:kern w:val="0"/>
          <w:sz w:val="28"/>
          <w:szCs w:val="28"/>
        </w:rPr>
        <w:t>94.69</w:t>
      </w:r>
      <w:r>
        <w:rPr>
          <w:rFonts w:hint="eastAsia" w:ascii="仿宋_GB2312" w:hAnsi="仿宋_GB2312" w:eastAsia="仿宋_GB2312" w:cs="仿宋_GB2312"/>
          <w:kern w:val="0"/>
          <w:sz w:val="28"/>
          <w:szCs w:val="28"/>
          <w:lang w:val="en-US" w:eastAsia="zh-CN"/>
        </w:rPr>
        <w:t>%</w:t>
      </w:r>
      <w:r>
        <w:rPr>
          <w:rFonts w:hint="eastAsia" w:ascii="仿宋_GB2312" w:hAnsi="仿宋_GB2312" w:eastAsia="仿宋_GB2312" w:cs="仿宋_GB2312"/>
          <w:color w:val="000000"/>
          <w:kern w:val="0"/>
          <w:sz w:val="28"/>
          <w:szCs w:val="28"/>
        </w:rPr>
        <w:t>。</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（三）</w:t>
      </w:r>
      <w:r>
        <w:rPr>
          <w:rFonts w:hint="eastAsia" w:ascii="仿宋_GB2312" w:hAnsi="仿宋_GB2312" w:eastAsia="仿宋_GB2312" w:cs="仿宋_GB2312"/>
          <w:color w:val="000000"/>
          <w:kern w:val="0"/>
          <w:sz w:val="28"/>
          <w:szCs w:val="28"/>
        </w:rPr>
        <w:t>整体绩效目标实现情况</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产出完成情况分析</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lang w:val="en-US" w:eastAsia="zh-CN"/>
        </w:rPr>
        <w:t>1</w:t>
      </w: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rPr>
        <w:t>产出数量</w:t>
      </w:r>
    </w:p>
    <w:p>
      <w:pPr>
        <w:spacing w:line="600" w:lineRule="exact"/>
        <w:ind w:firstLine="560" w:firstLineChars="200"/>
        <w:rPr>
          <w:rFonts w:hint="eastAsia" w:ascii="仿宋" w:hAnsi="仿宋" w:eastAsia="仿宋"/>
          <w:sz w:val="28"/>
          <w:szCs w:val="28"/>
          <w:shd w:val="clear" w:color="auto" w:fill="FFFFFF"/>
          <w:lang w:eastAsia="zh-CN"/>
        </w:rPr>
      </w:pPr>
      <w:r>
        <w:rPr>
          <w:rFonts w:hint="eastAsia" w:ascii="仿宋" w:hAnsi="仿宋" w:eastAsia="仿宋"/>
          <w:sz w:val="28"/>
          <w:szCs w:val="28"/>
          <w:shd w:val="clear" w:color="auto" w:fill="FFFFFF"/>
        </w:rPr>
        <w:t>2</w:t>
      </w:r>
      <w:r>
        <w:rPr>
          <w:rFonts w:ascii="仿宋" w:hAnsi="仿宋" w:eastAsia="仿宋"/>
          <w:sz w:val="28"/>
          <w:szCs w:val="28"/>
          <w:shd w:val="clear" w:color="auto" w:fill="FFFFFF"/>
        </w:rPr>
        <w:t>021</w:t>
      </w:r>
      <w:r>
        <w:rPr>
          <w:rFonts w:hint="eastAsia" w:ascii="仿宋" w:hAnsi="仿宋" w:eastAsia="仿宋"/>
          <w:sz w:val="28"/>
          <w:szCs w:val="28"/>
          <w:shd w:val="clear" w:color="auto" w:fill="FFFFFF"/>
        </w:rPr>
        <w:t>年，民建北京市委围绕“新发展阶段凝聚共识的体制机制”和“中国政党制度的发展道路”主题形成理论研究成果51篇，在《中国统一战线》《团结报》等报刊发表理论文章20余篇，代表统战系统单位在“首都统一战线庆祝建党百年”理论研讨会上作《坚守合作初心 筑梦伟大时代》主题发言。编印《忆往追昔话民建——北京民建会史资料汇编》第三辑，推出33期“党史会史跟我学”微课堂</w:t>
      </w:r>
      <w:r>
        <w:rPr>
          <w:rFonts w:hint="eastAsia" w:ascii="仿宋" w:hAnsi="仿宋" w:eastAsia="仿宋"/>
          <w:sz w:val="28"/>
          <w:szCs w:val="28"/>
          <w:shd w:val="clear" w:color="auto" w:fill="FFFFFF"/>
          <w:lang w:eastAsia="zh-CN"/>
        </w:rPr>
        <w:t>，</w:t>
      </w:r>
      <w:r>
        <w:rPr>
          <w:rFonts w:hint="eastAsia" w:ascii="仿宋" w:hAnsi="仿宋" w:eastAsia="仿宋"/>
          <w:sz w:val="28"/>
          <w:szCs w:val="28"/>
          <w:shd w:val="clear" w:color="auto" w:fill="FFFFFF"/>
        </w:rPr>
        <w:t>向会中央和中共市委统战部报送征文29篇</w:t>
      </w:r>
      <w:r>
        <w:rPr>
          <w:rFonts w:hint="eastAsia" w:ascii="仿宋" w:hAnsi="仿宋" w:eastAsia="仿宋"/>
          <w:sz w:val="28"/>
          <w:szCs w:val="28"/>
          <w:shd w:val="clear" w:color="auto" w:fill="FFFFFF"/>
          <w:lang w:eastAsia="zh-CN"/>
        </w:rPr>
        <w:t>。</w:t>
      </w:r>
    </w:p>
    <w:p>
      <w:pPr>
        <w:spacing w:line="600" w:lineRule="exact"/>
        <w:ind w:firstLine="560" w:firstLineChars="200"/>
        <w:rPr>
          <w:rFonts w:ascii="仿宋" w:hAnsi="仿宋" w:eastAsia="仿宋"/>
          <w:sz w:val="28"/>
          <w:szCs w:val="28"/>
          <w:shd w:val="clear" w:color="auto" w:fill="FFFFFF"/>
        </w:rPr>
      </w:pPr>
      <w:r>
        <w:rPr>
          <w:rFonts w:hint="eastAsia" w:ascii="仿宋" w:hAnsi="仿宋" w:eastAsia="仿宋"/>
          <w:sz w:val="28"/>
          <w:szCs w:val="28"/>
          <w:shd w:val="clear" w:color="auto" w:fill="FFFFFF"/>
        </w:rPr>
        <w:t>《北京民建》</w:t>
      </w:r>
      <w:r>
        <w:rPr>
          <w:rFonts w:hint="eastAsia" w:ascii="仿宋" w:hAnsi="仿宋" w:eastAsia="仿宋"/>
          <w:sz w:val="28"/>
          <w:szCs w:val="28"/>
          <w:shd w:val="clear" w:color="auto" w:fill="FFFFFF"/>
          <w:lang w:eastAsia="zh-CN"/>
        </w:rPr>
        <w:t>杂志</w:t>
      </w:r>
      <w:r>
        <w:rPr>
          <w:rFonts w:hint="eastAsia" w:ascii="仿宋" w:hAnsi="仿宋" w:eastAsia="仿宋"/>
          <w:sz w:val="28"/>
          <w:szCs w:val="28"/>
          <w:shd w:val="clear" w:color="auto" w:fill="FFFFFF"/>
        </w:rPr>
        <w:t>开设“党史教育”“史海钩沉”等专栏，编发11期，刊发报道400余篇。公众号及时传达解读重要会议、重要讲话精神，集中反映特色活动、亮点工作，较去年新增关注553人，推送文章321篇，累计阅读近15万人次。在中央及北京市主流媒体发稿577篇。</w:t>
      </w:r>
    </w:p>
    <w:p>
      <w:pPr>
        <w:spacing w:line="600" w:lineRule="exact"/>
        <w:ind w:firstLine="560" w:firstLineChars="200"/>
        <w:rPr>
          <w:rFonts w:hint="eastAsia" w:ascii="仿宋" w:hAnsi="仿宋" w:eastAsia="仿宋"/>
          <w:sz w:val="28"/>
          <w:szCs w:val="28"/>
          <w:shd w:val="clear" w:color="auto" w:fill="FFFFFF"/>
          <w:lang w:eastAsia="zh-CN"/>
        </w:rPr>
      </w:pPr>
      <w:r>
        <w:rPr>
          <w:rFonts w:hint="eastAsia" w:ascii="仿宋" w:hAnsi="仿宋" w:eastAsia="仿宋"/>
          <w:sz w:val="28"/>
          <w:szCs w:val="28"/>
          <w:shd w:val="clear" w:color="auto" w:fill="FFFFFF"/>
        </w:rPr>
        <w:t>班子成员分工领衔10余项重点课题，开展线上线下调研百余次，形成调研成果222篇；参与会中央“畅通国内大循环”等5项重点专题调研；与市政协就“加快国际科技创新中心建设”等4项课题开展联合调研。组织13期“星五信息沙龙”，多渠道培养参政议政骨干；编辑上报社情民意信息429篇</w:t>
      </w:r>
      <w:r>
        <w:rPr>
          <w:rFonts w:hint="eastAsia" w:ascii="仿宋" w:hAnsi="仿宋" w:eastAsia="仿宋"/>
          <w:sz w:val="28"/>
          <w:szCs w:val="28"/>
          <w:shd w:val="clear" w:color="auto" w:fill="FFFFFF"/>
          <w:lang w:eastAsia="zh-CN"/>
        </w:rPr>
        <w:t>。</w:t>
      </w:r>
    </w:p>
    <w:p>
      <w:pPr>
        <w:spacing w:line="600" w:lineRule="exact"/>
        <w:ind w:firstLine="560" w:firstLineChars="200"/>
        <w:rPr>
          <w:rFonts w:ascii="仿宋" w:hAnsi="仿宋" w:eastAsia="仿宋"/>
          <w:sz w:val="28"/>
          <w:szCs w:val="28"/>
          <w:shd w:val="clear" w:color="auto" w:fill="FFFFFF"/>
        </w:rPr>
      </w:pPr>
      <w:r>
        <w:rPr>
          <w:rFonts w:hint="eastAsia" w:ascii="仿宋" w:hAnsi="仿宋" w:eastAsia="仿宋"/>
          <w:sz w:val="28"/>
          <w:szCs w:val="28"/>
          <w:shd w:val="clear" w:color="auto" w:fill="FFFFFF"/>
        </w:rPr>
        <w:t>准确把握新形势下社会服务工作的性质定位和任务要求，三赴丰宁走访调研，协调建成4个扶贫车间，引入“中药材产业园”项目，帮助400余人实现就业；与中共门头沟区委签订新一轮“8+1”行动框架协议，承接并推进9个帮扶项目，“名誉户主”持续帮助困难家庭增收。联系走访33家会员企业，举办2期建华课堂，积极组织会员参与会中央企业家培训和非公经济圆桌会议，引导会员企业家坚定发展信心，积极转型升级。</w:t>
      </w:r>
    </w:p>
    <w:p>
      <w:pPr>
        <w:spacing w:line="600" w:lineRule="exact"/>
        <w:ind w:firstLine="560" w:firstLineChars="200"/>
        <w:rPr>
          <w:rFonts w:ascii="仿宋" w:hAnsi="仿宋" w:eastAsia="仿宋"/>
          <w:sz w:val="28"/>
          <w:szCs w:val="28"/>
          <w:shd w:val="clear" w:color="auto" w:fill="FFFFFF"/>
        </w:rPr>
      </w:pPr>
      <w:r>
        <w:rPr>
          <w:rFonts w:hint="eastAsia" w:ascii="仿宋" w:hAnsi="仿宋" w:eastAsia="仿宋"/>
          <w:sz w:val="28"/>
          <w:szCs w:val="28"/>
          <w:shd w:val="clear" w:color="auto" w:fill="FFFFFF"/>
        </w:rPr>
        <w:t>注重队伍发展，坚持民主集中制，召开主委办公会议19次、主委会议7次、常委会议9次。召开区级组织主委座谈会、会务工作座谈会，举办区级组织负责人学习班、基层组织负责人学习班、2期新会员培训，组织会员138人次参加会中央、中共市委统战部举办的各类培训。目前全市共有会员之家35个，实现区级组织全覆盖。</w:t>
      </w:r>
    </w:p>
    <w:p>
      <w:pPr>
        <w:pStyle w:val="2"/>
        <w:rPr>
          <w:rFonts w:hint="eastAsia"/>
          <w:sz w:val="28"/>
          <w:szCs w:val="28"/>
        </w:rPr>
      </w:pPr>
      <w:r>
        <w:rPr>
          <w:rFonts w:hint="eastAsia" w:ascii="仿宋" w:hAnsi="仿宋" w:eastAsia="仿宋"/>
          <w:sz w:val="28"/>
          <w:szCs w:val="28"/>
          <w:shd w:val="clear" w:color="auto" w:fill="FFFFFF"/>
        </w:rPr>
        <w:t>加强机关建设，2</w:t>
      </w:r>
      <w:r>
        <w:rPr>
          <w:rFonts w:ascii="仿宋" w:hAnsi="仿宋" w:eastAsia="仿宋"/>
          <w:sz w:val="28"/>
          <w:szCs w:val="28"/>
          <w:shd w:val="clear" w:color="auto" w:fill="FFFFFF"/>
        </w:rPr>
        <w:t>021</w:t>
      </w:r>
      <w:r>
        <w:rPr>
          <w:rFonts w:hint="eastAsia" w:ascii="仿宋" w:hAnsi="仿宋" w:eastAsia="仿宋"/>
          <w:sz w:val="28"/>
          <w:szCs w:val="28"/>
          <w:shd w:val="clear" w:color="auto" w:fill="FFFFFF"/>
        </w:rPr>
        <w:t>年度共召开41次机关工作例会，全面加强工作统筹。向上级单位编报动态信息83篇，被采用53篇；编发《工作动态》17期，履行督察督办职责。</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lang w:val="en-US" w:eastAsia="zh-CN"/>
        </w:rPr>
        <w:t>2</w:t>
      </w: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rPr>
        <w:t>产出质量</w:t>
      </w:r>
    </w:p>
    <w:p>
      <w:pPr>
        <w:spacing w:line="276" w:lineRule="auto"/>
        <w:ind w:left="105" w:leftChars="50" w:firstLine="420" w:firstLineChars="150"/>
        <w:rPr>
          <w:rFonts w:ascii="仿宋" w:hAnsi="仿宋" w:eastAsia="仿宋"/>
          <w:sz w:val="28"/>
          <w:szCs w:val="28"/>
          <w:shd w:val="clear" w:color="auto" w:fill="FFFFFF"/>
        </w:rPr>
      </w:pPr>
      <w:r>
        <w:rPr>
          <w:rFonts w:hint="eastAsia" w:ascii="仿宋" w:hAnsi="仿宋" w:eastAsia="仿宋"/>
          <w:sz w:val="28"/>
          <w:szCs w:val="28"/>
          <w:shd w:val="clear" w:color="auto" w:fill="FFFFFF"/>
        </w:rPr>
        <w:t>民建北京市委在会中央和中共北京市委的领导下，深入学习贯彻习近平新时代中国特色社会主义思想，以主题教育为牵引加强思想政治引领，以改进作风提高能力为抓手全面加强自身建设，聚焦首都中心任务，强化责任担当，认真履行参政党职能，各项工作多次获得会中央、中共北京市委、北京市政协的表彰。以“七个一”系列活动为载体，开展主题突出、特色鲜明、形式多样的教育实践活动210次，在民建全国宣传工作会议上作经验交流。市委会网站以“学党史、守初心、话传承、聚共识”专题为主阵地，编发稿件1502篇，推荐稿件获得会中央采用率达85%以上，获得会中央网站组稿先进单位一等奖；调研成果被中央统战部采用20余篇。参与会中央“畅通国内大循环”等5项重点专题调研，其中“关于京津冀自贸区协同发展的建议”通过会中央“直通车”上报国务院；编辑上报社情民意信息上级采用294篇，其中全国政协采用33篇，1篇获中共中央重要领导批示，6篇获市级以上领导批示。</w:t>
      </w:r>
    </w:p>
    <w:p>
      <w:pPr>
        <w:spacing w:line="600" w:lineRule="exact"/>
        <w:ind w:firstLine="560" w:firstLineChars="200"/>
        <w:rPr>
          <w:rFonts w:ascii="仿宋" w:hAnsi="仿宋" w:eastAsia="仿宋"/>
          <w:sz w:val="28"/>
          <w:szCs w:val="28"/>
          <w:shd w:val="clear" w:color="auto" w:fill="FFFFFF"/>
        </w:rPr>
      </w:pPr>
      <w:r>
        <w:rPr>
          <w:rFonts w:hint="eastAsia" w:ascii="仿宋" w:hAnsi="仿宋" w:eastAsia="仿宋"/>
          <w:sz w:val="28"/>
          <w:szCs w:val="28"/>
          <w:shd w:val="clear" w:color="auto" w:fill="FFFFFF"/>
        </w:rPr>
        <w:t>发挥民建界别优势，围绕北京市“十四五”规划提出的目标任务，在“五子”联动中找准功能定位，引导全市会员聚焦加强“四个中心”建设、提高“四个服务”水平献计出力。形成《以创新思维引领北京市全球数字经济标杆城市建设》等4篇建言专报，均获得中共市委主要领导批示，《关于建立平台经济失业保险制度的建议》被中央统战部采用。《盘活农村闲置资源 切实增加农民收入》的政党协商发言获中共市委主要领导高度评价。形成“创建城市环境大脑”“疫情防控形势下冬奥场馆运营管理的建议”2篇议政会发言。2篇提案获市政协年度优秀提案，其中“助力工业机器人产业高质量发展”提案成果落地，建成中关村机器人产业创新中心；“促进《北京市科技成果转化条例》更好实施”的提案得到承办方、督办方、市政协提案委联合办理，深化了提案办理协商形式。“采用碳中和技术解决北京冬奥场馆恒温采暖的建议”和“加快平行进口汽车贸易在北京自贸区落地的建议”获中共市委主要领导批示。</w:t>
      </w:r>
      <w:r>
        <w:rPr>
          <w:rFonts w:hint="eastAsia" w:ascii="仿宋" w:hAnsi="仿宋" w:eastAsia="仿宋"/>
          <w:color w:val="auto"/>
          <w:sz w:val="28"/>
          <w:szCs w:val="28"/>
          <w:shd w:val="clear" w:color="auto" w:fill="FFFFFF"/>
        </w:rPr>
        <w:t>创新思路合力推进，进一步助力全面建成小康社会，</w:t>
      </w:r>
      <w:r>
        <w:rPr>
          <w:rFonts w:hint="eastAsia" w:ascii="仿宋" w:hAnsi="仿宋" w:eastAsia="仿宋"/>
          <w:sz w:val="28"/>
          <w:szCs w:val="28"/>
          <w:shd w:val="clear" w:color="auto" w:fill="FFFFFF"/>
        </w:rPr>
        <w:t>2名会员获“全国脱贫攻坚先进个人”称号，26名会员、6个集体获民建参与脱贫攻坚先进荣誉称号，5名会员、4家会员企业获“北京市扶贫协作奖”。</w:t>
      </w:r>
    </w:p>
    <w:p>
      <w:pPr>
        <w:pStyle w:val="2"/>
        <w:rPr>
          <w:rFonts w:hint="eastAsia"/>
          <w:sz w:val="28"/>
          <w:szCs w:val="28"/>
        </w:rPr>
      </w:pPr>
      <w:r>
        <w:rPr>
          <w:rFonts w:hint="eastAsia" w:ascii="仿宋" w:hAnsi="仿宋" w:eastAsia="仿宋"/>
          <w:sz w:val="28"/>
          <w:szCs w:val="28"/>
          <w:shd w:val="clear" w:color="auto" w:fill="FFFFFF"/>
        </w:rPr>
        <w:t>注重加强机关建设，民建北京市委再次获得“全国文明单位”称号。</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lang w:val="en-US" w:eastAsia="zh-CN"/>
        </w:rPr>
        <w:t>3</w:t>
      </w: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rPr>
        <w:t>产出进度</w:t>
      </w:r>
    </w:p>
    <w:p>
      <w:pPr>
        <w:pStyle w:val="2"/>
        <w:rPr>
          <w:rFonts w:hint="eastAsia"/>
          <w:sz w:val="28"/>
          <w:szCs w:val="28"/>
        </w:rPr>
      </w:pPr>
      <w:r>
        <w:rPr>
          <w:rFonts w:hint="eastAsia" w:ascii="仿宋" w:hAnsi="仿宋" w:eastAsia="仿宋" w:cs="仿宋_GB2312"/>
          <w:sz w:val="28"/>
          <w:szCs w:val="28"/>
        </w:rPr>
        <w:t>《北京民建》</w:t>
      </w:r>
      <w:r>
        <w:rPr>
          <w:rFonts w:hint="eastAsia" w:ascii="仿宋" w:hAnsi="仿宋" w:eastAsia="仿宋"/>
          <w:sz w:val="28"/>
          <w:szCs w:val="28"/>
          <w:shd w:val="clear" w:color="auto" w:fill="FFFFFF"/>
        </w:rPr>
        <w:t>刊物按照每月一期进度执行，其余工作按照民建北京市委年度工作计划安排，平稳有序地开展，期间克服疫情不良因素的影响，于2</w:t>
      </w:r>
      <w:r>
        <w:rPr>
          <w:rFonts w:ascii="仿宋" w:hAnsi="仿宋" w:eastAsia="仿宋"/>
          <w:sz w:val="28"/>
          <w:szCs w:val="28"/>
          <w:shd w:val="clear" w:color="auto" w:fill="FFFFFF"/>
        </w:rPr>
        <w:t>021</w:t>
      </w:r>
      <w:r>
        <w:rPr>
          <w:rFonts w:hint="eastAsia" w:ascii="仿宋" w:hAnsi="仿宋" w:eastAsia="仿宋"/>
          <w:sz w:val="28"/>
          <w:szCs w:val="28"/>
          <w:shd w:val="clear" w:color="auto" w:fill="FFFFFF"/>
        </w:rPr>
        <w:t>年1</w:t>
      </w:r>
      <w:r>
        <w:rPr>
          <w:rFonts w:ascii="仿宋" w:hAnsi="仿宋" w:eastAsia="仿宋"/>
          <w:sz w:val="28"/>
          <w:szCs w:val="28"/>
          <w:shd w:val="clear" w:color="auto" w:fill="FFFFFF"/>
        </w:rPr>
        <w:t>2</w:t>
      </w:r>
      <w:r>
        <w:rPr>
          <w:rFonts w:hint="eastAsia" w:ascii="仿宋" w:hAnsi="仿宋" w:eastAsia="仿宋"/>
          <w:sz w:val="28"/>
          <w:szCs w:val="28"/>
          <w:shd w:val="clear" w:color="auto" w:fill="FFFFFF"/>
        </w:rPr>
        <w:t>月底前全面完成预算目标规定的各项工作任务。</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lang w:val="en-US" w:eastAsia="zh-CN"/>
        </w:rPr>
        <w:t>4</w:t>
      </w: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rPr>
        <w:t xml:space="preserve">产出成本  </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ascii="仿宋" w:hAnsi="仿宋" w:eastAsia="仿宋"/>
          <w:sz w:val="28"/>
          <w:szCs w:val="28"/>
          <w:shd w:val="clear" w:color="auto" w:fill="FFFFFF"/>
        </w:rPr>
        <w:t>2021</w:t>
      </w:r>
      <w:r>
        <w:rPr>
          <w:rFonts w:hint="eastAsia" w:ascii="仿宋" w:hAnsi="仿宋" w:eastAsia="仿宋"/>
          <w:sz w:val="28"/>
          <w:szCs w:val="28"/>
          <w:shd w:val="clear" w:color="auto" w:fill="FFFFFF"/>
        </w:rPr>
        <w:t>年整体支出1873.61万元 ，其中</w:t>
      </w:r>
      <w:r>
        <w:rPr>
          <w:rFonts w:ascii="仿宋" w:hAnsi="仿宋" w:eastAsia="仿宋"/>
          <w:sz w:val="28"/>
          <w:szCs w:val="28"/>
          <w:shd w:val="clear" w:color="auto" w:fill="FFFFFF"/>
        </w:rPr>
        <w:t>基本支出</w:t>
      </w:r>
      <w:r>
        <w:rPr>
          <w:rFonts w:hint="eastAsia" w:ascii="仿宋" w:hAnsi="仿宋" w:eastAsia="仿宋"/>
          <w:sz w:val="28"/>
          <w:szCs w:val="28"/>
          <w:shd w:val="clear" w:color="auto" w:fill="FFFFFF"/>
        </w:rPr>
        <w:t>1756.36</w:t>
      </w:r>
      <w:r>
        <w:rPr>
          <w:rFonts w:ascii="仿宋" w:hAnsi="仿宋" w:eastAsia="仿宋"/>
          <w:sz w:val="28"/>
          <w:szCs w:val="28"/>
          <w:shd w:val="clear" w:color="auto" w:fill="FFFFFF"/>
        </w:rPr>
        <w:t>万元，</w:t>
      </w:r>
      <w:r>
        <w:rPr>
          <w:rFonts w:hint="eastAsia" w:ascii="仿宋" w:hAnsi="仿宋" w:eastAsia="仿宋"/>
          <w:sz w:val="28"/>
          <w:szCs w:val="28"/>
          <w:shd w:val="clear" w:color="auto" w:fill="FFFFFF"/>
        </w:rPr>
        <w:t>占总支出的9</w:t>
      </w:r>
      <w:r>
        <w:rPr>
          <w:rFonts w:ascii="仿宋" w:hAnsi="仿宋" w:eastAsia="仿宋"/>
          <w:sz w:val="28"/>
          <w:szCs w:val="28"/>
          <w:shd w:val="clear" w:color="auto" w:fill="FFFFFF"/>
        </w:rPr>
        <w:t>3.74</w:t>
      </w:r>
      <w:r>
        <w:rPr>
          <w:rFonts w:hint="eastAsia" w:ascii="仿宋" w:hAnsi="仿宋" w:eastAsia="仿宋"/>
          <w:sz w:val="28"/>
          <w:szCs w:val="28"/>
          <w:shd w:val="clear" w:color="auto" w:fill="FFFFFF"/>
        </w:rPr>
        <w:t>%，</w:t>
      </w:r>
      <w:r>
        <w:rPr>
          <w:rFonts w:ascii="仿宋" w:hAnsi="仿宋" w:eastAsia="仿宋"/>
          <w:sz w:val="28"/>
          <w:szCs w:val="28"/>
          <w:shd w:val="clear" w:color="auto" w:fill="FFFFFF"/>
        </w:rPr>
        <w:t>项目</w:t>
      </w:r>
      <w:r>
        <w:rPr>
          <w:rFonts w:hint="eastAsia" w:ascii="仿宋" w:hAnsi="仿宋" w:eastAsia="仿宋"/>
          <w:sz w:val="28"/>
          <w:szCs w:val="28"/>
          <w:shd w:val="clear" w:color="auto" w:fill="FFFFFF"/>
        </w:rPr>
        <w:t>支出117.25</w:t>
      </w:r>
      <w:r>
        <w:rPr>
          <w:rFonts w:ascii="仿宋" w:hAnsi="仿宋" w:eastAsia="仿宋"/>
          <w:sz w:val="28"/>
          <w:szCs w:val="28"/>
          <w:shd w:val="clear" w:color="auto" w:fill="FFFFFF"/>
        </w:rPr>
        <w:t>万元</w:t>
      </w:r>
      <w:r>
        <w:rPr>
          <w:rFonts w:hint="eastAsia" w:ascii="仿宋" w:hAnsi="仿宋" w:eastAsia="仿宋"/>
          <w:sz w:val="28"/>
          <w:szCs w:val="28"/>
          <w:shd w:val="clear" w:color="auto" w:fill="FFFFFF"/>
        </w:rPr>
        <w:t>，占总支出的6</w:t>
      </w:r>
      <w:r>
        <w:rPr>
          <w:rFonts w:ascii="仿宋" w:hAnsi="仿宋" w:eastAsia="仿宋"/>
          <w:sz w:val="28"/>
          <w:szCs w:val="28"/>
          <w:shd w:val="clear" w:color="auto" w:fill="FFFFFF"/>
        </w:rPr>
        <w:t>.26</w:t>
      </w:r>
      <w:r>
        <w:rPr>
          <w:rFonts w:hint="eastAsia" w:ascii="仿宋" w:hAnsi="仿宋" w:eastAsia="仿宋"/>
          <w:sz w:val="28"/>
          <w:szCs w:val="28"/>
          <w:shd w:val="clear" w:color="auto" w:fill="FFFFFF"/>
        </w:rPr>
        <w:t>%</w:t>
      </w:r>
      <w:r>
        <w:rPr>
          <w:rFonts w:ascii="仿宋" w:hAnsi="仿宋" w:eastAsia="仿宋"/>
          <w:sz w:val="28"/>
          <w:szCs w:val="28"/>
          <w:shd w:val="clear" w:color="auto" w:fill="FFFFFF"/>
        </w:rPr>
        <w:t>。</w:t>
      </w:r>
      <w:r>
        <w:rPr>
          <w:rFonts w:hint="eastAsia" w:ascii="仿宋" w:hAnsi="仿宋" w:eastAsia="仿宋"/>
          <w:sz w:val="28"/>
          <w:szCs w:val="28"/>
          <w:shd w:val="clear" w:color="auto" w:fill="FFFFFF"/>
        </w:rPr>
        <w:t>基本经费支出中人员经费支出1</w:t>
      </w:r>
      <w:r>
        <w:rPr>
          <w:rFonts w:ascii="仿宋" w:hAnsi="仿宋" w:eastAsia="仿宋"/>
          <w:sz w:val="28"/>
          <w:szCs w:val="28"/>
          <w:shd w:val="clear" w:color="auto" w:fill="FFFFFF"/>
        </w:rPr>
        <w:t>592.25</w:t>
      </w:r>
      <w:r>
        <w:rPr>
          <w:rFonts w:hint="eastAsia" w:ascii="仿宋" w:hAnsi="仿宋" w:eastAsia="仿宋"/>
          <w:sz w:val="28"/>
          <w:szCs w:val="28"/>
          <w:shd w:val="clear" w:color="auto" w:fill="FFFFFF"/>
        </w:rPr>
        <w:t>万元，占基本支出的9</w:t>
      </w:r>
      <w:r>
        <w:rPr>
          <w:rFonts w:ascii="仿宋" w:hAnsi="仿宋" w:eastAsia="仿宋"/>
          <w:sz w:val="28"/>
          <w:szCs w:val="28"/>
          <w:shd w:val="clear" w:color="auto" w:fill="FFFFFF"/>
        </w:rPr>
        <w:t>0.66</w:t>
      </w:r>
      <w:r>
        <w:rPr>
          <w:rFonts w:hint="eastAsia" w:ascii="仿宋" w:hAnsi="仿宋" w:eastAsia="仿宋"/>
          <w:sz w:val="28"/>
          <w:szCs w:val="28"/>
          <w:shd w:val="clear" w:color="auto" w:fill="FFFFFF"/>
        </w:rPr>
        <w:t>%，公用经费支出1</w:t>
      </w:r>
      <w:r>
        <w:rPr>
          <w:rFonts w:ascii="仿宋" w:hAnsi="仿宋" w:eastAsia="仿宋"/>
          <w:sz w:val="28"/>
          <w:szCs w:val="28"/>
          <w:shd w:val="clear" w:color="auto" w:fill="FFFFFF"/>
        </w:rPr>
        <w:t>39.13</w:t>
      </w:r>
      <w:r>
        <w:rPr>
          <w:rFonts w:hint="eastAsia" w:ascii="仿宋" w:hAnsi="仿宋" w:eastAsia="仿宋"/>
          <w:sz w:val="28"/>
          <w:szCs w:val="28"/>
          <w:shd w:val="clear" w:color="auto" w:fill="FFFFFF"/>
        </w:rPr>
        <w:t>万元，占基本支出的</w:t>
      </w:r>
      <w:r>
        <w:rPr>
          <w:rFonts w:ascii="仿宋" w:hAnsi="仿宋" w:eastAsia="仿宋"/>
          <w:sz w:val="28"/>
          <w:szCs w:val="28"/>
          <w:shd w:val="clear" w:color="auto" w:fill="FFFFFF"/>
        </w:rPr>
        <w:t>7.92</w:t>
      </w:r>
      <w:r>
        <w:rPr>
          <w:rFonts w:hint="eastAsia" w:ascii="仿宋" w:hAnsi="仿宋" w:eastAsia="仿宋"/>
          <w:sz w:val="28"/>
          <w:szCs w:val="28"/>
          <w:shd w:val="clear" w:color="auto" w:fill="FFFFFF"/>
        </w:rPr>
        <w:t>%，资本性支出2</w:t>
      </w:r>
      <w:r>
        <w:rPr>
          <w:rFonts w:ascii="仿宋" w:hAnsi="仿宋" w:eastAsia="仿宋"/>
          <w:sz w:val="28"/>
          <w:szCs w:val="28"/>
          <w:shd w:val="clear" w:color="auto" w:fill="FFFFFF"/>
        </w:rPr>
        <w:t>4.98</w:t>
      </w:r>
      <w:r>
        <w:rPr>
          <w:rFonts w:hint="eastAsia" w:ascii="仿宋" w:hAnsi="仿宋" w:eastAsia="仿宋"/>
          <w:sz w:val="28"/>
          <w:szCs w:val="28"/>
          <w:shd w:val="clear" w:color="auto" w:fill="FFFFFF"/>
        </w:rPr>
        <w:t>万元，占基本支出的1</w:t>
      </w:r>
      <w:r>
        <w:rPr>
          <w:rFonts w:ascii="仿宋" w:hAnsi="仿宋" w:eastAsia="仿宋"/>
          <w:sz w:val="28"/>
          <w:szCs w:val="28"/>
          <w:shd w:val="clear" w:color="auto" w:fill="FFFFFF"/>
        </w:rPr>
        <w:t>.42</w:t>
      </w:r>
      <w:r>
        <w:rPr>
          <w:rFonts w:hint="eastAsia" w:ascii="仿宋" w:hAnsi="仿宋" w:eastAsia="仿宋"/>
          <w:sz w:val="28"/>
          <w:szCs w:val="28"/>
          <w:shd w:val="clear" w:color="auto" w:fill="FFFFFF"/>
        </w:rPr>
        <w:t>%；</w:t>
      </w:r>
      <w:r>
        <w:rPr>
          <w:rFonts w:hint="eastAsia" w:ascii="仿宋" w:hAnsi="仿宋" w:eastAsia="仿宋"/>
          <w:color w:val="auto"/>
          <w:sz w:val="28"/>
          <w:szCs w:val="28"/>
          <w:shd w:val="clear" w:color="auto" w:fill="FFFFFF"/>
        </w:rPr>
        <w:t>项目</w:t>
      </w:r>
      <w:r>
        <w:rPr>
          <w:rFonts w:hint="eastAsia" w:ascii="仿宋" w:hAnsi="仿宋" w:eastAsia="仿宋"/>
          <w:color w:val="auto"/>
          <w:sz w:val="28"/>
          <w:szCs w:val="28"/>
          <w:shd w:val="clear" w:color="auto" w:fill="FFFFFF"/>
          <w:lang w:eastAsia="zh-CN"/>
        </w:rPr>
        <w:t>支出</w:t>
      </w:r>
      <w:r>
        <w:rPr>
          <w:rFonts w:hint="eastAsia" w:ascii="仿宋" w:hAnsi="仿宋" w:eastAsia="仿宋"/>
          <w:color w:val="auto"/>
          <w:sz w:val="28"/>
          <w:szCs w:val="28"/>
          <w:shd w:val="clear" w:color="auto" w:fill="FFFFFF"/>
        </w:rPr>
        <w:t>共</w:t>
      </w:r>
      <w:r>
        <w:rPr>
          <w:rFonts w:hint="eastAsia" w:ascii="仿宋" w:hAnsi="仿宋" w:eastAsia="仿宋"/>
          <w:color w:val="auto"/>
          <w:sz w:val="28"/>
          <w:szCs w:val="28"/>
          <w:shd w:val="clear" w:color="auto" w:fill="FFFFFF"/>
          <w:lang w:val="en-US" w:eastAsia="zh-CN"/>
        </w:rPr>
        <w:t>4</w:t>
      </w:r>
      <w:r>
        <w:rPr>
          <w:rFonts w:hint="eastAsia" w:ascii="仿宋" w:hAnsi="仿宋" w:eastAsia="仿宋"/>
          <w:color w:val="auto"/>
          <w:sz w:val="28"/>
          <w:szCs w:val="28"/>
          <w:shd w:val="clear" w:color="auto" w:fill="FFFFFF"/>
          <w:lang w:eastAsia="zh-CN"/>
        </w:rPr>
        <w:t>项</w:t>
      </w:r>
      <w:r>
        <w:rPr>
          <w:rFonts w:hint="eastAsia" w:ascii="仿宋" w:hAnsi="仿宋" w:eastAsia="仿宋"/>
          <w:color w:val="auto"/>
          <w:sz w:val="28"/>
          <w:szCs w:val="28"/>
          <w:shd w:val="clear" w:color="auto" w:fill="FFFFFF"/>
        </w:rPr>
        <w:t>，</w:t>
      </w:r>
      <w:r>
        <w:rPr>
          <w:rFonts w:hint="eastAsia" w:ascii="仿宋" w:hAnsi="仿宋" w:eastAsia="仿宋"/>
          <w:sz w:val="28"/>
          <w:szCs w:val="28"/>
          <w:shd w:val="clear" w:color="auto" w:fill="FFFFFF"/>
        </w:rPr>
        <w:t>即参政议政及组织建设经费项目支出3</w:t>
      </w:r>
      <w:r>
        <w:rPr>
          <w:rFonts w:ascii="仿宋" w:hAnsi="仿宋" w:eastAsia="仿宋"/>
          <w:sz w:val="28"/>
          <w:szCs w:val="28"/>
          <w:shd w:val="clear" w:color="auto" w:fill="FFFFFF"/>
        </w:rPr>
        <w:t>6.24</w:t>
      </w:r>
      <w:r>
        <w:rPr>
          <w:rFonts w:hint="eastAsia" w:ascii="仿宋" w:hAnsi="仿宋" w:eastAsia="仿宋"/>
          <w:sz w:val="28"/>
          <w:szCs w:val="28"/>
          <w:shd w:val="clear" w:color="auto" w:fill="FFFFFF"/>
        </w:rPr>
        <w:t>万元，占项目支出的3</w:t>
      </w:r>
      <w:r>
        <w:rPr>
          <w:rFonts w:ascii="仿宋" w:hAnsi="仿宋" w:eastAsia="仿宋"/>
          <w:sz w:val="28"/>
          <w:szCs w:val="28"/>
          <w:shd w:val="clear" w:color="auto" w:fill="FFFFFF"/>
        </w:rPr>
        <w:t>0.91</w:t>
      </w:r>
      <w:r>
        <w:rPr>
          <w:rFonts w:hint="eastAsia" w:ascii="仿宋" w:hAnsi="仿宋" w:eastAsia="仿宋"/>
          <w:sz w:val="28"/>
          <w:szCs w:val="28"/>
          <w:shd w:val="clear" w:color="auto" w:fill="FFFFFF"/>
        </w:rPr>
        <w:t>%，宣传、理论及社会服务经费项目支出6</w:t>
      </w:r>
      <w:r>
        <w:rPr>
          <w:rFonts w:ascii="仿宋" w:hAnsi="仿宋" w:eastAsia="仿宋"/>
          <w:sz w:val="28"/>
          <w:szCs w:val="28"/>
          <w:shd w:val="clear" w:color="auto" w:fill="FFFFFF"/>
        </w:rPr>
        <w:t>7.47</w:t>
      </w:r>
      <w:r>
        <w:rPr>
          <w:rFonts w:hint="eastAsia" w:ascii="仿宋" w:hAnsi="仿宋" w:eastAsia="仿宋"/>
          <w:sz w:val="28"/>
          <w:szCs w:val="28"/>
          <w:shd w:val="clear" w:color="auto" w:fill="FFFFFF"/>
        </w:rPr>
        <w:t>万元，占项目支出的5</w:t>
      </w:r>
      <w:r>
        <w:rPr>
          <w:rFonts w:ascii="仿宋" w:hAnsi="仿宋" w:eastAsia="仿宋"/>
          <w:sz w:val="28"/>
          <w:szCs w:val="28"/>
          <w:shd w:val="clear" w:color="auto" w:fill="FFFFFF"/>
        </w:rPr>
        <w:t>7.54</w:t>
      </w:r>
      <w:r>
        <w:rPr>
          <w:rFonts w:hint="eastAsia" w:ascii="仿宋" w:hAnsi="仿宋" w:eastAsia="仿宋"/>
          <w:sz w:val="28"/>
          <w:szCs w:val="28"/>
          <w:shd w:val="clear" w:color="auto" w:fill="FFFFFF"/>
        </w:rPr>
        <w:t>%，政府会计制度改革及绩效管理项目支出6</w:t>
      </w:r>
      <w:r>
        <w:rPr>
          <w:rFonts w:ascii="仿宋" w:hAnsi="仿宋" w:eastAsia="仿宋"/>
          <w:sz w:val="28"/>
          <w:szCs w:val="28"/>
          <w:shd w:val="clear" w:color="auto" w:fill="FFFFFF"/>
        </w:rPr>
        <w:t>.54</w:t>
      </w:r>
      <w:r>
        <w:rPr>
          <w:rFonts w:hint="eastAsia" w:ascii="仿宋" w:hAnsi="仿宋" w:eastAsia="仿宋"/>
          <w:sz w:val="28"/>
          <w:szCs w:val="28"/>
          <w:shd w:val="clear" w:color="auto" w:fill="FFFFFF"/>
        </w:rPr>
        <w:t>万元，占项目支出的5</w:t>
      </w:r>
      <w:r>
        <w:rPr>
          <w:rFonts w:ascii="仿宋" w:hAnsi="仿宋" w:eastAsia="仿宋"/>
          <w:sz w:val="28"/>
          <w:szCs w:val="28"/>
          <w:shd w:val="clear" w:color="auto" w:fill="FFFFFF"/>
        </w:rPr>
        <w:t>.58</w:t>
      </w:r>
      <w:r>
        <w:rPr>
          <w:rFonts w:hint="eastAsia" w:ascii="仿宋" w:hAnsi="仿宋" w:eastAsia="仿宋"/>
          <w:sz w:val="28"/>
          <w:szCs w:val="28"/>
          <w:shd w:val="clear" w:color="auto" w:fill="FFFFFF"/>
        </w:rPr>
        <w:t>%，机动经费支出7万元，占项目支出的5</w:t>
      </w:r>
      <w:r>
        <w:rPr>
          <w:rFonts w:ascii="仿宋" w:hAnsi="仿宋" w:eastAsia="仿宋"/>
          <w:sz w:val="28"/>
          <w:szCs w:val="28"/>
          <w:shd w:val="clear" w:color="auto" w:fill="FFFFFF"/>
        </w:rPr>
        <w:t>.97</w:t>
      </w:r>
      <w:r>
        <w:rPr>
          <w:rFonts w:hint="eastAsia" w:ascii="仿宋" w:hAnsi="仿宋" w:eastAsia="仿宋"/>
          <w:sz w:val="28"/>
          <w:szCs w:val="28"/>
          <w:shd w:val="clear" w:color="auto" w:fill="FFFFFF"/>
        </w:rPr>
        <w:t>%。</w:t>
      </w:r>
      <w:r>
        <w:rPr>
          <w:rFonts w:hint="eastAsia" w:ascii="仿宋_GB2312" w:hAnsi="仿宋_GB2312" w:eastAsia="仿宋_GB2312" w:cs="仿宋_GB2312"/>
          <w:color w:val="000000"/>
          <w:kern w:val="0"/>
          <w:sz w:val="28"/>
          <w:szCs w:val="28"/>
        </w:rPr>
        <w:t xml:space="preserve">                                   </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效果实现情况分析</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lang w:val="en-US" w:eastAsia="zh-CN"/>
        </w:rPr>
        <w:t>1</w:t>
      </w: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rPr>
        <w:t>经济效益</w:t>
      </w:r>
    </w:p>
    <w:p>
      <w:pPr>
        <w:spacing w:line="600" w:lineRule="exact"/>
        <w:ind w:left="105" w:leftChars="50" w:firstLine="560" w:firstLineChars="200"/>
        <w:rPr>
          <w:rFonts w:ascii="仿宋" w:hAnsi="仿宋" w:eastAsia="仿宋"/>
          <w:sz w:val="28"/>
          <w:szCs w:val="28"/>
          <w:shd w:val="clear" w:color="auto" w:fill="FFFFFF"/>
        </w:rPr>
      </w:pPr>
      <w:r>
        <w:rPr>
          <w:rFonts w:hint="eastAsia" w:ascii="仿宋" w:hAnsi="仿宋" w:eastAsia="仿宋"/>
          <w:sz w:val="28"/>
          <w:szCs w:val="28"/>
          <w:shd w:val="clear" w:color="auto" w:fill="FFFFFF"/>
        </w:rPr>
        <w:t>民建北京市委</w:t>
      </w:r>
      <w:r>
        <w:rPr>
          <w:rFonts w:hint="eastAsia" w:ascii="仿宋" w:hAnsi="仿宋" w:eastAsia="仿宋" w:cs="仿宋_GB2312"/>
          <w:bCs/>
          <w:sz w:val="28"/>
          <w:szCs w:val="28"/>
        </w:rPr>
        <w:t>按照民建市委“</w:t>
      </w:r>
      <w:r>
        <w:rPr>
          <w:rFonts w:hint="eastAsia" w:ascii="仿宋" w:hAnsi="仿宋" w:eastAsia="仿宋" w:cs="仿宋_GB2312"/>
          <w:sz w:val="28"/>
          <w:szCs w:val="28"/>
        </w:rPr>
        <w:t>履职能力建设年</w:t>
      </w:r>
      <w:r>
        <w:rPr>
          <w:rFonts w:hint="eastAsia" w:ascii="仿宋" w:hAnsi="仿宋" w:eastAsia="仿宋" w:cs="仿宋_GB2312"/>
          <w:bCs/>
          <w:sz w:val="28"/>
          <w:szCs w:val="28"/>
        </w:rPr>
        <w:t>”工作部署，聚焦河北丰宁、贵州黔西、北京门头沟和平谷，攻坚克难,围绕“一个衔接、四个强化”，探索出“赋能帮扶”工作模式，</w:t>
      </w:r>
      <w:r>
        <w:rPr>
          <w:rFonts w:hint="eastAsia" w:ascii="仿宋" w:hAnsi="仿宋" w:eastAsia="仿宋"/>
          <w:sz w:val="28"/>
          <w:szCs w:val="28"/>
          <w:shd w:val="clear" w:color="auto" w:fill="FFFFFF"/>
        </w:rPr>
        <w:t>面向河北丰宁、贵州黔西投入和引进帮扶资金4073万元，其中消费帮扶332万元。</w:t>
      </w:r>
    </w:p>
    <w:p>
      <w:pPr>
        <w:spacing w:line="600" w:lineRule="exact"/>
        <w:ind w:left="105" w:leftChars="50" w:firstLine="560" w:firstLineChars="200"/>
        <w:rPr>
          <w:rFonts w:ascii="仿宋" w:hAnsi="仿宋" w:eastAsia="仿宋"/>
          <w:sz w:val="28"/>
          <w:szCs w:val="28"/>
          <w:shd w:val="clear" w:color="auto" w:fill="FFFFFF"/>
        </w:rPr>
      </w:pPr>
      <w:r>
        <w:rPr>
          <w:rFonts w:hint="eastAsia" w:ascii="仿宋" w:hAnsi="仿宋" w:eastAsia="仿宋"/>
          <w:sz w:val="28"/>
          <w:szCs w:val="28"/>
          <w:shd w:val="clear" w:color="auto" w:fill="FFFFFF"/>
        </w:rPr>
        <w:t>响应会中央号召，第一时间开放北京民建公益基金捐款通道，各级组织和会员为河南战胜洪灾捐赠款物753万元；会员企业公益基金平台募集6518万元。</w:t>
      </w:r>
    </w:p>
    <w:p>
      <w:pPr>
        <w:spacing w:line="360" w:lineRule="auto"/>
        <w:ind w:left="105" w:leftChars="50" w:firstLine="560" w:firstLineChars="200"/>
        <w:rPr>
          <w:rFonts w:ascii="仿宋" w:hAnsi="仿宋" w:eastAsia="仿宋"/>
          <w:sz w:val="28"/>
          <w:szCs w:val="28"/>
          <w:shd w:val="clear" w:color="auto" w:fill="FFFFFF"/>
        </w:rPr>
      </w:pPr>
      <w:r>
        <w:rPr>
          <w:rFonts w:hint="eastAsia" w:ascii="仿宋" w:hAnsi="仿宋" w:eastAsia="仿宋"/>
          <w:sz w:val="28"/>
          <w:szCs w:val="28"/>
          <w:shd w:val="clear" w:color="auto" w:fill="FFFFFF"/>
        </w:rPr>
        <w:t>围绕助学助残、推动乡村振兴、常态化疫情防控等各方面持续发力，京内投入和引进帮扶资金575万元，树立民建良好形象。</w:t>
      </w:r>
    </w:p>
    <w:p>
      <w:pPr>
        <w:pStyle w:val="2"/>
        <w:rPr>
          <w:rFonts w:hint="eastAsia"/>
          <w:sz w:val="28"/>
          <w:szCs w:val="28"/>
        </w:rPr>
      </w:pPr>
      <w:r>
        <w:rPr>
          <w:rFonts w:hint="eastAsia" w:ascii="仿宋" w:hAnsi="仿宋" w:eastAsia="仿宋" w:cs="仿宋_GB2312"/>
          <w:bCs/>
          <w:sz w:val="28"/>
          <w:szCs w:val="28"/>
        </w:rPr>
        <w:t>民建北京市委组织会员赴天津参加2021年中国（天津）非公有制经济发展论坛并进行实地考察。本次论坛由民建中央、工业和信息化部、天津市人民政府共同主办，主题为“创新驱动，合作赋能，高质量发展”。会上，中科人居（北京）科技产业发展有限公司董事长朱良智进行了现场签约60亿元，为京津协同发展贡献了北京民建力量。</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lang w:val="en-US" w:eastAsia="zh-CN"/>
        </w:rPr>
        <w:t>2</w:t>
      </w: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rPr>
        <w:t>社会效益</w:t>
      </w:r>
    </w:p>
    <w:p>
      <w:pPr>
        <w:spacing w:line="600" w:lineRule="exact"/>
        <w:ind w:left="105" w:leftChars="50" w:firstLine="560" w:firstLineChars="200"/>
        <w:rPr>
          <w:rStyle w:val="7"/>
          <w:rFonts w:ascii="仿宋" w:hAnsi="仿宋" w:eastAsia="仿宋" w:cs="仿宋_GB2312"/>
          <w:sz w:val="28"/>
          <w:szCs w:val="28"/>
        </w:rPr>
      </w:pPr>
      <w:r>
        <w:rPr>
          <w:rFonts w:hint="eastAsia" w:ascii="仿宋" w:hAnsi="仿宋" w:eastAsia="仿宋" w:cs="仿宋_GB2312"/>
          <w:sz w:val="28"/>
          <w:szCs w:val="28"/>
        </w:rPr>
        <w:t>民建北京市委发挥特色集智聚力，加强对自有阵地的建设，坚持守正创新，保持思想政治工作的生机活力。</w:t>
      </w:r>
      <w:r>
        <w:rPr>
          <w:rFonts w:hint="eastAsia" w:ascii="仿宋" w:hAnsi="仿宋" w:eastAsia="仿宋" w:cs="楷体_GB2312"/>
          <w:sz w:val="28"/>
          <w:szCs w:val="28"/>
        </w:rPr>
        <w:t>市委网站</w:t>
      </w:r>
      <w:r>
        <w:rPr>
          <w:rFonts w:hint="eastAsia" w:ascii="仿宋" w:hAnsi="仿宋" w:eastAsia="仿宋" w:cs="仿宋_GB2312"/>
          <w:sz w:val="28"/>
          <w:szCs w:val="28"/>
        </w:rPr>
        <w:t>根据重点工作，更新栏目内容，发布稿件1502篇；推荐稿件获得会中央采用率达85%以上。</w:t>
      </w:r>
      <w:r>
        <w:rPr>
          <w:rFonts w:hint="eastAsia" w:ascii="仿宋" w:hAnsi="仿宋" w:eastAsia="仿宋" w:cs="仿宋_GB2312"/>
          <w:sz w:val="28"/>
          <w:szCs w:val="28"/>
          <w:lang w:val="zh-TW"/>
        </w:rPr>
        <w:t>公众号及时传达解读重要会议、重要讲话精神，集中反映特色活动、亮点工作，</w:t>
      </w:r>
      <w:r>
        <w:rPr>
          <w:rFonts w:hint="eastAsia" w:ascii="仿宋" w:hAnsi="仿宋" w:eastAsia="仿宋" w:cs="仿宋_GB2312"/>
          <w:bCs/>
          <w:sz w:val="28"/>
          <w:szCs w:val="28"/>
        </w:rPr>
        <w:t>累计阅读近15万人次。</w:t>
      </w:r>
      <w:r>
        <w:rPr>
          <w:rFonts w:hint="eastAsia" w:ascii="仿宋" w:hAnsi="仿宋" w:eastAsia="仿宋" w:cs="仿宋_GB2312"/>
          <w:sz w:val="28"/>
          <w:szCs w:val="28"/>
        </w:rPr>
        <w:t>采取</w:t>
      </w:r>
      <w:r>
        <w:rPr>
          <w:rStyle w:val="7"/>
          <w:rFonts w:hint="eastAsia" w:ascii="仿宋" w:hAnsi="仿宋" w:eastAsia="仿宋" w:cs="仿宋_GB2312"/>
          <w:sz w:val="28"/>
          <w:szCs w:val="28"/>
        </w:rPr>
        <w:t>多渠道、多方位、多载体的宣传方式，展现民建北京市委履行职能新成果、自身建设新举措和民建会员新风貌。</w:t>
      </w:r>
    </w:p>
    <w:p>
      <w:pPr>
        <w:spacing w:line="360" w:lineRule="auto"/>
        <w:ind w:firstLine="560" w:firstLineChars="200"/>
        <w:rPr>
          <w:rFonts w:ascii="仿宋" w:hAnsi="仿宋" w:eastAsia="仿宋" w:cs="仿宋_GB2312"/>
          <w:sz w:val="28"/>
          <w:szCs w:val="28"/>
        </w:rPr>
      </w:pPr>
      <w:r>
        <w:rPr>
          <w:rFonts w:hint="eastAsia" w:ascii="仿宋" w:hAnsi="仿宋" w:eastAsia="仿宋" w:cs="仿宋_GB2312"/>
          <w:sz w:val="28"/>
          <w:szCs w:val="28"/>
        </w:rPr>
        <w:t>2</w:t>
      </w:r>
      <w:r>
        <w:rPr>
          <w:rFonts w:ascii="仿宋" w:hAnsi="仿宋" w:eastAsia="仿宋" w:cs="仿宋_GB2312"/>
          <w:sz w:val="28"/>
          <w:szCs w:val="28"/>
        </w:rPr>
        <w:t>021</w:t>
      </w:r>
      <w:r>
        <w:rPr>
          <w:rFonts w:hint="eastAsia" w:ascii="仿宋" w:hAnsi="仿宋" w:eastAsia="仿宋" w:cs="仿宋_GB2312"/>
          <w:sz w:val="28"/>
          <w:szCs w:val="28"/>
        </w:rPr>
        <w:t>年7月，河南突发汛情，为迅速有效地调动最广泛的会员力量，通过同心圆公益基金筹集捐款77万余元，已通过中华思源工程扶贫基金会代为分批购买便携式水泵、消毒粉及环保喷洒车等抗汛救援物资，支援至当地。通过其他渠道捐款（含减免运费）398万元，捐物折合人民币共计196万元。积极推进会员企业自有的专业公益平台发挥作用，如水滴筹、平澜公益基金会等公益基金平台公开筹集6518万余元援助河南应对汛情，兄弟帮扶中心捐赠价值80万元食品和御寒物资、北京物流商会捐赠1.2万元援助山西应对汛情。</w:t>
      </w:r>
    </w:p>
    <w:p>
      <w:pPr>
        <w:spacing w:line="360" w:lineRule="auto"/>
        <w:ind w:firstLine="560" w:firstLineChars="200"/>
        <w:rPr>
          <w:rFonts w:ascii="仿宋" w:hAnsi="仿宋" w:eastAsia="仿宋" w:cs="仿宋_GB2312"/>
          <w:bCs/>
          <w:sz w:val="28"/>
          <w:szCs w:val="28"/>
        </w:rPr>
      </w:pPr>
      <w:r>
        <w:rPr>
          <w:rFonts w:ascii="仿宋" w:hAnsi="仿宋" w:eastAsia="仿宋" w:cs="仿宋_GB2312"/>
          <w:bCs/>
          <w:sz w:val="28"/>
          <w:szCs w:val="28"/>
        </w:rPr>
        <w:t>2021</w:t>
      </w:r>
      <w:r>
        <w:rPr>
          <w:rFonts w:hint="eastAsia" w:ascii="仿宋" w:hAnsi="仿宋" w:eastAsia="仿宋" w:cs="仿宋_GB2312"/>
          <w:bCs/>
          <w:sz w:val="28"/>
          <w:szCs w:val="28"/>
        </w:rPr>
        <w:t>年9月27日至28日，民建北京市委组织会员企业家赴丰宁进行“民建产业扶贫——食用菌加工车间”揭牌。该车间通过“北京民建同心圆公益基金”汇集会员力量筹集产业扶贫资金100万元建成，据了解目前已解决30余人就业，人均年增收2万元，实现“一人就业全家脱贫”。此外，民建</w:t>
      </w:r>
      <w:r>
        <w:rPr>
          <w:rFonts w:hint="eastAsia" w:ascii="仿宋" w:hAnsi="仿宋" w:eastAsia="仿宋" w:cs="仿宋_GB2312"/>
          <w:bCs/>
          <w:sz w:val="28"/>
          <w:szCs w:val="28"/>
          <w:lang w:eastAsia="zh-CN"/>
        </w:rPr>
        <w:t>北京</w:t>
      </w:r>
      <w:r>
        <w:rPr>
          <w:rFonts w:hint="eastAsia" w:ascii="仿宋" w:hAnsi="仿宋" w:eastAsia="仿宋" w:cs="仿宋_GB2312"/>
          <w:bCs/>
          <w:sz w:val="28"/>
          <w:szCs w:val="28"/>
        </w:rPr>
        <w:t>市委协调会员资源引资60万元支持4个扶贫车间发展，解决丰宁就业约100人次，助力扶贫车间成为丰宁新的扶贫产业支撑项目。结合丰宁禀赋支持发展特色种植业，引入“中药材产业园”项目，目前已投资1000万元，在丰宁五道营村开展约2000亩的中草药种植，带动当地农户142户，实现就业284人。扶持创业致富带头人，引导会员资源对接丰宁带贫企业，帮助销售当地农副产品。截至10月在丰宁消费扶贫63万余元。</w:t>
      </w:r>
    </w:p>
    <w:p>
      <w:pPr>
        <w:spacing w:line="360" w:lineRule="auto"/>
        <w:ind w:firstLine="560" w:firstLineChars="200"/>
        <w:rPr>
          <w:rFonts w:ascii="仿宋" w:hAnsi="仿宋" w:eastAsia="仿宋" w:cs="仿宋_GB2312"/>
          <w:bCs/>
          <w:sz w:val="28"/>
          <w:szCs w:val="28"/>
        </w:rPr>
      </w:pPr>
      <w:r>
        <w:rPr>
          <w:rFonts w:hint="eastAsia" w:ascii="仿宋" w:hAnsi="仿宋" w:eastAsia="仿宋" w:cs="仿宋_GB2312"/>
          <w:bCs/>
          <w:sz w:val="28"/>
          <w:szCs w:val="28"/>
        </w:rPr>
        <w:t>在民建中央领导下，凝聚会员力量助力实现高质量建设新时代美丽幸福新丰宁总目标，</w:t>
      </w:r>
      <w:r>
        <w:rPr>
          <w:rFonts w:hint="eastAsia" w:ascii="仿宋" w:hAnsi="仿宋" w:eastAsia="仿宋" w:cs="仿宋_GB2312"/>
          <w:bCs/>
          <w:color w:val="FF0000"/>
          <w:sz w:val="28"/>
          <w:szCs w:val="28"/>
          <w:lang w:val="en-US" w:eastAsia="zh-CN"/>
        </w:rPr>
        <w:t>2021</w:t>
      </w:r>
      <w:r>
        <w:rPr>
          <w:rFonts w:hint="eastAsia" w:ascii="仿宋" w:hAnsi="仿宋" w:eastAsia="仿宋" w:cs="仿宋_GB2312"/>
          <w:bCs/>
          <w:color w:val="FF0000"/>
          <w:sz w:val="28"/>
          <w:szCs w:val="28"/>
        </w:rPr>
        <w:t>年</w:t>
      </w:r>
      <w:r>
        <w:rPr>
          <w:rFonts w:hint="eastAsia" w:ascii="仿宋" w:hAnsi="仿宋" w:eastAsia="仿宋" w:cs="仿宋_GB2312"/>
          <w:bCs/>
          <w:sz w:val="28"/>
          <w:szCs w:val="28"/>
        </w:rPr>
        <w:t>会员共计65人次赴当地开展活动。继续组织12个区级组织及1个专委会联系14个对口村，确保对口的“爱心超市”货架不缺货。截至10月底，根据各村需求已捐赠价值2037万元的学习生活用品，其中，民建东城区委工商联支部、建设支部、天坛支部联合捐赠爱心超市物资价值2000万元，有效推动新时代文明实践和乡村振兴工作相融合。</w:t>
      </w:r>
    </w:p>
    <w:p>
      <w:pPr>
        <w:spacing w:line="360" w:lineRule="auto"/>
        <w:ind w:firstLine="560" w:firstLineChars="200"/>
        <w:rPr>
          <w:rFonts w:ascii="仿宋" w:hAnsi="仿宋" w:eastAsia="仿宋" w:cs="仿宋_GB2312"/>
          <w:bCs/>
          <w:sz w:val="28"/>
          <w:szCs w:val="28"/>
        </w:rPr>
      </w:pPr>
      <w:r>
        <w:rPr>
          <w:rFonts w:hint="eastAsia" w:ascii="仿宋" w:hAnsi="仿宋" w:eastAsia="仿宋" w:cs="仿宋_GB2312"/>
          <w:bCs/>
          <w:sz w:val="28"/>
          <w:szCs w:val="28"/>
        </w:rPr>
        <w:t>连续9年开展“丰宁助教”活动，邀请丰宁土城中学22位师生共同走进北京一零一中学参加特色游学；连续9年开展“春华助学”行动，向20位受助同学捐赠4万元；连续3年向黑山嘴镇西山神庙村2名困难学生捐赠2万元；连续3年向丰宁捐赠书籍，</w:t>
      </w:r>
      <w:r>
        <w:rPr>
          <w:rFonts w:hint="eastAsia" w:ascii="仿宋" w:hAnsi="仿宋" w:eastAsia="仿宋" w:cs="仿宋_GB2312"/>
          <w:bCs/>
          <w:color w:val="FF0000"/>
          <w:sz w:val="28"/>
          <w:szCs w:val="28"/>
          <w:lang w:val="en-US" w:eastAsia="zh-CN"/>
        </w:rPr>
        <w:t>2021</w:t>
      </w:r>
      <w:r>
        <w:rPr>
          <w:rFonts w:hint="eastAsia" w:ascii="仿宋" w:hAnsi="仿宋" w:eastAsia="仿宋" w:cs="仿宋_GB2312"/>
          <w:bCs/>
          <w:color w:val="FF0000"/>
          <w:sz w:val="28"/>
          <w:szCs w:val="28"/>
        </w:rPr>
        <w:t>年</w:t>
      </w:r>
      <w:r>
        <w:rPr>
          <w:rFonts w:hint="eastAsia" w:ascii="仿宋" w:hAnsi="仿宋" w:eastAsia="仿宋" w:cs="仿宋_GB2312"/>
          <w:bCs/>
          <w:sz w:val="28"/>
          <w:szCs w:val="28"/>
        </w:rPr>
        <w:t>捐书价值125万余元；会员企业旗下水滴汇聚公益基金会向土城镇中心小学和土城中学捐赠10万元建立水滴医务室，有效提升学校卫生健康保障条件；在胡麻营明德小学建立“燕京八绝校园展厅”，长期展览物品价值388万余元，为孩子们定期举办非遗主题交流活动。此外会员捐资助学3.41万元</w:t>
      </w:r>
      <w:r>
        <w:rPr>
          <w:rFonts w:hint="eastAsia" w:ascii="仿宋" w:hAnsi="仿宋" w:eastAsia="仿宋" w:cs="仿宋_GB2312"/>
          <w:bCs/>
          <w:sz w:val="28"/>
          <w:szCs w:val="28"/>
          <w:lang w:eastAsia="zh-CN"/>
        </w:rPr>
        <w:t>，</w:t>
      </w:r>
      <w:r>
        <w:rPr>
          <w:rFonts w:hint="eastAsia" w:ascii="仿宋" w:hAnsi="仿宋" w:eastAsia="仿宋" w:cs="仿宋_GB2312"/>
          <w:bCs/>
          <w:sz w:val="28"/>
          <w:szCs w:val="28"/>
        </w:rPr>
        <w:t>关爱妇女健康，为500名适龄女性（16-60岁）关爱健康投保项目计1.7763万元。</w:t>
      </w:r>
    </w:p>
    <w:p>
      <w:pPr>
        <w:pStyle w:val="2"/>
        <w:rPr>
          <w:rFonts w:hint="eastAsia"/>
          <w:sz w:val="28"/>
          <w:szCs w:val="28"/>
        </w:rPr>
      </w:pPr>
      <w:r>
        <w:rPr>
          <w:rFonts w:hint="eastAsia" w:ascii="仿宋" w:hAnsi="仿宋" w:eastAsia="仿宋" w:cs="仿宋_GB2312"/>
          <w:bCs/>
          <w:sz w:val="28"/>
          <w:szCs w:val="28"/>
        </w:rPr>
        <w:t>为指导和关爱特殊儿童，开展“青葵行动”，在门头沟区特殊教育学校开展“六.一”关怀联欢活动，赠送学生价值3000元的定制书包。先后在门头沟区雁翅镇大村、王平镇敬老院和门头沟区特殊教育学校开展爱心慰问活动，捐赠了米面油200份、书包50个、儿童书籍50套，价值1万余元，为困难群体送去爱心和祝福。</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lang w:val="en-US" w:eastAsia="zh-CN"/>
        </w:rPr>
        <w:t>3</w:t>
      </w: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rPr>
        <w:t>环境效益</w:t>
      </w:r>
      <w:r>
        <w:rPr>
          <w:rFonts w:hint="eastAsia" w:ascii="仿宋_GB2312" w:hAnsi="仿宋_GB2312" w:eastAsia="仿宋_GB2312" w:cs="仿宋_GB2312"/>
          <w:color w:val="000000"/>
          <w:kern w:val="0"/>
          <w:sz w:val="28"/>
          <w:szCs w:val="28"/>
          <w:lang w:eastAsia="zh-CN"/>
        </w:rPr>
        <w:t>：</w:t>
      </w:r>
      <w:r>
        <w:rPr>
          <w:rFonts w:hint="eastAsia" w:ascii="仿宋" w:hAnsi="仿宋" w:eastAsia="仿宋" w:cs="仿宋_GB2312"/>
          <w:sz w:val="28"/>
          <w:szCs w:val="28"/>
          <w:lang w:val="zh-TW"/>
        </w:rPr>
        <w:t>未涉及。</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lang w:val="en-US" w:eastAsia="zh-CN"/>
        </w:rPr>
        <w:t>4</w:t>
      </w: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rPr>
        <w:t>可持续性影响</w:t>
      </w:r>
    </w:p>
    <w:p>
      <w:pPr>
        <w:pStyle w:val="2"/>
        <w:rPr>
          <w:rFonts w:hint="eastAsia"/>
          <w:sz w:val="28"/>
          <w:szCs w:val="28"/>
        </w:rPr>
      </w:pPr>
      <w:bookmarkStart w:id="0" w:name="_Hlk103961858"/>
      <w:r>
        <w:rPr>
          <w:rFonts w:hint="eastAsia" w:ascii="仿宋" w:hAnsi="仿宋" w:eastAsia="仿宋" w:cs="宋体"/>
          <w:kern w:val="0"/>
          <w:sz w:val="28"/>
          <w:szCs w:val="28"/>
        </w:rPr>
        <w:t>民建北京市委提高参政党建设水平，努力把自己建设成为政治坚定、组织坚实、履职有力、作风优良、制度健全的中国特色社会主义参政党，为推进新时代多党合作事业发展提供支撑；不断提升履职能力，彰显新型政党制度优势，坚持“围绕中心、服务大局、发挥优势、全面履职”，</w:t>
      </w:r>
      <w:bookmarkEnd w:id="0"/>
      <w:r>
        <w:rPr>
          <w:rFonts w:hint="eastAsia" w:ascii="仿宋" w:hAnsi="仿宋" w:eastAsia="仿宋" w:cs="宋体"/>
          <w:kern w:val="0"/>
          <w:sz w:val="28"/>
          <w:szCs w:val="28"/>
        </w:rPr>
        <w:t>聚焦发展所需、基层所盼、民心所向，认真履职尽责，努力做中国共产党的好参谋、好帮手、好同事。</w:t>
      </w:r>
      <w:bookmarkStart w:id="2" w:name="_GoBack"/>
      <w:bookmarkEnd w:id="2"/>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lang w:eastAsia="zh-CN"/>
        </w:rPr>
        <w:t>（</w:t>
      </w:r>
      <w:r>
        <w:rPr>
          <w:rFonts w:hint="eastAsia" w:ascii="仿宋_GB2312" w:hAnsi="仿宋_GB2312" w:eastAsia="仿宋_GB2312" w:cs="仿宋_GB2312"/>
          <w:color w:val="auto"/>
          <w:kern w:val="0"/>
          <w:sz w:val="28"/>
          <w:szCs w:val="28"/>
          <w:highlight w:val="none"/>
          <w:lang w:val="en-US" w:eastAsia="zh-CN"/>
        </w:rPr>
        <w:t>5</w:t>
      </w:r>
      <w:r>
        <w:rPr>
          <w:rFonts w:hint="eastAsia" w:ascii="仿宋_GB2312" w:hAnsi="仿宋_GB2312" w:eastAsia="仿宋_GB2312" w:cs="仿宋_GB2312"/>
          <w:color w:val="auto"/>
          <w:kern w:val="0"/>
          <w:sz w:val="28"/>
          <w:szCs w:val="28"/>
          <w:highlight w:val="none"/>
          <w:lang w:eastAsia="zh-CN"/>
        </w:rPr>
        <w:t>）</w:t>
      </w:r>
      <w:r>
        <w:rPr>
          <w:rFonts w:hint="eastAsia" w:ascii="仿宋_GB2312" w:hAnsi="仿宋_GB2312" w:eastAsia="仿宋_GB2312" w:cs="仿宋_GB2312"/>
          <w:color w:val="auto"/>
          <w:kern w:val="0"/>
          <w:sz w:val="28"/>
          <w:szCs w:val="28"/>
          <w:highlight w:val="none"/>
        </w:rPr>
        <w:t>服务对象满意度</w:t>
      </w:r>
    </w:p>
    <w:p>
      <w:pPr>
        <w:pStyle w:val="2"/>
        <w:rPr>
          <w:rFonts w:hint="eastAsia" w:eastAsia="仿宋"/>
          <w:sz w:val="28"/>
          <w:szCs w:val="28"/>
          <w:highlight w:val="none"/>
          <w:lang w:eastAsia="zh-CN"/>
        </w:rPr>
      </w:pPr>
      <w:r>
        <w:rPr>
          <w:rFonts w:hint="eastAsia" w:ascii="仿宋" w:hAnsi="仿宋" w:eastAsia="仿宋" w:cs="楷体_GB2312"/>
          <w:bCs/>
          <w:sz w:val="28"/>
          <w:szCs w:val="28"/>
          <w:highlight w:val="none"/>
        </w:rPr>
        <w:t>民建北京市委采用赋能帮扶模式，带动乡村经济长远发展，给</w:t>
      </w:r>
      <w:r>
        <w:rPr>
          <w:rFonts w:hint="eastAsia" w:ascii="仿宋" w:hAnsi="仿宋" w:eastAsia="仿宋" w:cs="仿宋_GB2312"/>
          <w:bCs/>
          <w:sz w:val="28"/>
          <w:szCs w:val="28"/>
          <w:highlight w:val="none"/>
          <w:lang w:eastAsia="zh-CN"/>
        </w:rPr>
        <w:t>帮扶对象带来了经济上的帮助和精神上的关爱</w:t>
      </w:r>
      <w:r>
        <w:rPr>
          <w:rFonts w:hint="eastAsia" w:ascii="仿宋" w:hAnsi="仿宋" w:eastAsia="仿宋" w:cs="楷体_GB2312"/>
          <w:bCs/>
          <w:sz w:val="28"/>
          <w:szCs w:val="28"/>
          <w:highlight w:val="none"/>
        </w:rPr>
        <w:t>，获得帮扶对象的称赞</w:t>
      </w:r>
      <w:r>
        <w:rPr>
          <w:rFonts w:hint="eastAsia" w:ascii="仿宋" w:hAnsi="仿宋" w:eastAsia="仿宋" w:cs="楷体_GB2312"/>
          <w:bCs/>
          <w:sz w:val="28"/>
          <w:szCs w:val="28"/>
          <w:highlight w:val="none"/>
          <w:lang w:eastAsia="zh-CN"/>
        </w:rPr>
        <w:t>和</w:t>
      </w:r>
      <w:r>
        <w:rPr>
          <w:rFonts w:hint="eastAsia" w:ascii="仿宋" w:hAnsi="仿宋" w:eastAsia="仿宋" w:cs="仿宋_GB2312"/>
          <w:bCs/>
          <w:sz w:val="28"/>
          <w:szCs w:val="28"/>
          <w:highlight w:val="none"/>
          <w:lang w:eastAsia="zh-CN"/>
        </w:rPr>
        <w:t>一致好评</w:t>
      </w:r>
      <w:r>
        <w:rPr>
          <w:rFonts w:hint="eastAsia" w:ascii="仿宋" w:hAnsi="仿宋" w:eastAsia="仿宋" w:cs="仿宋_GB2312"/>
          <w:bCs/>
          <w:sz w:val="28"/>
          <w:szCs w:val="28"/>
          <w:highlight w:val="none"/>
        </w:rPr>
        <w:t>。</w:t>
      </w:r>
      <w:r>
        <w:rPr>
          <w:rFonts w:hint="eastAsia" w:ascii="仿宋" w:hAnsi="仿宋" w:eastAsia="仿宋" w:cs="仿宋_GB2312"/>
          <w:bCs/>
          <w:sz w:val="28"/>
          <w:szCs w:val="28"/>
          <w:highlight w:val="none"/>
          <w:lang w:eastAsia="zh-CN"/>
        </w:rPr>
        <w:t>民建北京市委充分利用市委网站、微信公众号、刊物等多种媒介开展重点明确、形式多样的宣传教育工作，获得广大会员的高度认可。服务对象投诉率为零，圆满完成年度工作目标。</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（四）</w:t>
      </w:r>
      <w:r>
        <w:rPr>
          <w:rFonts w:hint="eastAsia" w:ascii="仿宋_GB2312" w:hAnsi="仿宋_GB2312" w:eastAsia="仿宋_GB2312" w:cs="仿宋_GB2312"/>
          <w:color w:val="000000"/>
          <w:kern w:val="0"/>
          <w:sz w:val="28"/>
          <w:szCs w:val="28"/>
        </w:rPr>
        <w:t>预算管理情况分析</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财务管理</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lang w:val="en-US" w:eastAsia="zh-CN"/>
        </w:rPr>
        <w:t>1</w:t>
      </w: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rPr>
        <w:t>财务管理制度健全性</w:t>
      </w:r>
    </w:p>
    <w:p>
      <w:pPr>
        <w:pStyle w:val="2"/>
        <w:rPr>
          <w:rFonts w:hint="eastAsia"/>
          <w:sz w:val="28"/>
          <w:szCs w:val="28"/>
        </w:rPr>
      </w:pPr>
      <w:r>
        <w:rPr>
          <w:rFonts w:hint="eastAsia" w:ascii="仿宋" w:hAnsi="仿宋" w:eastAsia="仿宋" w:cs="宋体"/>
          <w:kern w:val="0"/>
          <w:sz w:val="28"/>
          <w:szCs w:val="28"/>
        </w:rPr>
        <w:t>为加强财务管理、规范财务行为，制定了《民建北京市委机关财务管理制度》、《民建北京市委经费支出管理办法》、《民建北京市委预算绩效管理办法》，对机关财务全部财务收支和经济活动进行综合管理，使机关财务管理工作系统化、规范化，提高财政资金的使用效益。</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lang w:val="en-US" w:eastAsia="zh-CN"/>
        </w:rPr>
        <w:t>2</w:t>
      </w: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rPr>
        <w:t>资金使用合规性和安全性</w:t>
      </w:r>
    </w:p>
    <w:p>
      <w:pPr>
        <w:pStyle w:val="2"/>
        <w:rPr>
          <w:rFonts w:hint="eastAsia"/>
          <w:sz w:val="28"/>
          <w:szCs w:val="28"/>
        </w:rPr>
      </w:pPr>
      <w:r>
        <w:rPr>
          <w:rFonts w:hint="eastAsia" w:ascii="仿宋" w:hAnsi="仿宋" w:eastAsia="仿宋" w:cs="宋体"/>
          <w:kern w:val="0"/>
          <w:sz w:val="28"/>
          <w:szCs w:val="28"/>
        </w:rPr>
        <w:t>按照《民建北京市委机关财务管理制度》的规定，合理安排使用各项资金，支出资金用途全部按照预算批复执行，每项资金的支出都按照相应的审批手续和支付流程，重大开支执行“三重一大”制度规定的审批流程，保证预算资金的规范和安全运行。不存在截留、挤占、挪用情况，公务卡使用有相关的制度规定约束，预算资金整体规范运行。</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lang w:val="en-US" w:eastAsia="zh-CN"/>
        </w:rPr>
        <w:t>3</w:t>
      </w: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rPr>
        <w:t>会计基础信息完善性</w:t>
      </w:r>
    </w:p>
    <w:p>
      <w:pPr>
        <w:pStyle w:val="2"/>
        <w:rPr>
          <w:rFonts w:hint="eastAsia"/>
          <w:sz w:val="28"/>
          <w:szCs w:val="28"/>
        </w:rPr>
      </w:pPr>
      <w:r>
        <w:rPr>
          <w:rFonts w:hint="eastAsia" w:ascii="仿宋" w:hAnsi="仿宋" w:eastAsia="仿宋" w:cs="宋体"/>
          <w:kern w:val="0"/>
          <w:sz w:val="28"/>
          <w:szCs w:val="28"/>
        </w:rPr>
        <w:t>基础数据信息和会计信息资料真实可靠，基础数据信息和会计信息资料完整准确。为绩效评价工作提供可靠的信息和资料。</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资产管理</w:t>
      </w:r>
    </w:p>
    <w:p>
      <w:pPr>
        <w:pStyle w:val="2"/>
        <w:rPr>
          <w:rFonts w:hint="eastAsia"/>
          <w:sz w:val="28"/>
          <w:szCs w:val="28"/>
        </w:rPr>
      </w:pPr>
      <w:r>
        <w:rPr>
          <w:rFonts w:hint="eastAsia" w:ascii="仿宋" w:hAnsi="仿宋" w:eastAsia="仿宋"/>
          <w:sz w:val="28"/>
          <w:szCs w:val="28"/>
        </w:rPr>
        <w:t>民建北京市委制定了《民建北京市委机关固定资产管理办法》（暂行），固定资产管理实行集中统管，合理配置，分工负责，提高资产的使用效益，保证资产的完整和安全。资产的购置符合资产配置要求，制定购置计划，安排预算资金，按照政府采购流程购置，完善资产登记台账。资产定期盘点，对于报废的资产按规定的程序及时处置。</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绩效管理</w:t>
      </w:r>
    </w:p>
    <w:p>
      <w:pPr>
        <w:pStyle w:val="2"/>
        <w:rPr>
          <w:rFonts w:hint="eastAsia"/>
          <w:sz w:val="28"/>
          <w:szCs w:val="28"/>
        </w:rPr>
      </w:pPr>
      <w:r>
        <w:rPr>
          <w:rFonts w:ascii="仿宋" w:hAnsi="仿宋" w:eastAsia="仿宋" w:cs="宋体"/>
          <w:kern w:val="0"/>
          <w:sz w:val="28"/>
          <w:szCs w:val="28"/>
        </w:rPr>
        <w:t>依据《中共北京市委北京市人民政府关于全面实施预算绩效管理的实施意见》（京发〔2019〕12号）、《北京市预算绩效管理办法》（京财绩效〔2019〕2129号）和《北京市项目支出绩效评价管理办法》（京财绩效〔2020〕2146号）</w:t>
      </w:r>
      <w:r>
        <w:rPr>
          <w:rFonts w:hint="eastAsia" w:ascii="仿宋" w:hAnsi="仿宋" w:eastAsia="仿宋" w:cs="宋体"/>
          <w:kern w:val="0"/>
          <w:sz w:val="28"/>
          <w:szCs w:val="28"/>
        </w:rPr>
        <w:t>文件规定，以及民建北京市委制定的《民建北京市委预算绩效管理办法》，开展项目绩效工作，遵循目标管理原则、绩效导向原则、责任追究原则、信息公开原则，明确职责，</w:t>
      </w:r>
      <w:r>
        <w:rPr>
          <w:rFonts w:hint="eastAsia" w:ascii="仿宋" w:hAnsi="仿宋" w:eastAsia="仿宋"/>
          <w:sz w:val="28"/>
          <w:szCs w:val="28"/>
        </w:rPr>
        <w:t>有序开展全过程预算绩效管理工作。2</w:t>
      </w:r>
      <w:r>
        <w:rPr>
          <w:rFonts w:ascii="仿宋" w:hAnsi="仿宋" w:eastAsia="仿宋"/>
          <w:sz w:val="28"/>
          <w:szCs w:val="28"/>
        </w:rPr>
        <w:t>021</w:t>
      </w:r>
      <w:r>
        <w:rPr>
          <w:rFonts w:hint="eastAsia" w:ascii="仿宋" w:hAnsi="仿宋" w:eastAsia="仿宋"/>
          <w:sz w:val="28"/>
          <w:szCs w:val="28"/>
        </w:rPr>
        <w:t>年对所有项目均进行绩效自评，实现项目自评全覆盖，同时汇总全部项目信息，进行整体绩效评价分析，提高财政资金的使用效果和效益。</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结转结余率</w:t>
      </w:r>
    </w:p>
    <w:p>
      <w:pPr>
        <w:pStyle w:val="2"/>
        <w:rPr>
          <w:rFonts w:hint="eastAsia"/>
          <w:sz w:val="28"/>
          <w:szCs w:val="28"/>
        </w:rPr>
      </w:pPr>
      <w:r>
        <w:rPr>
          <w:rFonts w:ascii="仿宋" w:hAnsi="仿宋" w:eastAsia="仿宋"/>
          <w:sz w:val="28"/>
          <w:szCs w:val="28"/>
        </w:rPr>
        <w:t>2021</w:t>
      </w:r>
      <w:r>
        <w:rPr>
          <w:rFonts w:hint="eastAsia" w:ascii="仿宋" w:hAnsi="仿宋" w:eastAsia="仿宋"/>
          <w:sz w:val="28"/>
          <w:szCs w:val="28"/>
        </w:rPr>
        <w:t>年度支出预算1</w:t>
      </w:r>
      <w:r>
        <w:rPr>
          <w:rFonts w:ascii="仿宋" w:hAnsi="仿宋" w:eastAsia="仿宋"/>
          <w:sz w:val="28"/>
          <w:szCs w:val="28"/>
        </w:rPr>
        <w:t>978.78</w:t>
      </w:r>
      <w:r>
        <w:rPr>
          <w:rFonts w:hint="eastAsia" w:ascii="仿宋" w:hAnsi="仿宋" w:eastAsia="仿宋"/>
          <w:sz w:val="28"/>
          <w:szCs w:val="28"/>
        </w:rPr>
        <w:t>万元，年末结转结余6</w:t>
      </w:r>
      <w:r>
        <w:rPr>
          <w:rFonts w:ascii="仿宋" w:hAnsi="仿宋" w:eastAsia="仿宋"/>
          <w:sz w:val="28"/>
          <w:szCs w:val="28"/>
        </w:rPr>
        <w:t>3.57</w:t>
      </w:r>
      <w:r>
        <w:rPr>
          <w:rFonts w:hint="eastAsia" w:ascii="仿宋" w:hAnsi="仿宋" w:eastAsia="仿宋"/>
          <w:sz w:val="28"/>
          <w:szCs w:val="28"/>
        </w:rPr>
        <w:t>万元，比2</w:t>
      </w:r>
      <w:r>
        <w:rPr>
          <w:rFonts w:ascii="仿宋" w:hAnsi="仿宋" w:eastAsia="仿宋"/>
          <w:sz w:val="28"/>
          <w:szCs w:val="28"/>
        </w:rPr>
        <w:t>020</w:t>
      </w:r>
      <w:r>
        <w:rPr>
          <w:rFonts w:hint="eastAsia" w:ascii="仿宋" w:hAnsi="仿宋" w:eastAsia="仿宋"/>
          <w:sz w:val="28"/>
          <w:szCs w:val="28"/>
        </w:rPr>
        <w:t>年的结转结余4</w:t>
      </w:r>
      <w:r>
        <w:rPr>
          <w:rFonts w:ascii="仿宋" w:hAnsi="仿宋" w:eastAsia="仿宋"/>
          <w:sz w:val="28"/>
          <w:szCs w:val="28"/>
        </w:rPr>
        <w:t>6.37</w:t>
      </w:r>
      <w:r>
        <w:rPr>
          <w:rFonts w:hint="eastAsia" w:ascii="仿宋" w:hAnsi="仿宋" w:eastAsia="仿宋"/>
          <w:sz w:val="28"/>
          <w:szCs w:val="28"/>
        </w:rPr>
        <w:t>万元增加1</w:t>
      </w:r>
      <w:r>
        <w:rPr>
          <w:rFonts w:ascii="仿宋" w:hAnsi="仿宋" w:eastAsia="仿宋"/>
          <w:sz w:val="28"/>
          <w:szCs w:val="28"/>
        </w:rPr>
        <w:t>7.20</w:t>
      </w:r>
      <w:r>
        <w:rPr>
          <w:rFonts w:hint="eastAsia" w:ascii="仿宋" w:hAnsi="仿宋" w:eastAsia="仿宋"/>
          <w:sz w:val="28"/>
          <w:szCs w:val="28"/>
        </w:rPr>
        <w:t>万元，2</w:t>
      </w:r>
      <w:r>
        <w:rPr>
          <w:rFonts w:ascii="仿宋" w:hAnsi="仿宋" w:eastAsia="仿宋"/>
          <w:sz w:val="28"/>
          <w:szCs w:val="28"/>
        </w:rPr>
        <w:t>021</w:t>
      </w:r>
      <w:r>
        <w:rPr>
          <w:rFonts w:hint="eastAsia" w:ascii="仿宋" w:hAnsi="仿宋" w:eastAsia="仿宋"/>
          <w:sz w:val="28"/>
          <w:szCs w:val="28"/>
        </w:rPr>
        <w:t>年结转结余率为3</w:t>
      </w:r>
      <w:r>
        <w:rPr>
          <w:rFonts w:ascii="仿宋" w:hAnsi="仿宋" w:eastAsia="仿宋"/>
          <w:sz w:val="28"/>
          <w:szCs w:val="28"/>
        </w:rPr>
        <w:t>.21</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部门预决算差异率</w:t>
      </w:r>
    </w:p>
    <w:p>
      <w:pPr>
        <w:pStyle w:val="2"/>
        <w:rPr>
          <w:rFonts w:hint="eastAsia"/>
          <w:color w:val="auto"/>
          <w:sz w:val="28"/>
          <w:szCs w:val="28"/>
        </w:rPr>
      </w:pPr>
      <w:r>
        <w:rPr>
          <w:rFonts w:ascii="仿宋" w:hAnsi="仿宋" w:eastAsia="仿宋"/>
          <w:color w:val="auto"/>
          <w:sz w:val="28"/>
          <w:szCs w:val="28"/>
        </w:rPr>
        <w:t>2021</w:t>
      </w:r>
      <w:r>
        <w:rPr>
          <w:rFonts w:hint="eastAsia" w:ascii="仿宋" w:hAnsi="仿宋" w:eastAsia="仿宋"/>
          <w:color w:val="auto"/>
          <w:sz w:val="28"/>
          <w:szCs w:val="28"/>
        </w:rPr>
        <w:t>年支出预算1</w:t>
      </w:r>
      <w:r>
        <w:rPr>
          <w:rFonts w:ascii="仿宋" w:hAnsi="仿宋" w:eastAsia="仿宋"/>
          <w:color w:val="auto"/>
          <w:sz w:val="28"/>
          <w:szCs w:val="28"/>
        </w:rPr>
        <w:t>978.78</w:t>
      </w:r>
      <w:r>
        <w:rPr>
          <w:rFonts w:hint="eastAsia" w:ascii="仿宋" w:hAnsi="仿宋" w:eastAsia="仿宋"/>
          <w:color w:val="auto"/>
          <w:sz w:val="28"/>
          <w:szCs w:val="28"/>
        </w:rPr>
        <w:t>万元，实际支出1</w:t>
      </w:r>
      <w:r>
        <w:rPr>
          <w:rFonts w:ascii="仿宋" w:hAnsi="仿宋" w:eastAsia="仿宋"/>
          <w:color w:val="auto"/>
          <w:sz w:val="28"/>
          <w:szCs w:val="28"/>
        </w:rPr>
        <w:t>873.61</w:t>
      </w:r>
      <w:r>
        <w:rPr>
          <w:rFonts w:hint="eastAsia" w:ascii="仿宋" w:hAnsi="仿宋" w:eastAsia="仿宋"/>
          <w:color w:val="auto"/>
          <w:sz w:val="28"/>
          <w:szCs w:val="28"/>
        </w:rPr>
        <w:t>万元，预决算差异率为-5</w:t>
      </w:r>
      <w:r>
        <w:rPr>
          <w:rFonts w:ascii="仿宋" w:hAnsi="仿宋" w:eastAsia="仿宋"/>
          <w:color w:val="auto"/>
          <w:sz w:val="28"/>
          <w:szCs w:val="28"/>
        </w:rPr>
        <w:t>.31</w:t>
      </w:r>
      <w:r>
        <w:rPr>
          <w:rFonts w:hint="eastAsia" w:ascii="仿宋" w:hAnsi="仿宋" w:eastAsia="仿宋"/>
          <w:color w:val="auto"/>
          <w:sz w:val="28"/>
          <w:szCs w:val="28"/>
        </w:rPr>
        <w:t>%。</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（五）</w:t>
      </w:r>
      <w:r>
        <w:rPr>
          <w:rFonts w:hint="eastAsia" w:ascii="仿宋_GB2312" w:hAnsi="仿宋_GB2312" w:eastAsia="仿宋_GB2312" w:cs="仿宋_GB2312"/>
          <w:sz w:val="28"/>
          <w:szCs w:val="28"/>
        </w:rPr>
        <w:t>总体评价结论</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评价得分情况</w:t>
      </w:r>
    </w:p>
    <w:p>
      <w:pPr>
        <w:pStyle w:val="2"/>
        <w:rPr>
          <w:rFonts w:hint="eastAsia"/>
          <w:sz w:val="28"/>
          <w:szCs w:val="28"/>
        </w:rPr>
      </w:pPr>
      <w:r>
        <w:rPr>
          <w:rFonts w:hint="eastAsia" w:ascii="仿宋" w:eastAsia="仿宋" w:cs="仿宋_GB2312"/>
          <w:sz w:val="28"/>
          <w:szCs w:val="28"/>
        </w:rPr>
        <w:t>2021年整体绩效评价指标体系评分9</w:t>
      </w:r>
      <w:r>
        <w:rPr>
          <w:rFonts w:ascii="仿宋" w:eastAsia="仿宋" w:cs="仿宋_GB2312"/>
          <w:sz w:val="28"/>
          <w:szCs w:val="28"/>
        </w:rPr>
        <w:t>7.6</w:t>
      </w:r>
      <w:r>
        <w:rPr>
          <w:rFonts w:hint="eastAsia" w:ascii="仿宋" w:eastAsia="仿宋" w:cs="仿宋_GB2312"/>
          <w:sz w:val="28"/>
          <w:szCs w:val="28"/>
        </w:rPr>
        <w:t>分，其中当年预算执行情况</w:t>
      </w:r>
      <w:r>
        <w:rPr>
          <w:rFonts w:ascii="仿宋" w:eastAsia="仿宋" w:cs="仿宋_GB2312"/>
          <w:sz w:val="28"/>
          <w:szCs w:val="28"/>
        </w:rPr>
        <w:t>19</w:t>
      </w:r>
      <w:r>
        <w:rPr>
          <w:rFonts w:hint="eastAsia" w:ascii="仿宋" w:eastAsia="仿宋" w:cs="仿宋_GB2312"/>
          <w:sz w:val="28"/>
          <w:szCs w:val="28"/>
        </w:rPr>
        <w:t>分，整体绩效目标实现情况</w:t>
      </w:r>
      <w:r>
        <w:rPr>
          <w:rFonts w:ascii="仿宋" w:eastAsia="仿宋" w:cs="仿宋_GB2312"/>
          <w:sz w:val="28"/>
          <w:szCs w:val="28"/>
        </w:rPr>
        <w:t>60</w:t>
      </w:r>
      <w:r>
        <w:rPr>
          <w:rFonts w:hint="eastAsia" w:ascii="仿宋" w:eastAsia="仿宋" w:cs="仿宋_GB2312"/>
          <w:sz w:val="28"/>
          <w:szCs w:val="28"/>
        </w:rPr>
        <w:t>分，预算管理情况</w:t>
      </w:r>
      <w:r>
        <w:rPr>
          <w:rFonts w:ascii="仿宋" w:eastAsia="仿宋" w:cs="仿宋_GB2312"/>
          <w:sz w:val="28"/>
          <w:szCs w:val="28"/>
        </w:rPr>
        <w:t>18</w:t>
      </w:r>
      <w:r>
        <w:rPr>
          <w:rFonts w:hint="eastAsia" w:ascii="仿宋" w:eastAsia="仿宋" w:cs="仿宋_GB2312"/>
          <w:sz w:val="28"/>
          <w:szCs w:val="28"/>
        </w:rPr>
        <w:t>.</w:t>
      </w:r>
      <w:r>
        <w:rPr>
          <w:rFonts w:ascii="仿宋" w:eastAsia="仿宋" w:cs="仿宋_GB2312"/>
          <w:sz w:val="28"/>
          <w:szCs w:val="28"/>
        </w:rPr>
        <w:t>6</w:t>
      </w:r>
      <w:r>
        <w:rPr>
          <w:rFonts w:hint="eastAsia" w:ascii="仿宋" w:eastAsia="仿宋" w:cs="仿宋_GB2312"/>
          <w:sz w:val="28"/>
          <w:szCs w:val="28"/>
        </w:rPr>
        <w:t>分。</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存在的问题及原因分析</w:t>
      </w:r>
    </w:p>
    <w:p>
      <w:pPr>
        <w:spacing w:line="600" w:lineRule="exact"/>
        <w:ind w:left="105" w:leftChars="50" w:firstLine="526" w:firstLineChars="188"/>
        <w:rPr>
          <w:rFonts w:ascii="仿宋" w:hAnsi="仿宋" w:eastAsia="仿宋"/>
          <w:sz w:val="28"/>
          <w:szCs w:val="28"/>
        </w:rPr>
      </w:pPr>
      <w:r>
        <w:rPr>
          <w:rFonts w:hint="eastAsia" w:ascii="仿宋" w:hAnsi="仿宋" w:eastAsia="仿宋"/>
          <w:sz w:val="28"/>
          <w:szCs w:val="28"/>
        </w:rPr>
        <w:t>1．项目预算指标编制中，有的项目将一个二级指标如数量指标分解设置了多项，说明对这个项目进行了深入的分析，对指标进行了细化，具有可衡量性。但由于单位职能所限，三级指标设置不够全面，指标设置较少，因而不能完全反映项目的绩效情况。</w:t>
      </w:r>
    </w:p>
    <w:p>
      <w:pPr>
        <w:pStyle w:val="2"/>
        <w:rPr>
          <w:rFonts w:hint="eastAsia"/>
          <w:sz w:val="28"/>
          <w:szCs w:val="28"/>
        </w:rPr>
      </w:pPr>
      <w:r>
        <w:rPr>
          <w:rFonts w:hint="eastAsia" w:ascii="仿宋" w:hAnsi="仿宋" w:eastAsia="仿宋"/>
          <w:sz w:val="28"/>
          <w:szCs w:val="28"/>
        </w:rPr>
        <w:t>2</w:t>
      </w:r>
      <w:r>
        <w:rPr>
          <w:rFonts w:ascii="仿宋" w:hAnsi="仿宋" w:eastAsia="仿宋"/>
          <w:sz w:val="28"/>
          <w:szCs w:val="28"/>
        </w:rPr>
        <w:t>.</w:t>
      </w:r>
      <w:r>
        <w:rPr>
          <w:rFonts w:hint="eastAsia" w:ascii="仿宋" w:hAnsi="仿宋" w:eastAsia="仿宋"/>
          <w:sz w:val="28"/>
          <w:szCs w:val="28"/>
        </w:rPr>
        <w:t>虽然制定了</w:t>
      </w:r>
      <w:r>
        <w:rPr>
          <w:rFonts w:hint="eastAsia" w:ascii="仿宋" w:hAnsi="仿宋" w:eastAsia="仿宋" w:cs="宋体"/>
          <w:kern w:val="0"/>
          <w:sz w:val="28"/>
          <w:szCs w:val="28"/>
        </w:rPr>
        <w:t>《民建北京市委预算绩效管理办法》，从预算编制、预算执行到绩效评价等全过程对项目开展绩效评价工作进行了全面的阐述，但是在事前绩效管理方面有待进一步加强。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（六）</w:t>
      </w:r>
      <w:r>
        <w:rPr>
          <w:rFonts w:hint="eastAsia" w:ascii="仿宋_GB2312" w:hAnsi="仿宋_GB2312" w:eastAsia="仿宋_GB2312" w:cs="仿宋_GB2312"/>
          <w:color w:val="000000"/>
          <w:kern w:val="0"/>
          <w:sz w:val="28"/>
          <w:szCs w:val="28"/>
        </w:rPr>
        <w:t>措施建议</w:t>
      </w:r>
    </w:p>
    <w:p>
      <w:pPr>
        <w:ind w:firstLine="560" w:firstLineChars="200"/>
        <w:rPr>
          <w:rFonts w:ascii="仿宋" w:hAnsi="仿宋" w:eastAsia="仿宋" w:cs="宋体"/>
          <w:kern w:val="0"/>
          <w:sz w:val="28"/>
          <w:szCs w:val="28"/>
        </w:rPr>
      </w:pPr>
      <w:bookmarkStart w:id="1" w:name="_Hlk104320972"/>
      <w:r>
        <w:rPr>
          <w:rFonts w:hint="eastAsia" w:ascii="仿宋" w:hAnsi="仿宋" w:eastAsia="仿宋" w:cs="宋体"/>
          <w:kern w:val="0"/>
          <w:sz w:val="28"/>
          <w:szCs w:val="28"/>
        </w:rPr>
        <w:t>通过整体绩效评价工作，发现了绩效管理工作中存在的问题，下一步将继续认真学习贯彻北京市财政局发布的有关绩效管理的相关文件，加强预算绩效管理的制度建设，增强绩效管理意识，继续推进全面绩效管理工作，增加财政资金的使用效率和效益。</w:t>
      </w:r>
    </w:p>
    <w:bookmarkEnd w:id="1"/>
    <w:p>
      <w:pPr>
        <w:numPr>
          <w:ilvl w:val="0"/>
          <w:numId w:val="0"/>
        </w:numPr>
        <w:ind w:firstLine="560" w:firstLineChars="200"/>
        <w:rPr>
          <w:rFonts w:hint="eastAsia" w:ascii="仿宋" w:hAnsi="仿宋" w:eastAsia="仿宋" w:cs="宋体"/>
          <w:kern w:val="0"/>
          <w:sz w:val="28"/>
          <w:szCs w:val="28"/>
        </w:rPr>
      </w:pPr>
      <w:r>
        <w:rPr>
          <w:rFonts w:hint="eastAsia" w:ascii="仿宋" w:hAnsi="仿宋" w:eastAsia="仿宋" w:cs="宋体"/>
          <w:kern w:val="0"/>
          <w:sz w:val="28"/>
          <w:szCs w:val="28"/>
          <w:lang w:val="en-US" w:eastAsia="zh-CN"/>
        </w:rPr>
        <w:t>1.</w:t>
      </w:r>
      <w:r>
        <w:rPr>
          <w:rFonts w:hint="eastAsia" w:ascii="仿宋" w:hAnsi="仿宋" w:eastAsia="仿宋" w:cs="宋体"/>
          <w:kern w:val="0"/>
          <w:sz w:val="28"/>
          <w:szCs w:val="28"/>
        </w:rPr>
        <w:t>加强项目前期评估和可行性论证，结合往年实施情况，做好项目规划。加强项目绩效目标管理，结合部门职能，科学合理的设定绩效目标且进一步细化绩效指标，强化指标与项目内容和资金预算的匹配度及可考量性。</w:t>
      </w:r>
    </w:p>
    <w:p>
      <w:pPr>
        <w:numPr>
          <w:ilvl w:val="0"/>
          <w:numId w:val="0"/>
        </w:numPr>
        <w:ind w:firstLine="560" w:firstLineChars="200"/>
        <w:rPr>
          <w:rFonts w:ascii="仿宋" w:hAnsi="仿宋" w:eastAsia="仿宋"/>
          <w:sz w:val="28"/>
          <w:szCs w:val="28"/>
        </w:rPr>
      </w:pPr>
      <w:r>
        <w:rPr>
          <w:rFonts w:ascii="仿宋" w:hAnsi="仿宋" w:eastAsia="仿宋" w:cs="宋体"/>
          <w:kern w:val="0"/>
          <w:sz w:val="28"/>
          <w:szCs w:val="28"/>
        </w:rPr>
        <w:t>2.</w:t>
      </w:r>
      <w:r>
        <w:rPr>
          <w:rFonts w:hint="eastAsia" w:ascii="仿宋" w:hAnsi="仿宋" w:eastAsia="仿宋" w:cs="宋体"/>
          <w:kern w:val="0"/>
          <w:sz w:val="28"/>
          <w:szCs w:val="28"/>
        </w:rPr>
        <w:t>加强对市财政局发布的有关绩效管理方面的文件的学习，将项目绩效信息进行汇总整理，加以分析并应用于实际工作，同时加强对项目处室的培训，提高绩效管理的水平，促进财政资金发挥最大的效益。</w:t>
      </w:r>
    </w:p>
    <w:p>
      <w:pPr>
        <w:spacing w:line="480" w:lineRule="exact"/>
        <w:jc w:val="center"/>
        <w:rPr>
          <w:rFonts w:hint="eastAsia" w:ascii="黑体" w:eastAsia="黑体"/>
          <w:sz w:val="32"/>
          <w:szCs w:val="32"/>
        </w:rPr>
      </w:pPr>
    </w:p>
    <w:p/>
    <w:sectPr>
      <w:footerReference r:id="rId3" w:type="default"/>
      <w:footerReference r:id="rId4"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5"/>
      </w:rPr>
    </w:pPr>
    <w:r>
      <w:fldChar w:fldCharType="begin"/>
    </w:r>
    <w:r>
      <w:rPr>
        <w:rStyle w:val="5"/>
      </w:rPr>
      <w:instrText xml:space="preserve">PAGE  </w:instrText>
    </w:r>
    <w:r>
      <w:fldChar w:fldCharType="separate"/>
    </w:r>
    <w:r>
      <w:rPr>
        <w:rStyle w:val="5"/>
      </w:rPr>
      <w:t>24</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5"/>
      </w:rPr>
    </w:pPr>
    <w:r>
      <w:fldChar w:fldCharType="begin"/>
    </w:r>
    <w:r>
      <w:rPr>
        <w:rStyle w:val="5"/>
      </w:rPr>
      <w:instrText xml:space="preserve">PAGE  </w:instrText>
    </w:r>
    <w:r>
      <w:fldChar w:fldCharType="separate"/>
    </w:r>
    <w:r>
      <w:rPr>
        <w:rStyle w:val="5"/>
      </w:rPr>
      <w:t>15</w:t>
    </w:r>
    <w: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FFB472"/>
    <w:multiLevelType w:val="singleLevel"/>
    <w:tmpl w:val="D7FFB47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5D6D16"/>
    <w:rsid w:val="1F5221D4"/>
    <w:rsid w:val="227A09E4"/>
    <w:rsid w:val="3A5D6D16"/>
    <w:rsid w:val="3B953C61"/>
    <w:rsid w:val="476B6054"/>
    <w:rsid w:val="5784197F"/>
    <w:rsid w:val="5D4D2EEF"/>
    <w:rsid w:val="6E4E74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 w:type="paragraph" w:styleId="3">
    <w:name w:val="footer"/>
    <w:basedOn w:val="1"/>
    <w:qFormat/>
    <w:uiPriority w:val="0"/>
    <w:pPr>
      <w:tabs>
        <w:tab w:val="center" w:pos="4153"/>
        <w:tab w:val="right" w:pos="8306"/>
      </w:tabs>
      <w:snapToGrid w:val="0"/>
      <w:jc w:val="left"/>
    </w:pPr>
    <w:rPr>
      <w:sz w:val="18"/>
      <w:szCs w:val="18"/>
    </w:rPr>
  </w:style>
  <w:style w:type="character" w:styleId="5">
    <w:name w:val="page number"/>
    <w:basedOn w:val="4"/>
    <w:qFormat/>
    <w:uiPriority w:val="0"/>
  </w:style>
  <w:style w:type="character" w:customStyle="1" w:styleId="7">
    <w:name w:val="NormalCharacter"/>
    <w:semiHidden/>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jmj</Company>
  <Pages>1</Pages>
  <Words>0</Words>
  <Characters>0</Characters>
  <Lines>0</Lines>
  <Paragraphs>0</Paragraphs>
  <TotalTime>7</TotalTime>
  <ScaleCrop>false</ScaleCrop>
  <LinksUpToDate>false</LinksUpToDate>
  <CharactersWithSpaces>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2022-08-24T07:16:00Z</dcterms:created>
  <dc:creator>user</dc:creator>
  <cp:lastModifiedBy>user</cp:lastModifiedBy>
  <dcterms:modified xsi:type="dcterms:W3CDTF">2022-08-25T08:35:14Z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