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方正黑体_GBK" w:hAnsi="方正黑体_GBK" w:eastAsia="方正黑体_GBK" w:cs="方正黑体_GBK"/>
          <w:sz w:val="32"/>
        </w:rPr>
      </w:pPr>
      <w:r>
        <w:rPr>
          <w:rFonts w:hint="eastAsia" w:ascii="方正黑体_GBK" w:hAnsi="方正黑体_GBK" w:eastAsia="方正黑体_GBK" w:cs="方正黑体_GBK"/>
          <w:sz w:val="32"/>
        </w:rPr>
        <w:t>京财</w:t>
      </w:r>
      <w:bookmarkStart w:id="0" w:name="jingcai"/>
      <w:r>
        <w:rPr>
          <w:rFonts w:hint="eastAsia" w:ascii="方正黑体_GBK" w:hAnsi="方正黑体_GBK" w:eastAsia="方正黑体_GBK" w:cs="方正黑体_GBK"/>
          <w:sz w:val="32"/>
          <w:lang w:val="en"/>
        </w:rPr>
        <w:t>绩效</w:t>
      </w:r>
      <w:bookmarkEnd w:id="0"/>
      <w:r>
        <w:rPr>
          <w:rFonts w:hint="eastAsia" w:ascii="方正黑体_GBK" w:hAnsi="方正黑体_GBK" w:eastAsia="方正黑体_GBK" w:cs="方正黑体_GBK"/>
          <w:sz w:val="32"/>
        </w:rPr>
        <w:t>〔</w:t>
      </w:r>
      <w:bookmarkStart w:id="1" w:name="nianfen"/>
      <w:r>
        <w:rPr>
          <w:rFonts w:hint="eastAsia" w:ascii="方正黑体_GBK" w:hAnsi="方正黑体_GBK" w:eastAsia="方正黑体_GBK" w:cs="方正黑体_GBK"/>
          <w:sz w:val="32"/>
          <w:lang w:val="en"/>
        </w:rPr>
        <w:t>2022</w:t>
      </w:r>
      <w:bookmarkEnd w:id="1"/>
      <w:r>
        <w:rPr>
          <w:rFonts w:hint="eastAsia" w:ascii="方正黑体_GBK" w:hAnsi="方正黑体_GBK" w:eastAsia="方正黑体_GBK" w:cs="方正黑体_GBK"/>
          <w:sz w:val="32"/>
        </w:rPr>
        <w:t>〕</w:t>
      </w:r>
      <w:bookmarkStart w:id="2" w:name="bumenhao"/>
      <w:r>
        <w:rPr>
          <w:rFonts w:hint="eastAsia" w:ascii="方正黑体_GBK" w:hAnsi="方正黑体_GBK" w:eastAsia="方正黑体_GBK" w:cs="方正黑体_GBK"/>
          <w:sz w:val="32"/>
          <w:lang w:val="en"/>
        </w:rPr>
        <w:t>669</w:t>
      </w:r>
      <w:bookmarkEnd w:id="2"/>
      <w:r>
        <w:rPr>
          <w:rFonts w:hint="eastAsia" w:ascii="方正黑体_GBK" w:hAnsi="方正黑体_GBK" w:eastAsia="方正黑体_GBK" w:cs="方正黑体_GBK"/>
          <w:sz w:val="32"/>
        </w:rPr>
        <w:t>号附件1</w:t>
      </w:r>
    </w:p>
    <w:p>
      <w:pPr>
        <w:spacing w:line="480" w:lineRule="exact"/>
        <w:rPr>
          <w:rFonts w:ascii="黑体" w:hAnsi="黑体" w:eastAsia="黑体"/>
          <w:sz w:val="32"/>
          <w:szCs w:val="32"/>
        </w:rPr>
      </w:pPr>
      <w:r>
        <w:rPr>
          <w:rFonts w:hint="eastAsia" w:ascii="黑体" w:hAnsi="黑体" w:eastAsia="黑体"/>
          <w:sz w:val="32"/>
          <w:szCs w:val="32"/>
        </w:rPr>
        <w:t>附件1-1</w:t>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30"/>
          <w:szCs w:val="30"/>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2021</w:t>
      </w:r>
      <w:r>
        <w:rPr>
          <w:rFonts w:hint="eastAsia" w:ascii="仿宋_GB2312" w:hAnsi="宋体" w:eastAsia="仿宋_GB2312"/>
          <w:sz w:val="28"/>
          <w:szCs w:val="28"/>
        </w:rPr>
        <w:t>年度）</w:t>
      </w:r>
    </w:p>
    <w:tbl>
      <w:tblPr>
        <w:tblStyle w:val="4"/>
        <w:tblW w:w="9038" w:type="dxa"/>
        <w:jc w:val="center"/>
        <w:tblInd w:w="0" w:type="dxa"/>
        <w:tblLayout w:type="fixed"/>
        <w:tblCellMar>
          <w:top w:w="0" w:type="dxa"/>
          <w:left w:w="108" w:type="dxa"/>
          <w:bottom w:w="0" w:type="dxa"/>
          <w:right w:w="108" w:type="dxa"/>
        </w:tblCellMar>
      </w:tblPr>
      <w:tblGrid>
        <w:gridCol w:w="562"/>
        <w:gridCol w:w="567"/>
        <w:gridCol w:w="709"/>
        <w:gridCol w:w="1418"/>
        <w:gridCol w:w="567"/>
        <w:gridCol w:w="425"/>
        <w:gridCol w:w="992"/>
        <w:gridCol w:w="1418"/>
        <w:gridCol w:w="708"/>
        <w:gridCol w:w="709"/>
        <w:gridCol w:w="253"/>
        <w:gridCol w:w="710"/>
      </w:tblGrid>
      <w:tr>
        <w:tblPrEx>
          <w:tblLayout w:type="fixed"/>
          <w:tblCellMar>
            <w:top w:w="0" w:type="dxa"/>
            <w:left w:w="108" w:type="dxa"/>
            <w:bottom w:w="0" w:type="dxa"/>
            <w:right w:w="108" w:type="dxa"/>
          </w:tblCellMar>
        </w:tblPrEx>
        <w:trPr>
          <w:trHeight w:val="306" w:hRule="exact"/>
          <w:jc w:val="center"/>
        </w:trPr>
        <w:tc>
          <w:tcPr>
            <w:tcW w:w="112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909"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统战宣传及文史委等工作经费</w:t>
            </w:r>
          </w:p>
        </w:tc>
      </w:tr>
      <w:tr>
        <w:tblPrEx>
          <w:tblLayout w:type="fixed"/>
          <w:tblCellMar>
            <w:top w:w="0" w:type="dxa"/>
            <w:left w:w="108" w:type="dxa"/>
            <w:bottom w:w="0" w:type="dxa"/>
            <w:right w:w="108" w:type="dxa"/>
          </w:tblCellMar>
        </w:tblPrEx>
        <w:trPr>
          <w:trHeight w:val="654" w:hRule="exact"/>
          <w:jc w:val="center"/>
        </w:trPr>
        <w:tc>
          <w:tcPr>
            <w:tcW w:w="112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11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中国国民党革命委员会北京市委员会</w:t>
            </w:r>
          </w:p>
        </w:tc>
        <w:tc>
          <w:tcPr>
            <w:tcW w:w="141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380" w:type="dxa"/>
            <w:gridSpan w:val="4"/>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中国国民党革命委员会北京市委员会（本级）</w:t>
            </w:r>
          </w:p>
        </w:tc>
      </w:tr>
      <w:tr>
        <w:tblPrEx>
          <w:tblLayout w:type="fixed"/>
          <w:tblCellMar>
            <w:top w:w="0" w:type="dxa"/>
            <w:left w:w="108" w:type="dxa"/>
            <w:bottom w:w="0" w:type="dxa"/>
            <w:right w:w="108" w:type="dxa"/>
          </w:tblCellMar>
        </w:tblPrEx>
        <w:trPr>
          <w:trHeight w:val="436" w:hRule="exact"/>
          <w:jc w:val="center"/>
        </w:trPr>
        <w:tc>
          <w:tcPr>
            <w:tcW w:w="112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11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蒋耘晨</w:t>
            </w:r>
          </w:p>
        </w:tc>
        <w:tc>
          <w:tcPr>
            <w:tcW w:w="141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38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r>
              <w:rPr>
                <w:rFonts w:ascii="仿宋_GB2312" w:hAnsi="宋体" w:eastAsia="仿宋_GB2312" w:cs="宋体"/>
                <w:kern w:val="0"/>
                <w:szCs w:val="21"/>
              </w:rPr>
              <w:t>2218189</w:t>
            </w:r>
          </w:p>
        </w:tc>
      </w:tr>
      <w:tr>
        <w:tblPrEx>
          <w:tblLayout w:type="fixed"/>
          <w:tblCellMar>
            <w:top w:w="0" w:type="dxa"/>
            <w:left w:w="108" w:type="dxa"/>
            <w:bottom w:w="0" w:type="dxa"/>
            <w:right w:w="108" w:type="dxa"/>
          </w:tblCellMar>
        </w:tblPrEx>
        <w:trPr>
          <w:trHeight w:val="567" w:hRule="exact"/>
          <w:jc w:val="center"/>
        </w:trPr>
        <w:tc>
          <w:tcPr>
            <w:tcW w:w="1129"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212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41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9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Layout w:type="fixed"/>
          <w:tblCellMar>
            <w:top w:w="0" w:type="dxa"/>
            <w:left w:w="108" w:type="dxa"/>
            <w:bottom w:w="0" w:type="dxa"/>
            <w:right w:w="108" w:type="dxa"/>
          </w:tblCellMar>
        </w:tblPrEx>
        <w:trPr>
          <w:trHeight w:val="421" w:hRule="exact"/>
          <w:jc w:val="center"/>
        </w:trPr>
        <w:tc>
          <w:tcPr>
            <w:tcW w:w="11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27"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w:t>
            </w:r>
            <w:r>
              <w:rPr>
                <w:rFonts w:hint="eastAsia" w:ascii="仿宋_GB2312" w:hAnsi="宋体" w:eastAsia="仿宋_GB2312" w:cs="宋体"/>
                <w:kern w:val="0"/>
                <w:szCs w:val="21"/>
              </w:rPr>
              <w:t>5</w:t>
            </w:r>
            <w:r>
              <w:rPr>
                <w:rFonts w:ascii="仿宋_GB2312" w:hAnsi="宋体" w:eastAsia="仿宋_GB2312" w:cs="宋体"/>
                <w:kern w:val="0"/>
                <w:szCs w:val="21"/>
              </w:rPr>
              <w:t>.802</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w:t>
            </w:r>
            <w:r>
              <w:rPr>
                <w:rFonts w:hint="eastAsia" w:ascii="仿宋_GB2312" w:hAnsi="宋体" w:eastAsia="仿宋_GB2312" w:cs="宋体"/>
                <w:kern w:val="0"/>
                <w:szCs w:val="21"/>
              </w:rPr>
              <w:t>5</w:t>
            </w:r>
            <w:r>
              <w:rPr>
                <w:rFonts w:ascii="仿宋_GB2312" w:hAnsi="宋体" w:eastAsia="仿宋_GB2312" w:cs="宋体"/>
                <w:kern w:val="0"/>
                <w:szCs w:val="21"/>
              </w:rPr>
              <w:t>.802</w:t>
            </w:r>
          </w:p>
        </w:tc>
        <w:tc>
          <w:tcPr>
            <w:tcW w:w="141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21.01</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9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81%</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8.1</w:t>
            </w:r>
          </w:p>
        </w:tc>
      </w:tr>
      <w:tr>
        <w:tblPrEx>
          <w:tblLayout w:type="fixed"/>
          <w:tblCellMar>
            <w:top w:w="0" w:type="dxa"/>
            <w:left w:w="108" w:type="dxa"/>
            <w:bottom w:w="0" w:type="dxa"/>
            <w:right w:w="108" w:type="dxa"/>
          </w:tblCellMar>
        </w:tblPrEx>
        <w:trPr>
          <w:trHeight w:val="429" w:hRule="exact"/>
          <w:jc w:val="center"/>
        </w:trPr>
        <w:tc>
          <w:tcPr>
            <w:tcW w:w="11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2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其中：当年财政拨款</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w:t>
            </w:r>
            <w:r>
              <w:rPr>
                <w:rFonts w:hint="eastAsia" w:ascii="仿宋_GB2312" w:hAnsi="宋体" w:eastAsia="仿宋_GB2312" w:cs="宋体"/>
                <w:kern w:val="0"/>
                <w:szCs w:val="21"/>
              </w:rPr>
              <w:t>5</w:t>
            </w:r>
            <w:r>
              <w:rPr>
                <w:rFonts w:ascii="仿宋_GB2312" w:hAnsi="宋体" w:eastAsia="仿宋_GB2312" w:cs="宋体"/>
                <w:kern w:val="0"/>
                <w:szCs w:val="21"/>
              </w:rPr>
              <w:t>.802</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w:t>
            </w:r>
            <w:r>
              <w:rPr>
                <w:rFonts w:hint="eastAsia" w:ascii="仿宋_GB2312" w:hAnsi="宋体" w:eastAsia="仿宋_GB2312" w:cs="宋体"/>
                <w:kern w:val="0"/>
                <w:szCs w:val="21"/>
              </w:rPr>
              <w:t>5</w:t>
            </w:r>
            <w:r>
              <w:rPr>
                <w:rFonts w:ascii="仿宋_GB2312" w:hAnsi="宋体" w:eastAsia="仿宋_GB2312" w:cs="宋体"/>
                <w:kern w:val="0"/>
                <w:szCs w:val="21"/>
              </w:rPr>
              <w:t>.802</w:t>
            </w:r>
          </w:p>
        </w:tc>
        <w:tc>
          <w:tcPr>
            <w:tcW w:w="141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21.01</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9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81%</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395" w:hRule="exact"/>
          <w:jc w:val="center"/>
        </w:trPr>
        <w:tc>
          <w:tcPr>
            <w:tcW w:w="11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2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41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9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306" w:hRule="exact"/>
          <w:jc w:val="center"/>
        </w:trPr>
        <w:tc>
          <w:tcPr>
            <w:tcW w:w="11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2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99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41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9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548" w:hRule="exact"/>
          <w:jc w:val="center"/>
        </w:trPr>
        <w:tc>
          <w:tcPr>
            <w:tcW w:w="56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4678"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79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Layout w:type="fixed"/>
          <w:tblCellMar>
            <w:top w:w="0" w:type="dxa"/>
            <w:left w:w="108" w:type="dxa"/>
            <w:bottom w:w="0" w:type="dxa"/>
            <w:right w:w="108" w:type="dxa"/>
          </w:tblCellMar>
        </w:tblPrEx>
        <w:trPr>
          <w:trHeight w:val="6738" w:hRule="exact"/>
          <w:jc w:val="center"/>
        </w:trPr>
        <w:tc>
          <w:tcPr>
            <w:tcW w:w="5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678"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组织理论学习中心组学习，领导班子带动，加强政治理论学习，不断强化科学理论武装。开展年度主题教育活动，通过活动引领，不断增强听党话、跟党走、与党同心奋斗的政治自觉。加强宣传阵地建设，统筹利用民革市委微信公众号、网站、杂志自有宣传阵地和借势团结报、北京日报等主流媒体，加强宣传报道，讲好民革故事，凝聚履职力量。通过开展民革特色主题教育活动，继承发扬民革优良传统，深化爱国主义教育。通过开展宣传干部业务培训，新媒体、网站业务培训和统战理论知识培训，进一步加强民革市委各级组织的宣传队伍建设，增强各级宣传干部的政治素质，提高业务能力，提高民革市委的思想宣传工作水平，进一步强化民革市委宣传阵地的作用和影响力。规范党员之家建设管理使用，把党员之家建设成为开展思想政治教育的阵地、履行民革职能的基地、组织党员活动的园地。通过召开统战理论研究工作会议和开展实地调研，形成课题调研报告，加强统战理论建设，提升民革市委统战理论水平，为首都统战理论研究贡献力量。通过召开文史老龄委调研专题会议和开展实地调研形成完整的调研报告，对我市目前存在的社会热点和难点问题提出可行性建议。做好民革市委一年工作回顾记录片，对民革市委代表性老同志做好史料征集视频制作，做好民革市委宣传展板。</w:t>
            </w:r>
          </w:p>
        </w:tc>
        <w:tc>
          <w:tcPr>
            <w:tcW w:w="3798"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组织民革市委理论学习中心组集体学习4次；开展“不忘百年初衷·共筑百年梦想”主题教育实践活动</w:t>
            </w:r>
            <w:r>
              <w:rPr>
                <w:rFonts w:ascii="仿宋_GB2312" w:hAnsi="宋体" w:eastAsia="仿宋_GB2312" w:cs="宋体"/>
                <w:kern w:val="0"/>
                <w:szCs w:val="21"/>
              </w:rPr>
              <w:t>200余次</w:t>
            </w:r>
            <w:r>
              <w:rPr>
                <w:rFonts w:hint="eastAsia" w:ascii="仿宋_GB2312" w:hAnsi="宋体" w:eastAsia="仿宋_GB2312" w:cs="宋体"/>
                <w:kern w:val="0"/>
                <w:szCs w:val="21"/>
              </w:rPr>
              <w:t>；全年报送理论研究文章</w:t>
            </w:r>
            <w:r>
              <w:rPr>
                <w:rFonts w:ascii="仿宋_GB2312" w:hAnsi="宋体" w:eastAsia="仿宋_GB2312" w:cs="宋体"/>
                <w:kern w:val="0"/>
                <w:szCs w:val="21"/>
              </w:rPr>
              <w:t>26篇、征文127篇，入选市政协《光辉的旗帜》文史资料集6篇</w:t>
            </w:r>
            <w:r>
              <w:rPr>
                <w:rFonts w:hint="eastAsia" w:ascii="仿宋_GB2312" w:hAnsi="宋体" w:eastAsia="仿宋_GB2312" w:cs="宋体"/>
                <w:kern w:val="0"/>
                <w:szCs w:val="21"/>
              </w:rPr>
              <w:t>；</w:t>
            </w:r>
            <w:r>
              <w:rPr>
                <w:rFonts w:ascii="仿宋_GB2312" w:hAnsi="宋体" w:eastAsia="仿宋_GB2312" w:cs="宋体"/>
                <w:kern w:val="0"/>
                <w:szCs w:val="21"/>
              </w:rPr>
              <w:t>向民革中央、市委统战部报送短视频作品15件</w:t>
            </w:r>
            <w:r>
              <w:rPr>
                <w:rFonts w:hint="eastAsia" w:ascii="仿宋_GB2312" w:hAnsi="宋体" w:eastAsia="仿宋_GB2312" w:cs="宋体"/>
                <w:kern w:val="0"/>
                <w:szCs w:val="21"/>
              </w:rPr>
              <w:t>；在《团结报》刊发党史学习教育和作风建设年两个专版，各类活动被北京电视台等媒体报道</w:t>
            </w:r>
            <w:r>
              <w:rPr>
                <w:rFonts w:ascii="仿宋_GB2312" w:hAnsi="宋体" w:eastAsia="仿宋_GB2312" w:cs="宋体"/>
                <w:kern w:val="0"/>
                <w:szCs w:val="21"/>
              </w:rPr>
              <w:t>100余次</w:t>
            </w:r>
            <w:r>
              <w:rPr>
                <w:rFonts w:hint="eastAsia" w:ascii="仿宋_GB2312" w:hAnsi="宋体" w:eastAsia="仿宋_GB2312" w:cs="宋体"/>
                <w:kern w:val="0"/>
                <w:szCs w:val="21"/>
              </w:rPr>
              <w:t>；</w:t>
            </w:r>
            <w:r>
              <w:rPr>
                <w:rFonts w:ascii="仿宋_GB2312" w:hAnsi="宋体" w:eastAsia="仿宋_GB2312" w:cs="宋体"/>
                <w:kern w:val="0"/>
                <w:szCs w:val="21"/>
              </w:rPr>
              <w:t>“北京民革”微信公众号全年共发稿800余篇，报送民革中央网站信息274篇</w:t>
            </w:r>
            <w:r>
              <w:rPr>
                <w:rFonts w:hint="eastAsia" w:ascii="仿宋_GB2312" w:hAnsi="宋体" w:eastAsia="仿宋_GB2312" w:cs="宋体"/>
                <w:kern w:val="0"/>
                <w:szCs w:val="21"/>
              </w:rPr>
              <w:t>；</w:t>
            </w:r>
            <w:r>
              <w:rPr>
                <w:rFonts w:ascii="仿宋_GB2312" w:hAnsi="宋体" w:eastAsia="仿宋_GB2312" w:cs="宋体"/>
                <w:kern w:val="0"/>
                <w:szCs w:val="21"/>
              </w:rPr>
              <w:t>完成4期北京民革杂志刊物的</w:t>
            </w:r>
            <w:r>
              <w:rPr>
                <w:rFonts w:hint="eastAsia" w:ascii="仿宋_GB2312" w:hAnsi="宋体" w:eastAsia="仿宋_GB2312" w:cs="宋体"/>
                <w:kern w:val="0"/>
                <w:szCs w:val="21"/>
              </w:rPr>
              <w:t>采编、</w:t>
            </w:r>
            <w:r>
              <w:rPr>
                <w:rFonts w:ascii="仿宋_GB2312" w:hAnsi="宋体" w:eastAsia="仿宋_GB2312" w:cs="宋体"/>
                <w:kern w:val="0"/>
                <w:szCs w:val="21"/>
              </w:rPr>
              <w:t>印刷</w:t>
            </w:r>
            <w:r>
              <w:rPr>
                <w:rFonts w:hint="eastAsia" w:ascii="仿宋_GB2312" w:hAnsi="宋体" w:eastAsia="仿宋_GB2312" w:cs="宋体"/>
                <w:kern w:val="0"/>
                <w:szCs w:val="21"/>
              </w:rPr>
              <w:t>、</w:t>
            </w:r>
            <w:r>
              <w:rPr>
                <w:rFonts w:ascii="仿宋_GB2312" w:hAnsi="宋体" w:eastAsia="仿宋_GB2312" w:cs="宋体"/>
                <w:kern w:val="0"/>
                <w:szCs w:val="21"/>
              </w:rPr>
              <w:t>邮寄；</w:t>
            </w:r>
            <w:r>
              <w:rPr>
                <w:rFonts w:hint="eastAsia" w:ascii="仿宋_GB2312" w:hAnsi="宋体" w:eastAsia="仿宋_GB2312" w:cs="宋体"/>
                <w:kern w:val="0"/>
                <w:szCs w:val="21"/>
              </w:rPr>
              <w:t>在全国率先出台《北京民革党员之家管理办法（试行）》，全市建成民革党员之家</w:t>
            </w:r>
            <w:r>
              <w:rPr>
                <w:rFonts w:ascii="仿宋_GB2312" w:hAnsi="宋体" w:eastAsia="仿宋_GB2312" w:cs="宋体"/>
                <w:kern w:val="0"/>
                <w:szCs w:val="21"/>
              </w:rPr>
              <w:t>21家，共6家获评全国优秀党员之家</w:t>
            </w:r>
            <w:r>
              <w:rPr>
                <w:rFonts w:hint="eastAsia" w:ascii="仿宋_GB2312" w:hAnsi="宋体" w:eastAsia="仿宋_GB2312" w:cs="宋体"/>
                <w:kern w:val="0"/>
                <w:szCs w:val="21"/>
              </w:rPr>
              <w:t>；</w:t>
            </w:r>
            <w:r>
              <w:rPr>
                <w:rFonts w:ascii="仿宋_GB2312" w:hAnsi="宋体" w:eastAsia="仿宋_GB2312" w:cs="宋体"/>
                <w:kern w:val="0"/>
                <w:szCs w:val="21"/>
              </w:rPr>
              <w:t>完成2位代表性老同志的视频采访制作；完成民革市委宣传处展板约6块；</w:t>
            </w:r>
            <w:r>
              <w:rPr>
                <w:rFonts w:hint="eastAsia" w:ascii="仿宋_GB2312" w:hAnsi="宋体" w:eastAsia="仿宋_GB2312" w:cs="宋体"/>
                <w:kern w:val="0"/>
                <w:szCs w:val="21"/>
              </w:rPr>
              <w:t>圆满完成民革市委</w:t>
            </w:r>
            <w:r>
              <w:rPr>
                <w:rFonts w:ascii="仿宋_GB2312" w:hAnsi="宋体" w:eastAsia="仿宋_GB2312" w:cs="宋体"/>
                <w:kern w:val="0"/>
                <w:szCs w:val="21"/>
              </w:rPr>
              <w:t>2021年度工作回顾片；完成统战理论研究会、</w:t>
            </w:r>
            <w:r>
              <w:rPr>
                <w:rFonts w:hint="eastAsia" w:ascii="仿宋_GB2312" w:hAnsi="宋体" w:eastAsia="仿宋_GB2312" w:cs="宋体"/>
                <w:kern w:val="0"/>
                <w:szCs w:val="21"/>
              </w:rPr>
              <w:t>新闻摄影、短视频制作培训会</w:t>
            </w:r>
            <w:r>
              <w:rPr>
                <w:rFonts w:ascii="仿宋_GB2312" w:hAnsi="宋体" w:eastAsia="仿宋_GB2312" w:cs="宋体"/>
                <w:kern w:val="0"/>
                <w:szCs w:val="21"/>
              </w:rPr>
              <w:t>、文史老龄委课题调研组工作会、宣传干部培训会、孙中山思想研讨会等</w:t>
            </w:r>
            <w:r>
              <w:rPr>
                <w:rFonts w:hint="eastAsia" w:ascii="仿宋_GB2312" w:hAnsi="宋体" w:eastAsia="仿宋_GB2312" w:cs="宋体"/>
                <w:kern w:val="0"/>
                <w:szCs w:val="21"/>
              </w:rPr>
              <w:t>，</w:t>
            </w:r>
            <w:r>
              <w:rPr>
                <w:rFonts w:ascii="仿宋_GB2312" w:hAnsi="宋体" w:eastAsia="仿宋_GB2312" w:cs="宋体"/>
                <w:kern w:val="0"/>
                <w:szCs w:val="21"/>
              </w:rPr>
              <w:t>有效提高民革党员、宣传干部思想政治素质</w:t>
            </w:r>
            <w:r>
              <w:rPr>
                <w:rFonts w:hint="eastAsia" w:ascii="仿宋_GB2312" w:hAnsi="宋体" w:eastAsia="仿宋_GB2312" w:cs="宋体"/>
                <w:kern w:val="0"/>
                <w:szCs w:val="21"/>
              </w:rPr>
              <w:t>、</w:t>
            </w:r>
            <w:r>
              <w:rPr>
                <w:rFonts w:ascii="仿宋_GB2312" w:hAnsi="宋体" w:eastAsia="仿宋_GB2312" w:cs="宋体"/>
                <w:kern w:val="0"/>
                <w:szCs w:val="21"/>
              </w:rPr>
              <w:t>业务能力</w:t>
            </w:r>
            <w:r>
              <w:rPr>
                <w:rFonts w:hint="eastAsia" w:ascii="仿宋_GB2312" w:hAnsi="宋体" w:eastAsia="仿宋_GB2312" w:cs="宋体"/>
                <w:kern w:val="0"/>
                <w:szCs w:val="21"/>
              </w:rPr>
              <w:t>、</w:t>
            </w:r>
            <w:r>
              <w:rPr>
                <w:rFonts w:ascii="仿宋_GB2312" w:hAnsi="宋体" w:eastAsia="仿宋_GB2312" w:cs="宋体"/>
                <w:kern w:val="0"/>
                <w:szCs w:val="21"/>
              </w:rPr>
              <w:t>工作水平；</w:t>
            </w:r>
            <w:r>
              <w:rPr>
                <w:rFonts w:hint="eastAsia" w:ascii="仿宋_GB2312" w:hAnsi="宋体" w:eastAsia="仿宋_GB2312" w:cs="宋体"/>
                <w:kern w:val="0"/>
                <w:szCs w:val="21"/>
              </w:rPr>
              <w:t>在“七·七”全民族抗战爆发、抗战胜利、辛亥革命</w:t>
            </w:r>
            <w:r>
              <w:rPr>
                <w:rFonts w:ascii="仿宋_GB2312" w:hAnsi="宋体" w:eastAsia="仿宋_GB2312" w:cs="宋体"/>
                <w:kern w:val="0"/>
                <w:szCs w:val="21"/>
              </w:rPr>
              <w:t>110周年、孙中山先生逝世</w:t>
            </w:r>
            <w:bookmarkStart w:id="3" w:name="_GoBack"/>
            <w:bookmarkEnd w:id="3"/>
            <w:r>
              <w:rPr>
                <w:rFonts w:ascii="仿宋_GB2312" w:hAnsi="宋体" w:eastAsia="仿宋_GB2312" w:cs="宋体"/>
                <w:kern w:val="0"/>
                <w:szCs w:val="21"/>
              </w:rPr>
              <w:t>等纪念日举办</w:t>
            </w:r>
            <w:r>
              <w:rPr>
                <w:rFonts w:hint="eastAsia" w:ascii="仿宋_GB2312" w:hAnsi="宋体" w:eastAsia="仿宋_GB2312" w:cs="宋体"/>
                <w:kern w:val="0"/>
                <w:szCs w:val="21"/>
              </w:rPr>
              <w:t>了纪念活动</w:t>
            </w:r>
            <w:r>
              <w:rPr>
                <w:rFonts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990" w:hRule="exact"/>
          <w:jc w:val="center"/>
        </w:trPr>
        <w:tc>
          <w:tcPr>
            <w:tcW w:w="56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56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Layout w:type="fixed"/>
          <w:tblCellMar>
            <w:top w:w="0" w:type="dxa"/>
            <w:left w:w="108" w:type="dxa"/>
            <w:bottom w:w="0" w:type="dxa"/>
            <w:right w:w="108" w:type="dxa"/>
          </w:tblCellMar>
        </w:tblPrEx>
        <w:trPr>
          <w:trHeight w:val="483" w:hRule="exact"/>
          <w:jc w:val="center"/>
        </w:trPr>
        <w:tc>
          <w:tcPr>
            <w:tcW w:w="5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产出指标（5</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数量指标（1</w:t>
            </w:r>
            <w:r>
              <w:rPr>
                <w:rFonts w:ascii="仿宋_GB2312" w:hAnsi="宋体" w:eastAsia="仿宋_GB2312" w:cs="宋体"/>
                <w:kern w:val="0"/>
                <w:szCs w:val="21"/>
              </w:rPr>
              <w:t>5</w:t>
            </w:r>
            <w:r>
              <w:rPr>
                <w:rFonts w:hint="eastAsia" w:ascii="仿宋_GB2312" w:hAnsi="宋体" w:eastAsia="仿宋_GB2312" w:cs="宋体"/>
                <w:kern w:val="0"/>
                <w:szCs w:val="21"/>
              </w:rPr>
              <w:t>分）</w:t>
            </w: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完成统战理论报告</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微软雅黑" w:hAnsi="微软雅黑" w:eastAsia="微软雅黑" w:cs="宋体"/>
                <w:kern w:val="0"/>
                <w:szCs w:val="21"/>
              </w:rPr>
              <w:t>≥</w:t>
            </w:r>
            <w:r>
              <w:rPr>
                <w:rFonts w:hint="eastAsia" w:ascii="仿宋_GB2312" w:hAnsi="宋体" w:eastAsia="仿宋_GB2312" w:cs="宋体"/>
                <w:kern w:val="0"/>
                <w:szCs w:val="21"/>
              </w:rPr>
              <w:t>18篇</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微软雅黑" w:hAnsi="微软雅黑" w:eastAsia="微软雅黑" w:cs="宋体"/>
                <w:kern w:val="0"/>
                <w:szCs w:val="21"/>
              </w:rPr>
              <w:t>≥2</w:t>
            </w:r>
            <w:r>
              <w:rPr>
                <w:rFonts w:ascii="微软雅黑" w:hAnsi="微软雅黑" w:eastAsia="微软雅黑" w:cs="宋体"/>
                <w:kern w:val="0"/>
                <w:szCs w:val="21"/>
              </w:rPr>
              <w:t>0</w:t>
            </w:r>
            <w:r>
              <w:rPr>
                <w:rFonts w:hint="eastAsia" w:ascii="仿宋_GB2312" w:hAnsi="宋体" w:eastAsia="仿宋_GB2312" w:cs="宋体"/>
                <w:kern w:val="0"/>
                <w:szCs w:val="21"/>
              </w:rPr>
              <w:t>篇</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561" w:hRule="exact"/>
          <w:jc w:val="center"/>
        </w:trPr>
        <w:tc>
          <w:tcPr>
            <w:tcW w:w="5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完成民革市委视频制作</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微软雅黑" w:hAnsi="微软雅黑" w:eastAsia="微软雅黑" w:cs="宋体"/>
                <w:kern w:val="0"/>
                <w:szCs w:val="21"/>
              </w:rPr>
              <w:t>≥</w:t>
            </w:r>
            <w:r>
              <w:rPr>
                <w:rFonts w:hint="eastAsia" w:ascii="仿宋_GB2312" w:hAnsi="宋体" w:eastAsia="仿宋_GB2312" w:cs="宋体"/>
                <w:kern w:val="0"/>
                <w:szCs w:val="21"/>
              </w:rPr>
              <w:t>4部</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10</w:t>
            </w:r>
            <w:r>
              <w:rPr>
                <w:rFonts w:hint="eastAsia" w:ascii="仿宋_GB2312" w:hAnsi="宋体" w:eastAsia="仿宋_GB2312" w:cs="宋体"/>
                <w:kern w:val="0"/>
                <w:szCs w:val="21"/>
              </w:rPr>
              <w:t>部</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623" w:hRule="exact"/>
          <w:jc w:val="center"/>
        </w:trPr>
        <w:tc>
          <w:tcPr>
            <w:tcW w:w="5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完成宣传工作相关会议和活动</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8次</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10</w:t>
            </w:r>
            <w:r>
              <w:rPr>
                <w:rFonts w:hint="eastAsia" w:ascii="仿宋_GB2312" w:hAnsi="宋体" w:eastAsia="仿宋_GB2312" w:cs="宋体"/>
                <w:kern w:val="0"/>
                <w:szCs w:val="21"/>
              </w:rPr>
              <w:t>次</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3</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562" w:hRule="exact"/>
          <w:jc w:val="center"/>
        </w:trPr>
        <w:tc>
          <w:tcPr>
            <w:tcW w:w="5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完成特色活动</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11次</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1</w:t>
            </w:r>
            <w:r>
              <w:rPr>
                <w:rFonts w:hint="eastAsia" w:ascii="仿宋_GB2312" w:hAnsi="宋体" w:eastAsia="仿宋_GB2312" w:cs="宋体"/>
                <w:kern w:val="0"/>
                <w:szCs w:val="21"/>
              </w:rPr>
              <w:t>次</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578" w:hRule="exact"/>
          <w:jc w:val="center"/>
        </w:trPr>
        <w:tc>
          <w:tcPr>
            <w:tcW w:w="5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质量指标（1</w:t>
            </w:r>
            <w:r>
              <w:rPr>
                <w:rFonts w:ascii="仿宋_GB2312" w:hAnsi="宋体" w:eastAsia="仿宋_GB2312" w:cs="宋体"/>
                <w:kern w:val="0"/>
                <w:szCs w:val="21"/>
              </w:rPr>
              <w:t>5</w:t>
            </w:r>
            <w:r>
              <w:rPr>
                <w:rFonts w:hint="eastAsia" w:ascii="仿宋_GB2312" w:hAnsi="宋体" w:eastAsia="仿宋_GB2312" w:cs="宋体"/>
                <w:kern w:val="0"/>
                <w:szCs w:val="21"/>
              </w:rPr>
              <w:t>分）</w:t>
            </w: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提高宣传教育水平</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有所提升</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有所提升</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572" w:hRule="exact"/>
          <w:jc w:val="center"/>
        </w:trPr>
        <w:tc>
          <w:tcPr>
            <w:tcW w:w="5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提高调研水平</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有所提升</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有所提升</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424" w:hRule="exact"/>
          <w:jc w:val="center"/>
        </w:trPr>
        <w:tc>
          <w:tcPr>
            <w:tcW w:w="5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增强参政议政能力</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有所提升</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有所提升</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557" w:hRule="exact"/>
          <w:jc w:val="center"/>
        </w:trPr>
        <w:tc>
          <w:tcPr>
            <w:tcW w:w="5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加强宣传队伍建设</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有所提升</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有所提升</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1085" w:hRule="exact"/>
          <w:jc w:val="center"/>
        </w:trPr>
        <w:tc>
          <w:tcPr>
            <w:tcW w:w="5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时效指标（1</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按计划时限全部完成</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w:t>
            </w:r>
            <w:r>
              <w:rPr>
                <w:rFonts w:hint="eastAsia" w:ascii="仿宋_GB2312" w:hAnsi="宋体" w:eastAsia="仿宋_GB2312" w:cs="宋体"/>
                <w:kern w:val="0"/>
                <w:szCs w:val="21"/>
              </w:rPr>
              <w:t>12月份</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12月份</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1149" w:hRule="exact"/>
          <w:jc w:val="center"/>
        </w:trPr>
        <w:tc>
          <w:tcPr>
            <w:tcW w:w="5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成本指标（1</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预算控制数</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25.802万元</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21.01万元</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8.1</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部分活动受疫情影响未开展</w:t>
            </w:r>
          </w:p>
        </w:tc>
      </w:tr>
      <w:tr>
        <w:tblPrEx>
          <w:tblLayout w:type="fixed"/>
          <w:tblCellMar>
            <w:top w:w="0" w:type="dxa"/>
            <w:left w:w="108" w:type="dxa"/>
            <w:bottom w:w="0" w:type="dxa"/>
            <w:right w:w="108" w:type="dxa"/>
          </w:tblCellMar>
        </w:tblPrEx>
        <w:trPr>
          <w:trHeight w:val="2185" w:hRule="exact"/>
          <w:jc w:val="center"/>
        </w:trPr>
        <w:tc>
          <w:tcPr>
            <w:tcW w:w="5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效益指标（2</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指标（1</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进一步加强民革市委各级组织的宣传队伍建设，增强各级宣传干部的政治素质，提高业务能力，提高民革市委的思想宣传工作水平</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贯彻落实民革中央部署，提高政治站位，筑牢新时代团结奋斗的共同思想政治基础</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强化民革市委宣传阵地的作用和影响力，提升民革市委统战理论水平，为首都统战理论研究贡献力量</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9</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因疫情影响，部分工作无法开展</w:t>
            </w:r>
          </w:p>
        </w:tc>
      </w:tr>
      <w:tr>
        <w:tblPrEx>
          <w:tblLayout w:type="fixed"/>
          <w:tblCellMar>
            <w:top w:w="0" w:type="dxa"/>
            <w:left w:w="108" w:type="dxa"/>
            <w:bottom w:w="0" w:type="dxa"/>
            <w:right w:w="108" w:type="dxa"/>
          </w:tblCellMar>
        </w:tblPrEx>
        <w:trPr>
          <w:trHeight w:val="2192" w:hRule="exact"/>
          <w:jc w:val="center"/>
        </w:trPr>
        <w:tc>
          <w:tcPr>
            <w:tcW w:w="5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可持续影响指标</w:t>
            </w: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提升民革市委统战理论水平，为首都统战理论研究贡献力量</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调动广大党员履行参政党职能的积极性，更好地履行参政党职能</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加强思想政治引领，增强凝聚力和向心力，助力新时代首都发展</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9</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调动广大党员履行参政党职能的积极性，更好地履行参政党职能</w:t>
            </w:r>
          </w:p>
        </w:tc>
      </w:tr>
      <w:tr>
        <w:tblPrEx>
          <w:tblLayout w:type="fixed"/>
          <w:tblCellMar>
            <w:top w:w="0" w:type="dxa"/>
            <w:left w:w="108" w:type="dxa"/>
            <w:bottom w:w="0" w:type="dxa"/>
            <w:right w:w="108" w:type="dxa"/>
          </w:tblCellMar>
        </w:tblPrEx>
        <w:trPr>
          <w:trHeight w:val="1711" w:hRule="exact"/>
          <w:jc w:val="center"/>
        </w:trPr>
        <w:tc>
          <w:tcPr>
            <w:tcW w:w="5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指标（2</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w:t>
            </w:r>
            <w:r>
              <w:rPr>
                <w:rFonts w:hint="eastAsia" w:ascii="仿宋_GB2312" w:hAnsi="宋体" w:eastAsia="仿宋_GB2312" w:cs="宋体"/>
                <w:kern w:val="0"/>
                <w:szCs w:val="21"/>
                <w:lang w:eastAsia="zh-CN"/>
              </w:rPr>
              <w:t>指标</w:t>
            </w:r>
            <w:r>
              <w:rPr>
                <w:rFonts w:hint="eastAsia" w:ascii="仿宋_GB2312" w:hAnsi="宋体" w:eastAsia="仿宋_GB2312" w:cs="宋体"/>
                <w:kern w:val="0"/>
                <w:szCs w:val="21"/>
              </w:rPr>
              <w:t>（2</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198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党员满意度</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&gt;80%</w:t>
            </w:r>
          </w:p>
        </w:tc>
        <w:tc>
          <w:tcPr>
            <w:tcW w:w="14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&gt;80%</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8</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仍有进一步提升党员满意度的空间</w:t>
            </w:r>
          </w:p>
        </w:tc>
      </w:tr>
      <w:tr>
        <w:tblPrEx>
          <w:tblLayout w:type="fixed"/>
          <w:tblCellMar>
            <w:top w:w="0" w:type="dxa"/>
            <w:left w:w="108" w:type="dxa"/>
            <w:bottom w:w="0" w:type="dxa"/>
            <w:right w:w="108" w:type="dxa"/>
          </w:tblCellMar>
        </w:tblPrEx>
        <w:trPr>
          <w:trHeight w:val="477" w:hRule="exact"/>
          <w:jc w:val="center"/>
        </w:trPr>
        <w:tc>
          <w:tcPr>
            <w:tcW w:w="6658"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70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92.2</w:t>
            </w:r>
          </w:p>
        </w:tc>
        <w:tc>
          <w:tcPr>
            <w:tcW w:w="9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黑体_GBK">
    <w:altName w:val="黑体"/>
    <w:panose1 w:val="00000000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B4A"/>
    <w:rsid w:val="00026744"/>
    <w:rsid w:val="00097CC9"/>
    <w:rsid w:val="000C0A60"/>
    <w:rsid w:val="00137B4A"/>
    <w:rsid w:val="003A18D0"/>
    <w:rsid w:val="00476CBB"/>
    <w:rsid w:val="004C5C11"/>
    <w:rsid w:val="004E73BD"/>
    <w:rsid w:val="00512D55"/>
    <w:rsid w:val="00513C92"/>
    <w:rsid w:val="006B0709"/>
    <w:rsid w:val="007800D9"/>
    <w:rsid w:val="009C4B9F"/>
    <w:rsid w:val="009E6B89"/>
    <w:rsid w:val="00A2339F"/>
    <w:rsid w:val="00B01CFB"/>
    <w:rsid w:val="00B302EB"/>
    <w:rsid w:val="00B35B7D"/>
    <w:rsid w:val="00BE6F3A"/>
    <w:rsid w:val="00C23C3D"/>
    <w:rsid w:val="00C77663"/>
    <w:rsid w:val="00C805E3"/>
    <w:rsid w:val="00D62997"/>
    <w:rsid w:val="00E32A5B"/>
    <w:rsid w:val="00E36DA3"/>
    <w:rsid w:val="00E83957"/>
    <w:rsid w:val="00EF30BE"/>
    <w:rsid w:val="00F23411"/>
    <w:rsid w:val="00F431E5"/>
    <w:rsid w:val="00F630D8"/>
    <w:rsid w:val="00FB62A0"/>
    <w:rsid w:val="279E0C30"/>
    <w:rsid w:val="636C6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321</Words>
  <Characters>1832</Characters>
  <Lines>15</Lines>
  <Paragraphs>4</Paragraphs>
  <TotalTime>70</TotalTime>
  <ScaleCrop>false</ScaleCrop>
  <LinksUpToDate>false</LinksUpToDate>
  <CharactersWithSpaces>2149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2022-05-18T10:49:00Z</dcterms:created>
  <dc:creator>jscxwj@sina.com</dc:creator>
  <cp:lastModifiedBy>lenovo</cp:lastModifiedBy>
  <dcterms:modified xsi:type="dcterms:W3CDTF">2022-08-16T02:00:38Z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