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2021</w:t>
      </w:r>
      <w:r>
        <w:rPr>
          <w:rFonts w:hint="eastAsia" w:ascii="仿宋_GB2312" w:hAnsi="宋体" w:eastAsia="仿宋_GB2312"/>
          <w:sz w:val="28"/>
          <w:szCs w:val="28"/>
        </w:rPr>
        <w:t>年度）</w:t>
      </w:r>
    </w:p>
    <w:p>
      <w:pPr>
        <w:spacing w:line="240" w:lineRule="exact"/>
        <w:rPr>
          <w:rFonts w:ascii="仿宋_GB2312" w:hAnsi="宋体" w:eastAsia="仿宋_GB2312"/>
          <w:sz w:val="30"/>
          <w:szCs w:val="30"/>
        </w:rPr>
      </w:pPr>
    </w:p>
    <w:tbl>
      <w:tblPr>
        <w:tblStyle w:val="4"/>
        <w:tblW w:w="9038" w:type="dxa"/>
        <w:jc w:val="center"/>
        <w:tblInd w:w="0" w:type="dxa"/>
        <w:tblLayout w:type="fixed"/>
        <w:tblCellMar>
          <w:top w:w="0" w:type="dxa"/>
          <w:left w:w="108" w:type="dxa"/>
          <w:bottom w:w="0" w:type="dxa"/>
          <w:right w:w="108" w:type="dxa"/>
        </w:tblCellMar>
      </w:tblPr>
      <w:tblGrid>
        <w:gridCol w:w="585"/>
        <w:gridCol w:w="477"/>
        <w:gridCol w:w="708"/>
        <w:gridCol w:w="1622"/>
        <w:gridCol w:w="289"/>
        <w:gridCol w:w="567"/>
        <w:gridCol w:w="850"/>
        <w:gridCol w:w="1560"/>
        <w:gridCol w:w="708"/>
        <w:gridCol w:w="116"/>
        <w:gridCol w:w="593"/>
        <w:gridCol w:w="253"/>
        <w:gridCol w:w="710"/>
      </w:tblGrid>
      <w:tr>
        <w:tblPrEx>
          <w:tblLayout w:type="fixed"/>
          <w:tblCellMar>
            <w:top w:w="0" w:type="dxa"/>
            <w:left w:w="108" w:type="dxa"/>
            <w:bottom w:w="0" w:type="dxa"/>
            <w:right w:w="108" w:type="dxa"/>
          </w:tblCellMar>
        </w:tblPrEx>
        <w:trPr>
          <w:trHeight w:val="306" w:hRule="exact"/>
          <w:jc w:val="center"/>
        </w:trPr>
        <w:tc>
          <w:tcPr>
            <w:tcW w:w="106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976"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“民革党员之家”建设经费</w:t>
            </w:r>
          </w:p>
        </w:tc>
      </w:tr>
      <w:tr>
        <w:tblPrEx>
          <w:tblLayout w:type="fixed"/>
          <w:tblCellMar>
            <w:top w:w="0" w:type="dxa"/>
            <w:left w:w="108" w:type="dxa"/>
            <w:bottom w:w="0" w:type="dxa"/>
            <w:right w:w="108" w:type="dxa"/>
          </w:tblCellMar>
        </w:tblPrEx>
        <w:trPr>
          <w:trHeight w:val="529" w:hRule="exact"/>
          <w:jc w:val="center"/>
        </w:trPr>
        <w:tc>
          <w:tcPr>
            <w:tcW w:w="106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3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中国国民党革命委员会北京市委员会</w:t>
            </w:r>
          </w:p>
        </w:tc>
        <w:tc>
          <w:tcPr>
            <w:tcW w:w="156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38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中国国民党革命委员会北京市委员会（本级））</w:t>
            </w:r>
          </w:p>
        </w:tc>
      </w:tr>
      <w:tr>
        <w:tblPrEx>
          <w:tblLayout w:type="fixed"/>
          <w:tblCellMar>
            <w:top w:w="0" w:type="dxa"/>
            <w:left w:w="108" w:type="dxa"/>
            <w:bottom w:w="0" w:type="dxa"/>
            <w:right w:w="108" w:type="dxa"/>
          </w:tblCellMar>
        </w:tblPrEx>
        <w:trPr>
          <w:trHeight w:val="306" w:hRule="exact"/>
          <w:jc w:val="center"/>
        </w:trPr>
        <w:tc>
          <w:tcPr>
            <w:tcW w:w="106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3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蒋耘晨</w:t>
            </w:r>
          </w:p>
        </w:tc>
        <w:tc>
          <w:tcPr>
            <w:tcW w:w="156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38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r>
              <w:rPr>
                <w:rFonts w:ascii="仿宋_GB2312" w:hAnsi="宋体" w:eastAsia="仿宋_GB2312" w:cs="宋体"/>
                <w:kern w:val="0"/>
                <w:szCs w:val="21"/>
              </w:rPr>
              <w:t>2218189</w:t>
            </w:r>
          </w:p>
        </w:tc>
      </w:tr>
      <w:tr>
        <w:tblPrEx>
          <w:tblLayout w:type="fixed"/>
          <w:tblCellMar>
            <w:top w:w="0" w:type="dxa"/>
            <w:left w:w="108" w:type="dxa"/>
            <w:bottom w:w="0" w:type="dxa"/>
            <w:right w:w="108" w:type="dxa"/>
          </w:tblCellMar>
        </w:tblPrEx>
        <w:trPr>
          <w:trHeight w:val="672" w:hRule="exact"/>
          <w:jc w:val="center"/>
        </w:trPr>
        <w:tc>
          <w:tcPr>
            <w:tcW w:w="1062"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233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5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56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82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Layout w:type="fixed"/>
          <w:tblCellMar>
            <w:top w:w="0" w:type="dxa"/>
            <w:left w:w="108" w:type="dxa"/>
            <w:bottom w:w="0" w:type="dxa"/>
            <w:right w:w="108" w:type="dxa"/>
          </w:tblCellMar>
        </w:tblPrEx>
        <w:trPr>
          <w:trHeight w:val="306" w:hRule="exact"/>
          <w:jc w:val="center"/>
        </w:trPr>
        <w:tc>
          <w:tcPr>
            <w:tcW w:w="10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33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85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6.73</w:t>
            </w:r>
          </w:p>
        </w:tc>
        <w:tc>
          <w:tcPr>
            <w:tcW w:w="156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4.73</w:t>
            </w:r>
          </w:p>
        </w:tc>
        <w:tc>
          <w:tcPr>
            <w:tcW w:w="82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r>
      <w:tr>
        <w:tblPrEx>
          <w:tblLayout w:type="fixed"/>
          <w:tblCellMar>
            <w:top w:w="0" w:type="dxa"/>
            <w:left w:w="108" w:type="dxa"/>
            <w:bottom w:w="0" w:type="dxa"/>
            <w:right w:w="108" w:type="dxa"/>
          </w:tblCellMar>
        </w:tblPrEx>
        <w:trPr>
          <w:trHeight w:val="601" w:hRule="exact"/>
          <w:jc w:val="center"/>
        </w:trPr>
        <w:tc>
          <w:tcPr>
            <w:tcW w:w="10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33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其中：当年财政拨款</w:t>
            </w:r>
          </w:p>
        </w:tc>
        <w:tc>
          <w:tcPr>
            <w:tcW w:w="85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6.73</w:t>
            </w:r>
          </w:p>
        </w:tc>
        <w:tc>
          <w:tcPr>
            <w:tcW w:w="156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4.73</w:t>
            </w:r>
          </w:p>
        </w:tc>
        <w:tc>
          <w:tcPr>
            <w:tcW w:w="82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425" w:hRule="exact"/>
          <w:jc w:val="center"/>
        </w:trPr>
        <w:tc>
          <w:tcPr>
            <w:tcW w:w="10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33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85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56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2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431" w:hRule="exact"/>
          <w:jc w:val="center"/>
        </w:trPr>
        <w:tc>
          <w:tcPr>
            <w:tcW w:w="10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33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85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56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2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4513"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94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Layout w:type="fixed"/>
          <w:tblCellMar>
            <w:top w:w="0" w:type="dxa"/>
            <w:left w:w="108" w:type="dxa"/>
            <w:bottom w:w="0" w:type="dxa"/>
            <w:right w:w="108" w:type="dxa"/>
          </w:tblCellMar>
        </w:tblPrEx>
        <w:trPr>
          <w:trHeight w:val="3564"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513" w:type="dxa"/>
            <w:gridSpan w:val="6"/>
            <w:tcBorders>
              <w:top w:val="single" w:color="auto" w:sz="4" w:space="0"/>
              <w:left w:val="nil"/>
              <w:bottom w:val="single" w:color="auto" w:sz="4" w:space="0"/>
              <w:right w:val="single" w:color="auto" w:sz="4" w:space="0"/>
            </w:tcBorders>
            <w:vAlign w:val="center"/>
          </w:tcPr>
          <w:p>
            <w:pPr>
              <w:widowControl/>
              <w:spacing w:line="240" w:lineRule="exact"/>
              <w:ind w:firstLine="420" w:firstLineChars="200"/>
              <w:jc w:val="left"/>
              <w:rPr>
                <w:rFonts w:ascii="仿宋_GB2312" w:hAnsi="宋体" w:eastAsia="仿宋_GB2312" w:cs="宋体"/>
                <w:kern w:val="0"/>
                <w:szCs w:val="21"/>
              </w:rPr>
            </w:pPr>
            <w:r>
              <w:rPr>
                <w:rFonts w:hint="eastAsia" w:ascii="仿宋_GB2312" w:hAnsi="宋体" w:eastAsia="仿宋_GB2312" w:cs="宋体"/>
                <w:kern w:val="0"/>
                <w:szCs w:val="21"/>
              </w:rPr>
              <w:t>通过“民革党员之家”进一步加强基层组织建设及党员思想政治建设，更好地满足党员学习、交流、履职等组织活动，打造党员的精神家园，提升党员的组织归属感，激发党员的自豪感，营造出“家”的温暖。同时，借助“家”的力量，搭建民革党员参政议政的平台，从而加强党员之间思想情感的沟通与交流，强化思想教育、夯实政治共识、凝聚人心力量、展示民革形象、锻炼人才队伍，画出最大的同心圆。使“民革党员之家”成为民革党员加强思想政治建设，凝聚党员力量，发挥参政党作用，展示民革作为参政党的良好形象的重要窗口。</w:t>
            </w:r>
          </w:p>
        </w:tc>
        <w:tc>
          <w:tcPr>
            <w:tcW w:w="3940" w:type="dxa"/>
            <w:gridSpan w:val="6"/>
            <w:tcBorders>
              <w:top w:val="single" w:color="auto" w:sz="4" w:space="0"/>
              <w:left w:val="nil"/>
              <w:bottom w:val="single" w:color="auto" w:sz="4" w:space="0"/>
              <w:right w:val="single" w:color="auto" w:sz="4" w:space="0"/>
            </w:tcBorders>
            <w:vAlign w:val="center"/>
          </w:tcPr>
          <w:p>
            <w:pPr>
              <w:widowControl/>
              <w:spacing w:line="240" w:lineRule="exact"/>
              <w:ind w:firstLine="420" w:firstLineChars="200"/>
              <w:jc w:val="left"/>
              <w:rPr>
                <w:rFonts w:ascii="仿宋_GB2312" w:hAnsi="宋体" w:eastAsia="仿宋_GB2312" w:cs="宋体"/>
                <w:kern w:val="0"/>
                <w:szCs w:val="21"/>
              </w:rPr>
            </w:pPr>
            <w:r>
              <w:rPr>
                <w:rFonts w:hint="eastAsia" w:ascii="仿宋_GB2312" w:hAnsi="宋体" w:eastAsia="仿宋_GB2312" w:cs="宋体"/>
                <w:kern w:val="0"/>
                <w:szCs w:val="21"/>
              </w:rPr>
              <w:t xml:space="preserve"> “民革党员之家”成为了民革组织开展思想政治教育的阵地，履行民革职能的基地，组织党员活动的园地。成为展示风采的重要窗口、服务当地经济社会发展的有效平台。</w:t>
            </w:r>
          </w:p>
        </w:tc>
      </w:tr>
      <w:tr>
        <w:tblPrEx>
          <w:tblLayout w:type="fixed"/>
          <w:tblCellMar>
            <w:top w:w="0" w:type="dxa"/>
            <w:left w:w="108" w:type="dxa"/>
            <w:bottom w:w="0" w:type="dxa"/>
            <w:right w:w="108" w:type="dxa"/>
          </w:tblCellMar>
        </w:tblPrEx>
        <w:trPr>
          <w:trHeight w:val="973"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47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191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15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7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偏差原因分析及改进措施</w:t>
            </w:r>
          </w:p>
        </w:tc>
      </w:tr>
      <w:tr>
        <w:tblPrEx>
          <w:tblLayout w:type="fixed"/>
          <w:tblCellMar>
            <w:top w:w="0" w:type="dxa"/>
            <w:left w:w="108" w:type="dxa"/>
            <w:bottom w:w="0" w:type="dxa"/>
            <w:right w:w="108" w:type="dxa"/>
          </w:tblCellMar>
        </w:tblPrEx>
        <w:trPr>
          <w:trHeight w:val="58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7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产出指标（5</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5</w:t>
            </w:r>
            <w:r>
              <w:rPr>
                <w:rFonts w:hint="eastAsia" w:ascii="仿宋_GB2312" w:hAnsi="宋体" w:eastAsia="仿宋_GB2312" w:cs="宋体"/>
                <w:kern w:val="0"/>
                <w:szCs w:val="21"/>
              </w:rPr>
              <w:t>分）</w:t>
            </w:r>
          </w:p>
        </w:tc>
        <w:tc>
          <w:tcPr>
            <w:tcW w:w="19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组织会议部署工作</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2次</w:t>
            </w:r>
          </w:p>
        </w:tc>
        <w:tc>
          <w:tcPr>
            <w:tcW w:w="15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2次</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7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52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7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市内“民革党员之家”调研</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1次</w:t>
            </w:r>
          </w:p>
        </w:tc>
        <w:tc>
          <w:tcPr>
            <w:tcW w:w="15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1次</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7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54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7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拍摄“党员之家”视频</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5</w:t>
            </w:r>
          </w:p>
        </w:tc>
        <w:tc>
          <w:tcPr>
            <w:tcW w:w="15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5</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7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56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7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5</w:t>
            </w:r>
            <w:r>
              <w:rPr>
                <w:rFonts w:hint="eastAsia" w:ascii="仿宋_GB2312" w:hAnsi="宋体" w:eastAsia="仿宋_GB2312" w:cs="宋体"/>
                <w:kern w:val="0"/>
                <w:szCs w:val="21"/>
              </w:rPr>
              <w:t>分）</w:t>
            </w:r>
          </w:p>
        </w:tc>
        <w:tc>
          <w:tcPr>
            <w:tcW w:w="19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满足党员学习、交流活动</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效果明显</w:t>
            </w:r>
          </w:p>
        </w:tc>
        <w:tc>
          <w:tcPr>
            <w:tcW w:w="15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效果明显</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7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65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7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满足党员履职组织活动</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效果明显</w:t>
            </w:r>
          </w:p>
        </w:tc>
        <w:tc>
          <w:tcPr>
            <w:tcW w:w="15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效果明显</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7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98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7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19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按照年度工作时限要求完成</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w:t>
            </w:r>
            <w:r>
              <w:rPr>
                <w:rFonts w:hint="eastAsia" w:ascii="仿宋_GB2312" w:hAnsi="宋体" w:eastAsia="仿宋_GB2312" w:cs="宋体"/>
                <w:kern w:val="0"/>
                <w:szCs w:val="21"/>
              </w:rPr>
              <w:t>12月份</w:t>
            </w:r>
          </w:p>
        </w:tc>
        <w:tc>
          <w:tcPr>
            <w:tcW w:w="15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w:t>
            </w:r>
            <w:r>
              <w:rPr>
                <w:rFonts w:hint="eastAsia" w:ascii="仿宋_GB2312" w:hAnsi="宋体" w:eastAsia="仿宋_GB2312" w:cs="宋体"/>
                <w:kern w:val="0"/>
                <w:szCs w:val="21"/>
              </w:rPr>
              <w:t>12月份</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7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120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7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19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预算控制数</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6.73万元</w:t>
            </w:r>
          </w:p>
        </w:tc>
        <w:tc>
          <w:tcPr>
            <w:tcW w:w="15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4.73万元</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7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疫情原因部分工作无法开展</w:t>
            </w:r>
          </w:p>
        </w:tc>
      </w:tr>
      <w:tr>
        <w:tblPrEx>
          <w:tblLayout w:type="fixed"/>
          <w:tblCellMar>
            <w:top w:w="0" w:type="dxa"/>
            <w:left w:w="108" w:type="dxa"/>
            <w:bottom w:w="0" w:type="dxa"/>
            <w:right w:w="108" w:type="dxa"/>
          </w:tblCellMar>
        </w:tblPrEx>
        <w:trPr>
          <w:trHeight w:val="311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7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效益指标（2</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19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为党员提供学习、交流、参政履职、思想教育的场所，提高党员的自豪感，为发展建言献策，提供高质量的成果报告</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ascii="仿宋_GB2312" w:hAnsi="宋体" w:eastAsia="仿宋_GB2312" w:cs="宋体"/>
                <w:kern w:val="0"/>
                <w:szCs w:val="21"/>
              </w:rPr>
              <w:t>强化“民革党员之家”阵地、基地、园地功能作用，</w:t>
            </w:r>
            <w:r>
              <w:rPr>
                <w:rFonts w:hint="eastAsia" w:ascii="仿宋_GB2312" w:hAnsi="宋体" w:eastAsia="仿宋_GB2312" w:cs="宋体"/>
                <w:kern w:val="0"/>
                <w:szCs w:val="21"/>
              </w:rPr>
              <w:t>使“民革党员之家”成为党员思想政治建设的阵地，参政履职的基地，党员活动的园地</w:t>
            </w:r>
          </w:p>
        </w:tc>
        <w:tc>
          <w:tcPr>
            <w:tcW w:w="1560" w:type="dxa"/>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发挥</w:t>
            </w:r>
            <w:r>
              <w:rPr>
                <w:rFonts w:hint="eastAsia" w:ascii="仿宋_GB2312" w:hAnsi="宋体" w:eastAsia="仿宋_GB2312" w:cs="宋体"/>
                <w:kern w:val="0"/>
                <w:szCs w:val="21"/>
              </w:rPr>
              <w:t>“</w:t>
            </w:r>
            <w:r>
              <w:rPr>
                <w:rFonts w:ascii="仿宋_GB2312" w:hAnsi="宋体" w:eastAsia="仿宋_GB2312" w:cs="宋体"/>
                <w:kern w:val="0"/>
                <w:szCs w:val="21"/>
              </w:rPr>
              <w:t>民革党员之家</w:t>
            </w:r>
            <w:r>
              <w:rPr>
                <w:rFonts w:hint="eastAsia" w:ascii="仿宋_GB2312" w:hAnsi="宋体" w:eastAsia="仿宋_GB2312" w:cs="宋体"/>
                <w:kern w:val="0"/>
                <w:szCs w:val="21"/>
              </w:rPr>
              <w:t>”</w:t>
            </w:r>
            <w:r>
              <w:rPr>
                <w:rFonts w:hint="eastAsia" w:ascii="仿宋_GB2312" w:hAnsi="宋体" w:eastAsia="仿宋_GB2312" w:cs="宋体"/>
                <w:color w:val="000000"/>
                <w:kern w:val="0"/>
                <w:szCs w:val="21"/>
              </w:rPr>
              <w:t>的作用，增强了党员的归属感和认同感</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7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9</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疫情原因部分工作无法开展</w:t>
            </w:r>
          </w:p>
        </w:tc>
      </w:tr>
      <w:tr>
        <w:tblPrEx>
          <w:tblLayout w:type="fixed"/>
          <w:tblCellMar>
            <w:top w:w="0" w:type="dxa"/>
            <w:left w:w="108" w:type="dxa"/>
            <w:bottom w:w="0" w:type="dxa"/>
            <w:right w:w="108" w:type="dxa"/>
          </w:tblCellMar>
        </w:tblPrEx>
        <w:trPr>
          <w:trHeight w:val="481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bookmarkStart w:id="0" w:name="_Hlk102500866"/>
          </w:p>
        </w:tc>
        <w:tc>
          <w:tcPr>
            <w:tcW w:w="47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可持续影响指标（1</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19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推动全市民革党员深入学习贯彻落实《中共中央关于加强中国特色社会主义参政党建设的意见》等三个文件精神，深入学习贯彻落实民革中央的有关部署，增强“四个意识”，坚定“四个自信”，做到“两个维护”，积极践行“四新”“三好”要求，切实加强自身建设，进一步弘扬民革优良传统，努力把中国特色社会主义参政党建设提高到新水平</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kern w:val="0"/>
                <w:szCs w:val="21"/>
              </w:rPr>
              <w:t>“</w:t>
            </w:r>
            <w:r>
              <w:rPr>
                <w:rFonts w:ascii="仿宋_GB2312" w:hAnsi="宋体" w:eastAsia="仿宋_GB2312" w:cs="宋体"/>
                <w:kern w:val="0"/>
                <w:szCs w:val="21"/>
              </w:rPr>
              <w:t>民革党员之家</w:t>
            </w:r>
            <w:r>
              <w:rPr>
                <w:rFonts w:hint="eastAsia" w:ascii="仿宋_GB2312" w:hAnsi="宋体" w:eastAsia="仿宋_GB2312" w:cs="宋体"/>
                <w:kern w:val="0"/>
                <w:szCs w:val="21"/>
              </w:rPr>
              <w:t>”</w:t>
            </w:r>
            <w:r>
              <w:rPr>
                <w:rFonts w:hint="eastAsia" w:ascii="仿宋_GB2312" w:hAnsi="宋体" w:eastAsia="仿宋_GB2312" w:cs="宋体"/>
                <w:color w:val="000000"/>
                <w:kern w:val="0"/>
                <w:szCs w:val="21"/>
              </w:rPr>
              <w:t>作为展示民革形象的窗口，搭建党员参政议政，建言献策的工作交流平台，更好地为发展建言献策</w:t>
            </w:r>
          </w:p>
        </w:tc>
        <w:tc>
          <w:tcPr>
            <w:tcW w:w="15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kern w:val="0"/>
                <w:szCs w:val="21"/>
              </w:rPr>
              <w:t>“</w:t>
            </w:r>
            <w:r>
              <w:rPr>
                <w:rFonts w:ascii="仿宋_GB2312" w:hAnsi="宋体" w:eastAsia="仿宋_GB2312" w:cs="宋体"/>
                <w:kern w:val="0"/>
                <w:szCs w:val="21"/>
              </w:rPr>
              <w:t>民革党员之家</w:t>
            </w:r>
            <w:r>
              <w:rPr>
                <w:rFonts w:hint="eastAsia" w:ascii="仿宋_GB2312" w:hAnsi="宋体" w:eastAsia="仿宋_GB2312" w:cs="宋体"/>
                <w:kern w:val="0"/>
                <w:szCs w:val="21"/>
              </w:rPr>
              <w:t>”</w:t>
            </w:r>
            <w:r>
              <w:rPr>
                <w:rFonts w:hint="eastAsia" w:ascii="仿宋_GB2312" w:hAnsi="宋体" w:eastAsia="仿宋_GB2312" w:cs="宋体"/>
                <w:color w:val="000000"/>
                <w:kern w:val="0"/>
                <w:szCs w:val="21"/>
              </w:rPr>
              <w:t>打造成凝聚思想共识的平台，参政议政的基地和服务社会的平台，扩大民革影响力，激发党员责任感，引导党员不断增进对中国共产党领导和中国特色社会主义的政治认同、</w:t>
            </w:r>
            <w:r>
              <w:rPr>
                <w:rFonts w:hint="eastAsia" w:ascii="仿宋_GB2312" w:hAnsi="宋体" w:eastAsia="仿宋_GB2312" w:cs="宋体"/>
                <w:kern w:val="0"/>
                <w:szCs w:val="21"/>
              </w:rPr>
              <w:t>思想认同、理论认同、情感认同</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7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9</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疫情原因部分工作无法开展</w:t>
            </w:r>
          </w:p>
        </w:tc>
      </w:tr>
      <w:bookmarkEnd w:id="0"/>
      <w:tr>
        <w:tblPrEx>
          <w:tblLayout w:type="fixed"/>
          <w:tblCellMar>
            <w:top w:w="0" w:type="dxa"/>
            <w:left w:w="108" w:type="dxa"/>
            <w:bottom w:w="0" w:type="dxa"/>
            <w:right w:w="108" w:type="dxa"/>
          </w:tblCellMar>
        </w:tblPrEx>
        <w:trPr>
          <w:trHeight w:val="141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7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指标（2</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rPr>
              <w:t>服务对象满意度</w:t>
            </w:r>
            <w:r>
              <w:rPr>
                <w:rFonts w:hint="eastAsia" w:ascii="仿宋_GB2312" w:hAnsi="宋体" w:eastAsia="仿宋_GB2312" w:cs="宋体"/>
                <w:kern w:val="0"/>
                <w:szCs w:val="21"/>
                <w:lang w:eastAsia="zh-CN"/>
              </w:rPr>
              <w:t>指标</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r>
              <w:rPr>
                <w:rFonts w:hint="eastAsia" w:ascii="仿宋_GB2312" w:hAnsi="宋体" w:eastAsia="仿宋_GB2312" w:cs="宋体"/>
                <w:kern w:val="0"/>
                <w:szCs w:val="21"/>
                <w:lang w:val="en-US" w:eastAsia="zh-CN"/>
              </w:rPr>
              <w:t>2</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19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党员满意度</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&gt;80%</w:t>
            </w:r>
          </w:p>
        </w:tc>
        <w:tc>
          <w:tcPr>
            <w:tcW w:w="15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&gt;80%</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7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8</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将继续努力持续改进</w:t>
            </w:r>
          </w:p>
        </w:tc>
      </w:tr>
      <w:tr>
        <w:tblPrEx>
          <w:tblLayout w:type="fixed"/>
          <w:tblCellMar>
            <w:top w:w="0" w:type="dxa"/>
            <w:left w:w="108" w:type="dxa"/>
            <w:bottom w:w="0" w:type="dxa"/>
            <w:right w:w="108" w:type="dxa"/>
          </w:tblCellMar>
        </w:tblPrEx>
        <w:trPr>
          <w:trHeight w:val="477" w:hRule="exact"/>
          <w:jc w:val="center"/>
        </w:trPr>
        <w:tc>
          <w:tcPr>
            <w:tcW w:w="6658"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7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90</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widowControl/>
        <w:jc w:val="left"/>
        <w:rPr>
          <w:rFonts w:ascii="仿宋_GB2312" w:hAnsi="宋体" w:eastAsia="仿宋_GB2312" w:cs="宋体"/>
          <w:color w:val="000000"/>
          <w:kern w:val="0"/>
          <w:sz w:val="32"/>
          <w:szCs w:val="32"/>
        </w:rPr>
      </w:pPr>
      <w:bookmarkStart w:id="1" w:name="_GoBack"/>
      <w:bookmarkEnd w:id="1"/>
    </w:p>
    <w:sectPr>
      <w:footerReference r:id="rId3" w:type="default"/>
      <w:pgSz w:w="11906" w:h="16838"/>
      <w:pgMar w:top="1871" w:right="1474" w:bottom="1418"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2"/>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2YmM5OGVlNDU2N2FkZDAwOGNjOTEyODE3YmI0MDkifQ=="/>
  </w:docVars>
  <w:rsids>
    <w:rsidRoot w:val="008A5177"/>
    <w:rsid w:val="00046659"/>
    <w:rsid w:val="00074B48"/>
    <w:rsid w:val="00091F4F"/>
    <w:rsid w:val="00092589"/>
    <w:rsid w:val="000E3FE6"/>
    <w:rsid w:val="000E7F31"/>
    <w:rsid w:val="000F2E0E"/>
    <w:rsid w:val="0011403B"/>
    <w:rsid w:val="00122C3F"/>
    <w:rsid w:val="001801F7"/>
    <w:rsid w:val="001C05D7"/>
    <w:rsid w:val="001E5BB6"/>
    <w:rsid w:val="00266376"/>
    <w:rsid w:val="00273314"/>
    <w:rsid w:val="002A7B76"/>
    <w:rsid w:val="00311A5E"/>
    <w:rsid w:val="00387AC3"/>
    <w:rsid w:val="003924C5"/>
    <w:rsid w:val="003F0248"/>
    <w:rsid w:val="003F2725"/>
    <w:rsid w:val="004616D7"/>
    <w:rsid w:val="004B666D"/>
    <w:rsid w:val="004D7165"/>
    <w:rsid w:val="004E07BA"/>
    <w:rsid w:val="005015B1"/>
    <w:rsid w:val="00534497"/>
    <w:rsid w:val="005605C3"/>
    <w:rsid w:val="005E4A0B"/>
    <w:rsid w:val="00641510"/>
    <w:rsid w:val="006838FC"/>
    <w:rsid w:val="0069183D"/>
    <w:rsid w:val="00745BBE"/>
    <w:rsid w:val="00764244"/>
    <w:rsid w:val="007C2614"/>
    <w:rsid w:val="007D2687"/>
    <w:rsid w:val="0086395C"/>
    <w:rsid w:val="008A5177"/>
    <w:rsid w:val="00901FD2"/>
    <w:rsid w:val="009A1EBB"/>
    <w:rsid w:val="00A1676C"/>
    <w:rsid w:val="00AA7EF5"/>
    <w:rsid w:val="00AF2162"/>
    <w:rsid w:val="00B56286"/>
    <w:rsid w:val="00B85A38"/>
    <w:rsid w:val="00BB1543"/>
    <w:rsid w:val="00BC3974"/>
    <w:rsid w:val="00BE518E"/>
    <w:rsid w:val="00C44929"/>
    <w:rsid w:val="00C55467"/>
    <w:rsid w:val="00D275DA"/>
    <w:rsid w:val="00D40D3A"/>
    <w:rsid w:val="00D51C2F"/>
    <w:rsid w:val="00D86772"/>
    <w:rsid w:val="00DA30DC"/>
    <w:rsid w:val="00DB706C"/>
    <w:rsid w:val="00DC6BC2"/>
    <w:rsid w:val="00DF2CBC"/>
    <w:rsid w:val="00E06ED7"/>
    <w:rsid w:val="00E567B8"/>
    <w:rsid w:val="00EA4810"/>
    <w:rsid w:val="0F54113D"/>
    <w:rsid w:val="21DE15F4"/>
    <w:rsid w:val="366A4D9A"/>
    <w:rsid w:val="38507CB5"/>
    <w:rsid w:val="42C73135"/>
    <w:rsid w:val="455547A2"/>
    <w:rsid w:val="48394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238</Words>
  <Characters>1357</Characters>
  <Lines>11</Lines>
  <Paragraphs>3</Paragraphs>
  <TotalTime>0</TotalTime>
  <ScaleCrop>false</ScaleCrop>
  <LinksUpToDate>false</LinksUpToDate>
  <CharactersWithSpaces>1592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2022-05-10T14:48:00Z</dcterms:created>
  <dc:creator>jscxwj@sina.com</dc:creator>
  <cp:lastModifiedBy>lenovo</cp:lastModifiedBy>
  <dcterms:modified xsi:type="dcterms:W3CDTF">2022-08-22T01:39:37Z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26C85F887BB140EB8C32773F24F4BC8A</vt:lpwstr>
  </property>
</Properties>
</file>