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560" w:lineRule="exact"/>
        <w:jc w:val="center"/>
        <w:rPr>
          <w:rFonts w:ascii="方正小标宋简体" w:hAnsi="Leelawadee UI" w:eastAsia="方正小标宋简体" w:cs="Leelawadee UI"/>
          <w:bCs/>
          <w:kern w:val="0"/>
          <w:sz w:val="44"/>
          <w:szCs w:val="28"/>
        </w:rPr>
      </w:pPr>
      <w:r>
        <w:rPr>
          <w:rFonts w:hint="eastAsia" w:ascii="方正小标宋简体" w:hAnsi="Leelawadee UI" w:eastAsia="方正小标宋简体" w:cs="Leelawadee UI"/>
          <w:bCs/>
          <w:kern w:val="0"/>
          <w:sz w:val="44"/>
          <w:szCs w:val="28"/>
        </w:rPr>
        <w:t>北京市体育局2021年</w:t>
      </w:r>
      <w:r>
        <w:rPr>
          <w:rFonts w:ascii="方正小标宋简体" w:hAnsi="Leelawadee UI" w:eastAsia="方正小标宋简体" w:cs="Leelawadee UI"/>
          <w:bCs/>
          <w:kern w:val="0"/>
          <w:sz w:val="44"/>
          <w:szCs w:val="28"/>
        </w:rPr>
        <w:t>项目支出</w:t>
      </w:r>
      <w:r>
        <w:rPr>
          <w:rFonts w:hint="eastAsia" w:ascii="方正小标宋简体" w:hAnsi="Leelawadee UI" w:eastAsia="方正小标宋简体" w:cs="Leelawadee UI"/>
          <w:bCs/>
          <w:kern w:val="0"/>
          <w:sz w:val="44"/>
          <w:szCs w:val="28"/>
        </w:rPr>
        <w:t>绩效评价报告</w:t>
      </w:r>
    </w:p>
    <w:p>
      <w:pPr>
        <w:spacing w:after="312" w:afterLines="100" w:line="560" w:lineRule="exact"/>
        <w:jc w:val="center"/>
        <w:rPr>
          <w:rFonts w:ascii="方正小标宋简体" w:hAnsi="Leelawadee UI" w:eastAsia="方正小标宋简体" w:cs="Leelawadee UI"/>
          <w:bCs/>
          <w:kern w:val="0"/>
          <w:sz w:val="44"/>
          <w:szCs w:val="28"/>
        </w:rPr>
      </w:pPr>
      <w:r>
        <w:rPr>
          <w:rFonts w:hint="eastAsia" w:ascii="方正小标宋简体" w:hAnsi="Leelawadee UI" w:eastAsia="方正小标宋简体" w:cs="Leelawadee UI"/>
          <w:bCs/>
          <w:kern w:val="0"/>
          <w:sz w:val="44"/>
          <w:szCs w:val="28"/>
        </w:rPr>
        <w:t>（青少年冰雪运动系列比赛项目）</w:t>
      </w:r>
    </w:p>
    <w:p>
      <w:pPr>
        <w:spacing w:line="600" w:lineRule="exact"/>
        <w:ind w:firstLine="640" w:firstLineChars="200"/>
        <w:outlineLvl w:val="0"/>
        <w:rPr>
          <w:rFonts w:ascii="黑体" w:hAnsi="黑体" w:eastAsia="黑体" w:cs="黑体"/>
          <w:sz w:val="32"/>
          <w:szCs w:val="32"/>
        </w:rPr>
      </w:pPr>
      <w:bookmarkStart w:id="0" w:name="_Toc8643"/>
      <w:bookmarkStart w:id="1" w:name="_Toc10891"/>
      <w:r>
        <w:rPr>
          <w:rFonts w:hint="eastAsia" w:ascii="黑体" w:hAnsi="黑体" w:eastAsia="黑体" w:cs="黑体"/>
          <w:sz w:val="32"/>
          <w:szCs w:val="32"/>
        </w:rPr>
        <w:t>一、基本情况</w:t>
      </w:r>
      <w:bookmarkEnd w:id="0"/>
      <w:bookmarkEnd w:id="1"/>
    </w:p>
    <w:p>
      <w:pPr>
        <w:spacing w:line="600" w:lineRule="exact"/>
        <w:ind w:firstLine="643" w:firstLineChars="200"/>
        <w:outlineLvl w:val="1"/>
        <w:rPr>
          <w:rFonts w:ascii="楷体_GB2312" w:hAnsi="楷体_GB2312" w:eastAsia="楷体_GB2312" w:cs="楷体_GB2312"/>
          <w:b/>
          <w:bCs/>
          <w:sz w:val="32"/>
          <w:szCs w:val="32"/>
        </w:rPr>
      </w:pPr>
      <w:bookmarkStart w:id="2" w:name="_Toc26526"/>
      <w:bookmarkStart w:id="3" w:name="_Toc31900"/>
      <w:r>
        <w:rPr>
          <w:rFonts w:hint="eastAsia" w:ascii="楷体_GB2312" w:hAnsi="楷体_GB2312" w:eastAsia="楷体_GB2312" w:cs="楷体_GB2312"/>
          <w:b/>
          <w:bCs/>
          <w:sz w:val="32"/>
          <w:szCs w:val="32"/>
        </w:rPr>
        <w:t>（一）项目概况</w:t>
      </w:r>
      <w:bookmarkEnd w:id="2"/>
      <w:bookmarkEnd w:id="3"/>
    </w:p>
    <w:p>
      <w:pPr>
        <w:spacing w:line="560" w:lineRule="exact"/>
        <w:ind w:firstLine="641"/>
        <w:rPr>
          <w:rFonts w:ascii="楷体" w:hAnsi="楷体" w:eastAsia="楷体" w:cs="楷体"/>
          <w:sz w:val="32"/>
          <w:szCs w:val="32"/>
        </w:rPr>
      </w:pPr>
      <w:r>
        <w:rPr>
          <w:rFonts w:hint="eastAsia" w:ascii="楷体" w:hAnsi="楷体" w:eastAsia="楷体" w:cs="楷体"/>
          <w:sz w:val="32"/>
          <w:szCs w:val="32"/>
        </w:rPr>
        <w:t>1.项目背景</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2015年7月31日，北京赢得2022年第24届冬季奥林匹克运动会的举办权；2015年</w:t>
      </w:r>
      <w:bookmarkStart w:id="38" w:name="_GoBack"/>
      <w:bookmarkEnd w:id="38"/>
      <w:r>
        <w:rPr>
          <w:rFonts w:hint="eastAsia" w:ascii="仿宋_GB2312" w:hAnsi="仿宋_GB2312" w:eastAsia="仿宋_GB2312" w:cs="仿宋_GB2312"/>
          <w:sz w:val="32"/>
          <w:szCs w:val="32"/>
        </w:rPr>
        <w:t>7月31日晚，中国国家主席习近平致信申办冬奥会代表团，祝贺申奥成功，并勉励在全国各族人民大力支持下，把2022年冬奥会办成一届精彩、非凡、卓越的奥运盛会；2015年11月13日习近平总书记明确指出“办好2022年北京冬奥会，是我国对国际奥林匹克大家庭的庄严承诺，也是实施京津冀协同发展战略的重要举措”；李克强总理在2015年11月14日就冬奥会做出批示；刘延东副总理做出“大力推动冬季体育运动发展”的部署。北京作为首都和2022年北京冬奥会举办城市，必须大力发展冰雪运动，积极组织举办青少年冰雪赛事，为北京冬奥会举办奠定坚实的基础，营造良好的氛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国务院办公厅《体育强国建设纲要》、中共中央办公厅国务院办公厅《关于以2022年北京冬奥会为契机大力发展冰雪运动的意见》、《北京市人民政府关于加快冰雪运动发展的意见（2016-2022年）》（京政发〔2016〕12号）及配套的《北京市青少年冰雪运动发展规划（2016-2022年）》，重点推动青少年冰雪项目发展，举办青少年冰雪项目系列比赛，打造青少年冰雪品牌项目，为首都冰雪竞技运动发展，为2022年冬奥会举办做出贡献。</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2.项目实施主体及职责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主体为北京市体育局青少年体育处，主要职责包括拟定本市青少年体育发展规划和政策并组织实施，培养和输送优秀竞技体育人才，指导并组织协调青少年体育比赛及全国青少年体育比赛参赛工作等。</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3.主要内容</w:t>
      </w:r>
    </w:p>
    <w:p>
      <w:pPr>
        <w:spacing w:line="560" w:lineRule="exact"/>
        <w:ind w:firstLine="640" w:firstLineChars="200"/>
        <w:rPr>
          <w:rFonts w:ascii="仿宋_GB2312" w:hAnsi="仿宋_GB2312" w:eastAsia="仿宋_GB2312" w:cs="仿宋_GB2312"/>
          <w:sz w:val="32"/>
          <w:szCs w:val="32"/>
        </w:rPr>
      </w:pPr>
      <w:bookmarkStart w:id="4" w:name="_Toc23270"/>
      <w:r>
        <w:rPr>
          <w:rFonts w:hint="eastAsia" w:ascii="仿宋_GB2312" w:hAnsi="仿宋_GB2312" w:eastAsia="仿宋_GB2312" w:cs="仿宋_GB2312"/>
          <w:sz w:val="32"/>
          <w:szCs w:val="32"/>
        </w:rPr>
        <w:t>该项目主要内容为组织开展2021年北京市青少年U系列滑雪冠军赛、花样滑冰冠军赛、短道速滑冠军赛、冰壶冠军赛以及2021-2022北京市青少年冰球俱乐部联赛和2021年北京市中小学生校际冰球联赛。</w:t>
      </w:r>
      <w:bookmarkEnd w:id="4"/>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4.资金投入及使用情况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2021年2月15日，《北京市财政局关于批复北京市体育局2021年预算的函》（京财科文指[2021]041号）批复该项目预算474.015926万元，其中财政拨款474.015926万元。2021年3月实际收到预算资金474.015926万元。该项目未发生预算调整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该项目实际支出473.465926万元，年末结余资金0.55万元。</w:t>
      </w:r>
    </w:p>
    <w:p>
      <w:pPr>
        <w:spacing w:line="600" w:lineRule="exact"/>
        <w:ind w:firstLine="640" w:firstLineChars="200"/>
        <w:outlineLvl w:val="1"/>
        <w:rPr>
          <w:rFonts w:ascii="楷体_GB2312" w:hAnsi="楷体_GB2312" w:eastAsia="楷体_GB2312" w:cs="楷体_GB2312"/>
          <w:sz w:val="32"/>
          <w:szCs w:val="32"/>
        </w:rPr>
      </w:pPr>
      <w:bookmarkStart w:id="5" w:name="_Toc21148"/>
      <w:bookmarkStart w:id="6" w:name="_Toc32012"/>
      <w:r>
        <w:rPr>
          <w:rFonts w:hint="eastAsia" w:ascii="楷体_GB2312" w:hAnsi="楷体_GB2312" w:eastAsia="楷体_GB2312" w:cs="楷体_GB2312"/>
          <w:sz w:val="32"/>
          <w:szCs w:val="32"/>
        </w:rPr>
        <w:t>（二）项目绩效目标</w:t>
      </w:r>
      <w:bookmarkEnd w:id="5"/>
      <w:bookmarkEnd w:id="6"/>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1.总体目标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总体目标：推动本市青少年冬季运动发展，培养输送优秀竞技体育后备人才提高冬季项目竞技体育成绩，使北京冬季项目成为竞技体育新的增长极，为我国冬季项目发展和冬季项目竞技体育成绩的提升做出贡献。</w:t>
      </w:r>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2.阶段性目标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阶段性目标：成功举办北京市青少年U系列滑雪冠军赛、北京市青少年U系列花样滑冰冠军赛、北京市青少年U系列冰壶冠军赛、北京市青少年U系列短道速滑冠军赛、北京市中小学生校际冰球联赛、北京市青少年冰球俱乐部联赛。</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3.具体产出指标</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产出数量指标：比赛项目6个，参赛单位16个区，参赛运动员约1000名。</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产出质量指标：赛事运行按赛事工作手册进行，场馆硬件条件和赛时服务保障均符合标准。</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进度指标：2021年10月前完成比赛设计与规划，2021年12月底之前完成工作并进行总结。</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成本指标：预算控制数为474.015926万元。</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效益指标：加速培养并提高冰雪项目体育后备人才，助力宣传2022年冬奥会。</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用户满意度指标：参赛运动员满意率≥90%。</w:t>
      </w:r>
    </w:p>
    <w:p>
      <w:pPr>
        <w:spacing w:line="600" w:lineRule="exact"/>
        <w:ind w:firstLine="640" w:firstLineChars="200"/>
        <w:outlineLvl w:val="0"/>
        <w:rPr>
          <w:rFonts w:ascii="黑体" w:hAnsi="黑体" w:eastAsia="黑体" w:cs="黑体"/>
          <w:sz w:val="32"/>
          <w:szCs w:val="32"/>
        </w:rPr>
      </w:pPr>
      <w:bookmarkStart w:id="7" w:name="_Toc425"/>
      <w:bookmarkStart w:id="8" w:name="_Toc8136"/>
      <w:r>
        <w:rPr>
          <w:rFonts w:hint="eastAsia" w:ascii="黑体" w:hAnsi="黑体" w:eastAsia="黑体" w:cs="黑体"/>
          <w:sz w:val="32"/>
          <w:szCs w:val="32"/>
        </w:rPr>
        <w:t>二、绩效评价工作开展情况</w:t>
      </w:r>
      <w:bookmarkEnd w:id="7"/>
      <w:bookmarkEnd w:id="8"/>
    </w:p>
    <w:p>
      <w:pPr>
        <w:spacing w:line="600" w:lineRule="exact"/>
        <w:ind w:firstLine="640" w:firstLineChars="200"/>
        <w:outlineLvl w:val="1"/>
        <w:rPr>
          <w:rFonts w:ascii="楷体_GB2312" w:hAnsi="楷体_GB2312" w:eastAsia="楷体_GB2312" w:cs="楷体_GB2312"/>
          <w:sz w:val="32"/>
          <w:szCs w:val="32"/>
        </w:rPr>
      </w:pPr>
      <w:bookmarkStart w:id="9" w:name="_Toc29599"/>
      <w:bookmarkStart w:id="10" w:name="_Toc29533"/>
      <w:r>
        <w:rPr>
          <w:rFonts w:hint="eastAsia" w:ascii="楷体_GB2312" w:hAnsi="楷体_GB2312" w:eastAsia="楷体_GB2312" w:cs="楷体_GB2312"/>
          <w:sz w:val="32"/>
          <w:szCs w:val="32"/>
        </w:rPr>
        <w:t>（一）绩效评价目的、对象和范围</w:t>
      </w:r>
      <w:bookmarkEnd w:id="9"/>
      <w:bookmarkEnd w:id="10"/>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1.评价目的及对象</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通过部门评价，对</w:t>
      </w:r>
      <w:r>
        <w:rPr>
          <w:rFonts w:hint="eastAsia" w:ascii="仿宋_GB2312" w:eastAsia="仿宋_GB2312"/>
          <w:sz w:val="32"/>
        </w:rPr>
        <w:t>“青少年冰雪运动系列比赛”项目</w:t>
      </w:r>
      <w:r>
        <w:rPr>
          <w:rFonts w:hint="eastAsia" w:ascii="仿宋_GB2312" w:hAnsi="楷体" w:eastAsia="仿宋_GB2312"/>
          <w:bCs/>
          <w:kern w:val="0"/>
          <w:sz w:val="32"/>
          <w:szCs w:val="28"/>
        </w:rPr>
        <w:t>整体情况进行分析，全面、客观地反映市体育局的工作成效，对项目决策、项目过程、项目产出、项目效益方面存在的不足提出合理化建议，使预算管理更加科学、完善，进而规范资金的使用管理，提高资金使用效益和效率。</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2.评价范围</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对</w:t>
      </w:r>
      <w:r>
        <w:rPr>
          <w:rFonts w:hint="eastAsia" w:ascii="仿宋_GB2312" w:eastAsia="仿宋_GB2312"/>
          <w:sz w:val="32"/>
        </w:rPr>
        <w:t>“青少年冰雪运动系列比赛”项目</w:t>
      </w:r>
      <w:r>
        <w:rPr>
          <w:rFonts w:hint="eastAsia" w:ascii="仿宋_GB2312" w:eastAsia="仿宋_GB2312" w:cs="宋体"/>
          <w:kern w:val="0"/>
          <w:sz w:val="32"/>
          <w:szCs w:val="32"/>
        </w:rPr>
        <w:t>473.465926万元的</w:t>
      </w:r>
      <w:r>
        <w:rPr>
          <w:rFonts w:hint="eastAsia" w:ascii="仿宋_GB2312" w:hAnsi="楷体" w:eastAsia="仿宋_GB2312"/>
          <w:bCs/>
          <w:kern w:val="0"/>
          <w:sz w:val="32"/>
          <w:szCs w:val="28"/>
        </w:rPr>
        <w:t>资金支出情况开展部门评价。</w:t>
      </w:r>
    </w:p>
    <w:p>
      <w:pPr>
        <w:numPr>
          <w:ilvl w:val="0"/>
          <w:numId w:val="1"/>
        </w:numPr>
        <w:spacing w:line="600" w:lineRule="exact"/>
        <w:ind w:firstLine="640" w:firstLineChars="200"/>
        <w:outlineLvl w:val="1"/>
        <w:rPr>
          <w:rFonts w:ascii="楷体_GB2312" w:hAnsi="楷体_GB2312" w:eastAsia="楷体_GB2312" w:cs="楷体_GB2312"/>
          <w:sz w:val="32"/>
          <w:szCs w:val="32"/>
        </w:rPr>
      </w:pPr>
      <w:bookmarkStart w:id="11" w:name="_Toc29919"/>
      <w:bookmarkStart w:id="12" w:name="_Toc2920"/>
      <w:r>
        <w:rPr>
          <w:rFonts w:hint="eastAsia" w:ascii="楷体_GB2312" w:hAnsi="楷体_GB2312" w:eastAsia="楷体_GB2312" w:cs="楷体_GB2312"/>
          <w:sz w:val="32"/>
          <w:szCs w:val="32"/>
        </w:rPr>
        <w:t>绩效评价</w:t>
      </w:r>
      <w:bookmarkEnd w:id="11"/>
      <w:bookmarkEnd w:id="12"/>
      <w:r>
        <w:rPr>
          <w:rFonts w:hint="eastAsia" w:ascii="楷体_GB2312" w:hAnsi="楷体_GB2312" w:eastAsia="楷体_GB2312" w:cs="楷体_GB2312"/>
          <w:sz w:val="32"/>
          <w:szCs w:val="32"/>
        </w:rPr>
        <w:t>原则</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评价</w:t>
      </w:r>
      <w:r>
        <w:rPr>
          <w:rFonts w:ascii="楷体_GB2312" w:hAnsi="楷体_GB2312" w:eastAsia="楷体_GB2312" w:cs="楷体_GB2312"/>
          <w:sz w:val="32"/>
          <w:szCs w:val="32"/>
        </w:rPr>
        <w:t>指标体系</w:t>
      </w:r>
      <w:r>
        <w:rPr>
          <w:rFonts w:hint="eastAsia" w:ascii="楷体_GB2312" w:hAnsi="楷体_GB2312" w:eastAsia="楷体_GB2312" w:cs="楷体_GB2312"/>
          <w:sz w:val="32"/>
          <w:szCs w:val="32"/>
        </w:rPr>
        <w:t>、</w:t>
      </w:r>
      <w:r>
        <w:rPr>
          <w:rFonts w:ascii="楷体_GB2312" w:hAnsi="楷体_GB2312" w:eastAsia="楷体_GB2312" w:cs="楷体_GB2312"/>
          <w:sz w:val="32"/>
          <w:szCs w:val="32"/>
        </w:rPr>
        <w:t>评价方法等</w:t>
      </w:r>
    </w:p>
    <w:p>
      <w:pPr>
        <w:spacing w:line="560" w:lineRule="exact"/>
        <w:ind w:firstLine="640" w:firstLineChars="200"/>
        <w:rPr>
          <w:rFonts w:ascii="楷体" w:hAnsi="楷体" w:eastAsia="楷体" w:cs="楷体"/>
          <w:kern w:val="0"/>
          <w:sz w:val="32"/>
          <w:szCs w:val="28"/>
        </w:rPr>
      </w:pPr>
      <w:r>
        <w:rPr>
          <w:rFonts w:hint="eastAsia" w:ascii="楷体" w:hAnsi="楷体" w:eastAsia="楷体" w:cs="楷体"/>
          <w:kern w:val="0"/>
          <w:sz w:val="32"/>
          <w:szCs w:val="28"/>
        </w:rPr>
        <w:t>1.绩效评价原则</w:t>
      </w:r>
    </w:p>
    <w:p>
      <w:pPr>
        <w:pStyle w:val="12"/>
        <w:spacing w:line="560" w:lineRule="exact"/>
        <w:ind w:firstLine="640"/>
        <w:rPr>
          <w:rFonts w:ascii="仿宋_GB2312" w:eastAsia="仿宋_GB2312"/>
          <w:sz w:val="32"/>
          <w:szCs w:val="32"/>
        </w:rPr>
      </w:pPr>
      <w:r>
        <w:rPr>
          <w:rFonts w:hint="eastAsia" w:ascii="仿宋_GB2312" w:eastAsia="仿宋_GB2312"/>
          <w:sz w:val="32"/>
          <w:szCs w:val="32"/>
        </w:rPr>
        <w:t>按照《北京市项目支出绩效评价管理办法》（京财绩效〔2020〕2146号）的要求，部门评价指标的确定应当与评价对象密切相关，全面反映项目决策、项目过程、产出和效益；优先选取最具代表性、最能直接反映产出和效益的核心指标；指标设定应当明确、具体、可衡量，数据及佐证资料应当可采集、可获得。</w:t>
      </w:r>
    </w:p>
    <w:p>
      <w:pPr>
        <w:pStyle w:val="12"/>
        <w:spacing w:line="560" w:lineRule="exact"/>
        <w:ind w:firstLine="640"/>
        <w:rPr>
          <w:rFonts w:ascii="楷体" w:hAnsi="楷体" w:eastAsia="楷体" w:cs="楷体"/>
          <w:sz w:val="32"/>
          <w:szCs w:val="32"/>
        </w:rPr>
      </w:pPr>
      <w:r>
        <w:rPr>
          <w:rFonts w:hint="eastAsia" w:ascii="楷体" w:hAnsi="楷体" w:eastAsia="楷体" w:cs="楷体"/>
          <w:sz w:val="32"/>
          <w:szCs w:val="32"/>
        </w:rPr>
        <w:t>2.评价指标体系及评价标准</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此次绩效评价指标体系，主要依据《北京市财政局关于开展2022年全面预算绩效管理工作的通知》（京财绩效〔2022〕669号）及《北京市项目支出绩效评价管理办法》（京财绩效〔2020〕2146号附件）：项目支出绩效评价指标体系框架，产出和效益部分主要依据项目设定的绩效目标设定。评价指标系统共分为四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项目决策(10分)，主要细化为项目立项、绩效目标和资金投入三类指标，其中，项目立项细化为立项依据充分性和立项程序规范性，绩效目标细化绩效目标合理性和绩效目标明确性，资金投入细化为预算编制科学性和资金分配合理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项目过程（20分），主要细化为资金管理和组织实施两类指标，其中，资金管理细化为资金到位率、预算执行率、资金使用合规性，组织实施细化为管理制度健全性、制度执行有效性、项目实施方案可行性和监督检查。</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项目产出（40分），主要细化为产出数量、产出质量、产出时效、产出成本，其中产出数量细化为赛事组织实际完成率、比赛队伍涉及各区数量实际完成率和参赛运动员实际完成率，产出质量细化为赛事运行质量达标率、场馆硬件设施质量达标率和赛时服务保障质量达标率，产出时效细化为完成比赛设计与规划及时率、完成比赛工作总结及时率,产出成本细化为成本节约率。</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（4）项目效益（30分），主要细化为实施效益和满意度，其中实施效益细化为培养冰雪运动后备人才和提高冰雪运动影响力，满意度细化为参赛运动员满意度。</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评价指标体系及评价标准详见附件5。</w:t>
      </w:r>
    </w:p>
    <w:p>
      <w:pPr>
        <w:spacing w:line="560" w:lineRule="exact"/>
        <w:ind w:firstLine="420" w:firstLineChars="200"/>
        <w:rPr>
          <w:rFonts w:ascii="仿宋_GB2312" w:hAnsi="楷体" w:eastAsia="仿宋_GB2312"/>
          <w:b/>
          <w:kern w:val="0"/>
          <w:sz w:val="32"/>
          <w:szCs w:val="28"/>
        </w:rPr>
      </w:pPr>
      <w:r>
        <w:rPr>
          <w:rFonts w:hint="eastAsia"/>
        </w:rPr>
        <w:t xml:space="preserve">   </w:t>
      </w:r>
      <w:r>
        <w:rPr>
          <w:rFonts w:hint="eastAsia" w:ascii="楷体" w:hAnsi="楷体" w:eastAsia="楷体" w:cs="楷体"/>
          <w:sz w:val="32"/>
          <w:szCs w:val="32"/>
        </w:rPr>
        <w:t>3.评价方法</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本次部门评价遵循“客观、公正、科学、规范”的原则结合项目的特点，采用比较法、因素分析法、专家评议法等方法开展评价工作。</w:t>
      </w:r>
      <w:r>
        <w:rPr>
          <w:rFonts w:hint="eastAsia" w:ascii="仿宋_GB2312" w:eastAsia="仿宋_GB2312"/>
          <w:sz w:val="32"/>
          <w:szCs w:val="32"/>
        </w:rPr>
        <w:t>评价</w:t>
      </w:r>
      <w:r>
        <w:rPr>
          <w:rFonts w:hint="eastAsia" w:ascii="仿宋_GB2312" w:hAnsi="楷体" w:eastAsia="仿宋_GB2312"/>
          <w:bCs/>
          <w:kern w:val="0"/>
          <w:sz w:val="32"/>
          <w:szCs w:val="28"/>
        </w:rPr>
        <w:t>工作组通过对项目资料进行逐一核实了解项目资金的使用和取得的效益情况，并在此基础上召开专家评价会，最终根据收集资料情况，结合专家评价会的专家组意见，完成部门评价报告撰写。</w:t>
      </w:r>
    </w:p>
    <w:p>
      <w:pPr>
        <w:spacing w:line="600" w:lineRule="exact"/>
        <w:ind w:firstLine="640" w:firstLineChars="200"/>
        <w:outlineLvl w:val="1"/>
        <w:rPr>
          <w:rFonts w:ascii="楷体_GB2312" w:hAnsi="楷体_GB2312" w:eastAsia="楷体_GB2312" w:cs="楷体_GB2312"/>
          <w:sz w:val="32"/>
          <w:szCs w:val="32"/>
        </w:rPr>
      </w:pPr>
      <w:bookmarkStart w:id="13" w:name="_Toc29649"/>
      <w:bookmarkStart w:id="14" w:name="_Toc13034"/>
      <w:r>
        <w:rPr>
          <w:rFonts w:hint="eastAsia" w:ascii="楷体_GB2312" w:hAnsi="楷体_GB2312" w:eastAsia="楷体_GB2312" w:cs="楷体_GB2312"/>
          <w:sz w:val="32"/>
          <w:szCs w:val="32"/>
        </w:rPr>
        <w:t>（三）绩效评价工作过程</w:t>
      </w:r>
      <w:bookmarkEnd w:id="13"/>
      <w:bookmarkEnd w:id="14"/>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1.4月15日前根据《</w:t>
      </w:r>
      <w:r>
        <w:rPr>
          <w:rFonts w:hint="eastAsia" w:ascii="仿宋_GB2312" w:hAnsi="楷体" w:eastAsia="仿宋_GB2312"/>
          <w:bCs/>
          <w:kern w:val="0"/>
          <w:sz w:val="32"/>
          <w:szCs w:val="28"/>
          <w:lang w:val="en"/>
        </w:rPr>
        <w:t>北京市财政局关于开展2022年全面预算绩效管理工作的通知</w:t>
      </w:r>
      <w:r>
        <w:rPr>
          <w:rFonts w:hint="eastAsia" w:ascii="仿宋_GB2312" w:hAnsi="楷体" w:eastAsia="仿宋_GB2312"/>
          <w:bCs/>
          <w:kern w:val="0"/>
          <w:sz w:val="32"/>
          <w:szCs w:val="28"/>
        </w:rPr>
        <w:t>》（京财</w:t>
      </w:r>
      <w:r>
        <w:rPr>
          <w:rFonts w:ascii="仿宋_GB2312" w:hAnsi="楷体" w:eastAsia="仿宋_GB2312"/>
          <w:bCs/>
          <w:kern w:val="0"/>
          <w:sz w:val="32"/>
          <w:szCs w:val="28"/>
          <w:lang w:val="en"/>
        </w:rPr>
        <w:t>绩效</w:t>
      </w:r>
      <w:r>
        <w:rPr>
          <w:rFonts w:hint="eastAsia" w:ascii="仿宋_GB2312" w:hAnsi="楷体" w:eastAsia="仿宋_GB2312"/>
          <w:bCs/>
          <w:kern w:val="0"/>
          <w:sz w:val="32"/>
          <w:szCs w:val="28"/>
        </w:rPr>
        <w:t>〔</w:t>
      </w:r>
      <w:r>
        <w:rPr>
          <w:rFonts w:ascii="仿宋_GB2312" w:hAnsi="楷体" w:eastAsia="仿宋_GB2312"/>
          <w:bCs/>
          <w:kern w:val="0"/>
          <w:sz w:val="32"/>
          <w:szCs w:val="28"/>
          <w:lang w:val="en"/>
        </w:rPr>
        <w:t>2022</w:t>
      </w:r>
      <w:r>
        <w:rPr>
          <w:rFonts w:hint="eastAsia" w:ascii="仿宋_GB2312" w:hAnsi="楷体" w:eastAsia="仿宋_GB2312"/>
          <w:bCs/>
          <w:kern w:val="0"/>
          <w:sz w:val="32"/>
          <w:szCs w:val="28"/>
        </w:rPr>
        <w:t>〕</w:t>
      </w:r>
      <w:r>
        <w:rPr>
          <w:rFonts w:ascii="仿宋_GB2312" w:hAnsi="楷体" w:eastAsia="仿宋_GB2312"/>
          <w:bCs/>
          <w:kern w:val="0"/>
          <w:sz w:val="32"/>
          <w:szCs w:val="28"/>
          <w:lang w:val="en"/>
        </w:rPr>
        <w:t>669</w:t>
      </w:r>
      <w:r>
        <w:rPr>
          <w:rFonts w:hint="eastAsia" w:ascii="仿宋_GB2312" w:hAnsi="楷体" w:eastAsia="仿宋_GB2312"/>
          <w:bCs/>
          <w:kern w:val="0"/>
          <w:sz w:val="32"/>
          <w:szCs w:val="28"/>
        </w:rPr>
        <w:t>号）的要求，成立评价工作组。制定实施方案、明确评价组织机构、人员分工、评价范围、具体时间安排等内容。并按照工作方案要求，组织开展部门评价培训沟通会。</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2.4月22日前收集资料。项目实施部门根据部门评价资料清单，结合评价对象实际情况收集项目资料。项目实施部门将收集的资料及绩效报告提交评价工作组。</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3.5月6日前评价工作组对所收集资料进行核实和全面分析，并遴选专家，组成专家评价组。会同专家细化评价指标，制定绩效评价指标体系。</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4.5月10日前补充资料。项目实施部门根据评价工作组的意见，补充绩效评价资料。</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5.5月13日召开专家评价会。评价工作组组织召开专家评价会，并邀请人大代表参会。项目实施部门负责项目绩效情况汇报及答疑，由专家对绩效实现情况进行评价和打分，并出具评价意见。</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6.5月18日前，完成部门评价报告。</w:t>
      </w:r>
    </w:p>
    <w:p>
      <w:pPr>
        <w:numPr>
          <w:ilvl w:val="0"/>
          <w:numId w:val="2"/>
        </w:numPr>
        <w:spacing w:line="600" w:lineRule="exact"/>
        <w:ind w:firstLine="640" w:firstLineChars="200"/>
        <w:outlineLvl w:val="0"/>
        <w:rPr>
          <w:rFonts w:ascii="黑体" w:hAnsi="黑体" w:eastAsia="黑体" w:cs="黑体"/>
          <w:sz w:val="32"/>
          <w:szCs w:val="32"/>
        </w:rPr>
      </w:pPr>
      <w:bookmarkStart w:id="15" w:name="_Toc7615"/>
      <w:bookmarkStart w:id="16" w:name="_Toc11833"/>
      <w:r>
        <w:rPr>
          <w:rFonts w:hint="eastAsia" w:ascii="黑体" w:hAnsi="黑体" w:eastAsia="黑体" w:cs="黑体"/>
          <w:sz w:val="32"/>
          <w:szCs w:val="32"/>
        </w:rPr>
        <w:t>综合评价情况及评价结论</w:t>
      </w:r>
      <w:bookmarkEnd w:id="15"/>
      <w:bookmarkEnd w:id="16"/>
    </w:p>
    <w:p>
      <w:pPr>
        <w:spacing w:line="560" w:lineRule="exact"/>
        <w:ind w:firstLine="640" w:firstLineChars="200"/>
        <w:rPr>
          <w:rFonts w:ascii="仿宋_GB2312" w:eastAsia="仿宋_GB2312"/>
          <w:sz w:val="32"/>
        </w:rPr>
      </w:pPr>
      <w:r>
        <w:rPr>
          <w:rFonts w:hint="eastAsia" w:ascii="仿宋_GB2312" w:eastAsia="仿宋_GB2312"/>
          <w:sz w:val="32"/>
        </w:rPr>
        <w:t>“青少年冰雪运动系列比赛”项目部门评价综合得分91.87分，其中项目决策8.42分、项目过程18.72分、项目产出38.03分，项目效应26.70分，绩效评定结论为“优”。</w:t>
      </w:r>
    </w:p>
    <w:tbl>
      <w:tblPr>
        <w:tblStyle w:val="9"/>
        <w:tblW w:w="8324" w:type="dxa"/>
        <w:jc w:val="center"/>
        <w:tblLayout w:type="autofit"/>
        <w:tblCellMar>
          <w:top w:w="0" w:type="dxa"/>
          <w:left w:w="0" w:type="dxa"/>
          <w:bottom w:w="0" w:type="dxa"/>
          <w:right w:w="0" w:type="dxa"/>
        </w:tblCellMar>
      </w:tblPr>
      <w:tblGrid>
        <w:gridCol w:w="2671"/>
        <w:gridCol w:w="2437"/>
        <w:gridCol w:w="3216"/>
      </w:tblGrid>
      <w:tr>
        <w:tblPrEx>
          <w:tblCellMar>
            <w:top w:w="0" w:type="dxa"/>
            <w:left w:w="0" w:type="dxa"/>
            <w:bottom w:w="0" w:type="dxa"/>
            <w:right w:w="0" w:type="dxa"/>
          </w:tblCellMar>
        </w:tblPrEx>
        <w:trPr>
          <w:trHeight w:val="686" w:hRule="atLeast"/>
          <w:jc w:val="center"/>
        </w:trPr>
        <w:tc>
          <w:tcPr>
            <w:tcW w:w="8324" w:type="dxa"/>
            <w:gridSpan w:val="3"/>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b/>
                <w:color w:val="000000"/>
                <w:sz w:val="40"/>
                <w:szCs w:val="40"/>
              </w:rPr>
            </w:pPr>
            <w:r>
              <w:rPr>
                <w:rFonts w:hint="eastAsia" w:ascii="宋体" w:hAnsi="宋体" w:cs="宋体"/>
                <w:b/>
                <w:color w:val="000000"/>
                <w:kern w:val="0"/>
                <w:sz w:val="32"/>
                <w:szCs w:val="32"/>
                <w:lang w:bidi="ar"/>
              </w:rPr>
              <w:t>项目绩效评价结论一览表</w:t>
            </w:r>
          </w:p>
        </w:tc>
      </w:tr>
      <w:tr>
        <w:tblPrEx>
          <w:tblCellMar>
            <w:top w:w="0" w:type="dxa"/>
            <w:left w:w="0" w:type="dxa"/>
            <w:bottom w:w="0" w:type="dxa"/>
            <w:right w:w="0" w:type="dxa"/>
          </w:tblCellMar>
        </w:tblPrEx>
        <w:trPr>
          <w:trHeight w:val="686" w:hRule="atLeast"/>
          <w:jc w:val="center"/>
        </w:trPr>
        <w:tc>
          <w:tcPr>
            <w:tcW w:w="267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评价内容</w:t>
            </w:r>
          </w:p>
        </w:tc>
        <w:tc>
          <w:tcPr>
            <w:tcW w:w="2437"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分值</w:t>
            </w:r>
          </w:p>
        </w:tc>
        <w:tc>
          <w:tcPr>
            <w:tcW w:w="3216"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评价得分</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项目决策</w:t>
            </w:r>
          </w:p>
        </w:tc>
        <w:tc>
          <w:tcPr>
            <w:tcW w:w="243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10</w:t>
            </w:r>
          </w:p>
        </w:tc>
        <w:tc>
          <w:tcPr>
            <w:tcW w:w="321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8.42</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项目过程</w:t>
            </w:r>
          </w:p>
        </w:tc>
        <w:tc>
          <w:tcPr>
            <w:tcW w:w="243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20</w:t>
            </w:r>
          </w:p>
        </w:tc>
        <w:tc>
          <w:tcPr>
            <w:tcW w:w="321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18.72</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项目产出</w:t>
            </w:r>
          </w:p>
        </w:tc>
        <w:tc>
          <w:tcPr>
            <w:tcW w:w="243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40</w:t>
            </w:r>
          </w:p>
        </w:tc>
        <w:tc>
          <w:tcPr>
            <w:tcW w:w="321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38.03</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项目效益</w:t>
            </w:r>
          </w:p>
        </w:tc>
        <w:tc>
          <w:tcPr>
            <w:tcW w:w="243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30</w:t>
            </w:r>
          </w:p>
        </w:tc>
        <w:tc>
          <w:tcPr>
            <w:tcW w:w="321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 xml:space="preserve">26.70 </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综合得分</w:t>
            </w:r>
          </w:p>
        </w:tc>
        <w:tc>
          <w:tcPr>
            <w:tcW w:w="243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100</w:t>
            </w:r>
          </w:p>
        </w:tc>
        <w:tc>
          <w:tcPr>
            <w:tcW w:w="321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91.87</w:t>
            </w:r>
          </w:p>
        </w:tc>
      </w:tr>
      <w:tr>
        <w:tblPrEx>
          <w:tblCellMar>
            <w:top w:w="0" w:type="dxa"/>
            <w:left w:w="0" w:type="dxa"/>
            <w:bottom w:w="0" w:type="dxa"/>
            <w:right w:w="0" w:type="dxa"/>
          </w:tblCellMar>
        </w:tblPrEx>
        <w:trPr>
          <w:trHeight w:val="686" w:hRule="atLeast"/>
          <w:jc w:val="center"/>
        </w:trPr>
        <w:tc>
          <w:tcPr>
            <w:tcW w:w="267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lang w:bidi="ar"/>
              </w:rPr>
              <w:t>绩效评定级别</w:t>
            </w:r>
          </w:p>
        </w:tc>
        <w:tc>
          <w:tcPr>
            <w:tcW w:w="565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lang w:bidi="ar"/>
              </w:rPr>
              <w:t>优</w:t>
            </w:r>
          </w:p>
        </w:tc>
      </w:tr>
    </w:tbl>
    <w:p>
      <w:pPr>
        <w:spacing w:line="600" w:lineRule="exact"/>
        <w:ind w:firstLine="640" w:firstLineChars="200"/>
        <w:outlineLvl w:val="0"/>
        <w:rPr>
          <w:rFonts w:ascii="黑体" w:hAnsi="黑体" w:eastAsia="黑体" w:cs="黑体"/>
          <w:sz w:val="32"/>
          <w:szCs w:val="32"/>
        </w:rPr>
      </w:pPr>
      <w:bookmarkStart w:id="17" w:name="_Toc23367"/>
      <w:bookmarkStart w:id="18" w:name="_Toc26703"/>
      <w:r>
        <w:rPr>
          <w:rFonts w:hint="eastAsia" w:ascii="黑体" w:hAnsi="黑体" w:eastAsia="黑体" w:cs="黑体"/>
          <w:sz w:val="32"/>
          <w:szCs w:val="32"/>
        </w:rPr>
        <w:t>四、绩效评价指标分析</w:t>
      </w:r>
      <w:bookmarkEnd w:id="17"/>
      <w:bookmarkEnd w:id="18"/>
    </w:p>
    <w:p>
      <w:pPr>
        <w:spacing w:line="360" w:lineRule="auto"/>
        <w:ind w:firstLine="640" w:firstLineChars="200"/>
        <w:outlineLvl w:val="1"/>
        <w:rPr>
          <w:rFonts w:ascii="楷体_GB2312" w:hAnsi="楷体_GB2312" w:eastAsia="楷体_GB2312" w:cs="楷体_GB2312"/>
          <w:sz w:val="32"/>
          <w:szCs w:val="32"/>
        </w:rPr>
      </w:pPr>
      <w:bookmarkStart w:id="19" w:name="_Toc14755"/>
      <w:bookmarkStart w:id="20" w:name="_Toc22976"/>
      <w:r>
        <w:rPr>
          <w:rFonts w:hint="eastAsia" w:ascii="楷体_GB2312" w:hAnsi="楷体_GB2312" w:eastAsia="楷体_GB2312" w:cs="楷体_GB2312"/>
          <w:sz w:val="32"/>
          <w:szCs w:val="32"/>
        </w:rPr>
        <w:t>（一）项目决策情况</w:t>
      </w:r>
      <w:bookmarkEnd w:id="19"/>
      <w:bookmarkEnd w:id="20"/>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项目决策指标，满分10分，评价得分8.42分。根据国务院办公厅《体育强国建设纲要》、中共中央办公厅国务院办公厅《关于以2022年北京冬奥会为契机大力发展冰雪运动的意见》、《北京市人民政府关于加快冰雪运动发展的意见（2016-2022年）》（京政发〔2016〕12号）及配套的《北京市青少年冰雪运动发展规划（2016-2022年）》，重点推动青少年冰雪项目发展，举办青少年冰雪项目系列比赛，打造青少年冰雪品牌项目，为首都冰雪竞技运动发展，为2022年冬奥会举办做出贡献。</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该项目立项依据充分，能够按照规定的程序申请立项，项目申报书填报规范，支出预算明细具体，预算编制依据比较充分，绩效目标设置比较合理，项目投入符合项目预期产出。</w:t>
      </w:r>
    </w:p>
    <w:p>
      <w:pPr>
        <w:numPr>
          <w:ilvl w:val="0"/>
          <w:numId w:val="3"/>
        </w:numPr>
        <w:spacing w:line="360" w:lineRule="auto"/>
        <w:ind w:firstLine="640" w:firstLineChars="200"/>
        <w:outlineLvl w:val="1"/>
        <w:rPr>
          <w:rFonts w:ascii="楷体_GB2312" w:hAnsi="楷体_GB2312" w:eastAsia="楷体_GB2312" w:cs="楷体_GB2312"/>
          <w:sz w:val="32"/>
          <w:szCs w:val="32"/>
        </w:rPr>
      </w:pPr>
      <w:bookmarkStart w:id="21" w:name="_Toc31756"/>
      <w:bookmarkStart w:id="22" w:name="_Toc15895"/>
      <w:r>
        <w:rPr>
          <w:rFonts w:hint="eastAsia" w:ascii="楷体_GB2312" w:hAnsi="楷体_GB2312" w:eastAsia="楷体_GB2312" w:cs="楷体_GB2312"/>
          <w:sz w:val="32"/>
          <w:szCs w:val="32"/>
        </w:rPr>
        <w:t>项目过程情况</w:t>
      </w:r>
      <w:bookmarkEnd w:id="21"/>
      <w:bookmarkEnd w:id="22"/>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项目过程指标，满分20分，评价得分18.72分。</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1.资金管理</w:t>
      </w:r>
    </w:p>
    <w:p>
      <w:pPr>
        <w:spacing w:line="560" w:lineRule="exact"/>
        <w:ind w:firstLine="640" w:firstLineChars="200"/>
        <w:rPr>
          <w:rFonts w:ascii="仿宋_GB2312" w:hAnsi="楷体" w:eastAsia="仿宋_GB2312"/>
          <w:bCs/>
          <w:kern w:val="0"/>
          <w:sz w:val="32"/>
          <w:szCs w:val="28"/>
        </w:rPr>
      </w:pPr>
      <w:r>
        <w:rPr>
          <w:rFonts w:ascii="仿宋_GB2312" w:hAnsi="楷体" w:eastAsia="仿宋_GB2312"/>
          <w:bCs/>
          <w:kern w:val="0"/>
          <w:sz w:val="32"/>
          <w:szCs w:val="28"/>
        </w:rPr>
        <w:t>2020年11月26日至2020年12月17日，北京市体育局委托第三方中介机构对</w:t>
      </w:r>
      <w:r>
        <w:rPr>
          <w:rFonts w:hint="eastAsia" w:ascii="仿宋_GB2312" w:hAnsi="楷体" w:eastAsia="仿宋_GB2312"/>
          <w:bCs/>
          <w:kern w:val="0"/>
          <w:sz w:val="32"/>
          <w:szCs w:val="28"/>
        </w:rPr>
        <w:t>该项目</w:t>
      </w:r>
      <w:r>
        <w:rPr>
          <w:rFonts w:ascii="仿宋_GB2312" w:hAnsi="楷体" w:eastAsia="仿宋_GB2312"/>
          <w:bCs/>
          <w:kern w:val="0"/>
          <w:sz w:val="32"/>
          <w:szCs w:val="28"/>
        </w:rPr>
        <w:t>进行项目预算评审，并于2020年12月17日出具了《关于北京市体育局青少年冰雪运动系列比赛项目预算的评审报告》，审计项目预算金额为474.015926万元。</w:t>
      </w:r>
    </w:p>
    <w:p>
      <w:pPr>
        <w:spacing w:line="560" w:lineRule="exact"/>
        <w:ind w:firstLine="640" w:firstLineChars="200"/>
        <w:rPr>
          <w:rFonts w:ascii="仿宋_GB2312" w:hAnsi="楷体" w:eastAsia="仿宋_GB2312"/>
          <w:bCs/>
          <w:kern w:val="0"/>
          <w:sz w:val="32"/>
          <w:szCs w:val="28"/>
        </w:rPr>
      </w:pPr>
      <w:r>
        <w:rPr>
          <w:rFonts w:ascii="仿宋_GB2312" w:hAnsi="楷体" w:eastAsia="仿宋_GB2312"/>
          <w:bCs/>
          <w:kern w:val="0"/>
          <w:sz w:val="32"/>
          <w:szCs w:val="28"/>
        </w:rPr>
        <w:t>2021年2月15日，《北京市财政局关于批复北京市体育局2021年预算的函》（京财科文指[2021]041号）批复该项目预算474.015926万元，全部为财政拨款。</w:t>
      </w:r>
    </w:p>
    <w:p>
      <w:pPr>
        <w:spacing w:line="560" w:lineRule="exact"/>
        <w:ind w:firstLine="640" w:firstLineChars="200"/>
        <w:rPr>
          <w:rFonts w:ascii="仿宋_GB2312" w:hAnsi="楷体" w:eastAsia="仿宋_GB2312"/>
          <w:bCs/>
          <w:kern w:val="0"/>
          <w:sz w:val="32"/>
          <w:szCs w:val="28"/>
        </w:rPr>
      </w:pPr>
      <w:r>
        <w:rPr>
          <w:rFonts w:ascii="仿宋_GB2312" w:hAnsi="楷体" w:eastAsia="仿宋_GB2312"/>
          <w:bCs/>
          <w:kern w:val="0"/>
          <w:sz w:val="32"/>
          <w:szCs w:val="28"/>
        </w:rPr>
        <w:t>2021年3月预算资金474.015926万元</w:t>
      </w:r>
      <w:r>
        <w:rPr>
          <w:rFonts w:hint="eastAsia" w:ascii="仿宋_GB2312" w:hAnsi="楷体" w:eastAsia="仿宋_GB2312"/>
          <w:bCs/>
          <w:kern w:val="0"/>
          <w:sz w:val="32"/>
          <w:szCs w:val="28"/>
        </w:rPr>
        <w:t>全部</w:t>
      </w:r>
      <w:r>
        <w:rPr>
          <w:rFonts w:ascii="仿宋_GB2312" w:hAnsi="楷体" w:eastAsia="仿宋_GB2312"/>
          <w:bCs/>
          <w:kern w:val="0"/>
          <w:sz w:val="32"/>
          <w:szCs w:val="28"/>
        </w:rPr>
        <w:t>拨付到位，其中：北京市青少年U系列滑雪冠军赛42.940926万元；北京市青少年U系列花样滑冰冠军赛30.498万元；北京市中小学生校际冰球联赛150万元；北京市青少年U系列短道速滑冠军赛31.921万元；北京市青少年冰球俱乐部联赛190万元；北京市青少年U系列冰壶冠军赛28.656万元。</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 xml:space="preserve">截至2021年12月31日，该项目共支出473.465926万元，预算执行率为99.88%，其中：北京市青少年U系列滑雪冠军赛42.940926万元，北京市青少年U系列花样滑冰冠军赛30.498万元，北京市中小学生校际冰球联赛149.65万元，北京市青少年U系列短道速滑冠军赛31.921万元，北京市青少年冰球俱乐部联赛189.80万元，北京市青少年U系列冰壶冠军赛28.656万元。  </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结余资金0.55万元，资金结余率为0.02%。资金支出与项目预算批复的支出经济分类科目一致，资金支出审批手续完整，符合北京市体育局内部制度规定。该项目在预算执行过程中未发生预算调整事项。</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2.组织实施</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制定了《2021年北京市青少年冰雪运动系列比赛实施方案》，方案中明确了工作内容、人员分工、工作流程与时间进度安排、各项赛事具体安排、赛事执行难点等，为做好各项参赛工作、明确参赛责任、权利和义务，保障参赛工作安全、顺畅进行确定了基础。同时还编制了参赛工作办法，对参赛工作的启动、参赛的组织、相关责任与义务、参赛的完结做出了明确的规定。</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为保证各项赛事资料的完整性、统一性和规范性，北京市体育局于2021年4月印发了《北京市青少年体育赛事办赛指南》，让各承办单位可以进一步的了解赛事考核的各项要求，提高办赛的规范性，对赛前工作、赛中工作、赛后工作、支付要求进行明确规定，并提供各项附件模板。</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中六项比赛根据具体情况采取两种组织方式，2021年北京市青少年U系列短道速滑、花样滑冰、滑雪、冰壶冠军赛通过第三方机构组织遴选产生；2021-2022北京市青少年冰球俱乐部联赛和2021年北京市中小学生校际冰球联赛通过招投标公司采取单一来源方式进行政府购买服务。期间项目没有调整。各比赛承办单位均按照要求完成比赛并提交了秩序册、成绩册和执行报告。</w:t>
      </w:r>
    </w:p>
    <w:p>
      <w:pPr>
        <w:pStyle w:val="2"/>
        <w:spacing w:before="0" w:after="0" w:line="360" w:lineRule="auto"/>
        <w:ind w:firstLine="640" w:firstLineChars="200"/>
        <w:rPr>
          <w:rFonts w:ascii="楷体_GB2312" w:hAnsi="楷体_GB2312" w:eastAsia="楷体_GB2312" w:cs="楷体_GB2312"/>
          <w:sz w:val="32"/>
          <w:szCs w:val="32"/>
        </w:rPr>
      </w:pPr>
      <w:bookmarkStart w:id="23" w:name="_Toc30034"/>
      <w:r>
        <w:rPr>
          <w:rFonts w:hint="eastAsia" w:ascii="楷体_GB2312" w:hAnsi="楷体_GB2312" w:eastAsia="楷体_GB2312" w:cs="楷体_GB2312"/>
          <w:b w:val="0"/>
          <w:bCs w:val="0"/>
          <w:sz w:val="32"/>
          <w:szCs w:val="32"/>
        </w:rPr>
        <w:t>（三）项目产出情况</w:t>
      </w:r>
      <w:bookmarkEnd w:id="23"/>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项目产出指标，满分40分，评价得分为38.03分。</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1.项目产出数量</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该项目顺利完成六项比赛，统共参赛涉及16个区，实际参赛运动员超过6000名。</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2021年北京市青少年U系列短道速滑冠军赛：2021年7月23日至25日在北京世纪星国际冰雪体育中心短道速滑馆进行，16个区全部组队参赛，参赛运动员340名，领队教练69名，裁判员38名，比赛设U16、U14、U12、U10四个组别，本次比赛裁判员中有4名国际级裁判9名国家级裁判。比赛场地和设施设备均具备举办全国比赛条件，为参赛运动员提供了高质量的服务，运动员在比赛中也发挥出很高的水平，其中U14组别运动员的成绩在全国同龄青少年中领先。本场比赛同时还是2021年北京市锦标赛的预选赛。</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2021年北京市青少年U系列花样滑冰冠军赛：2021年7月16日至18日在北京华熙LIVE-冰上中心举行，共有11个区158名运动员50名教练和领队参加比赛，比赛裁判员14名其中国际滑联级裁判1人、国际级裁判12人、一级裁判1人，同时本场比赛的场馆是2022年北京冬奥会冰球比赛的训练场馆，裁判员和比赛场地均达到全国比赛标准，为青少年发挥高水平创造了条件。本场比赛同时还是2021年北京市锦标赛的预选赛。</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2021年北京市青少年U系列冰壶冠军赛：2021年12月18、19、25、26日在世纪星国际冰雪体育中心冰壶馆举行，共有9个区109名运动员30名教练员和领队参赛，26名裁判员参与执裁，比赛规格符合北京市青少年比赛和冰壶比赛要求。本场比赛同时还是2021年北京市锦标赛的预选赛。</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2021年北京市青少年U系列滑雪冠军赛：2021年12月18日、19日在延庆万科石京龙滑雪场举办，共有16个区代表队的413名运动员参加比赛。比赛设高山滑雪和单板滑雪两个大项男女共16个组别。赛事成功举办为青少年创造了良好的竞技平台，促进了日常业余训练的开展，培养了竞技人才。本场比赛同时还是2021年北京市锦标赛的预选赛。</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5）2021年北京市中小学生校际冰球联赛：2021年5月9日-6月6日间在国家体育馆、凯迪拉克中心、星宏奥阜石路冰场、华星冰上运动中心（黄港）、凯文冰上运动中心共5个场地进行比赛。共有119所学校126支队伍1730名运动员参赛，比赛场次达319场。北京市中小学生校际冰球联赛是我市重点打造的青少年冰雪品牌赛事，2013年开始举办，除2020年因疫情停办以外，截至今年已经举办8届，是全国第一个也是唯一的一个中小学生校际冰球联赛。本次比赛的场馆国家体育馆是2022年北京冬奥会的比赛场馆，能够提前体验冬奥会比赛场馆，成为本次比赛的一大亮点。</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6）2021-2022北京市青少年冰球俱乐部联赛：2021年10月10日上午在北京石景山启迪冰雪运动中心开幕。作为全亚洲规模最大的青少年冰球赛事，本届比赛在北京朝阳凯文冰场、星宏奥冰上运动发展中心、北京小狼国际冰上运动中心、梦想冰上运动中心（亚运村）、华星国际冰上运动中心、（黄港）启迪冰雪中心等6个冰场同时进行，共有来自全市25个俱乐部的256支队伍近3600名小球员参赛，参赛队伍数量及参赛人数再创新高。相比2008-2009赛季首届联赛的4支参赛队伍，赛事规模扩大近64倍。</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2.项目产出质量</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该项目六项比赛均按照赛事秩序册进行，场馆硬件条件和赛时服务保障符合标准。</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3.项目产出进度</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北京市中小学生校际冰球联赛于2021年5月9日-6月6日间举办完成；北京市青少年U系列花样滑冰冠军赛于2021年7月16日至18日间举办完成；北京市青少年U系列短道速滑冠军赛于2021年7月23至25日间举办完成；北京市青少年U系列滑雪冠军赛于2021年12月18日至19日间举办完成；北京市青少年U系列冰壶冠军赛于2021年12月18-19、25-26日间举办完成。这五项比赛均于2021年12月31日前举办完成。北京市青少年冰球俱乐部联赛分为竞技组和选拔组，其中竞技组常规赛由北京市体育局主办，受疫情及赛场安排影响，实际赛程为2021年10月10日-2022年1月16日完成。</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4.项目产出成本</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该项目预算控制数为474.015926万元，实际预算支出数为473.465926万元，预算执行率为99.88%，结余资金0.55万元，资金结余率为0.02%。项目产出成本能够较好的控制在预算范围内，且略有结余。</w:t>
      </w:r>
    </w:p>
    <w:p>
      <w:pPr>
        <w:spacing w:line="360" w:lineRule="auto"/>
        <w:ind w:firstLine="640" w:firstLineChars="200"/>
        <w:outlineLvl w:val="1"/>
        <w:rPr>
          <w:rFonts w:ascii="楷体_GB2312" w:hAnsi="楷体_GB2312" w:eastAsia="楷体_GB2312" w:cs="楷体_GB2312"/>
          <w:sz w:val="32"/>
          <w:szCs w:val="32"/>
        </w:rPr>
      </w:pPr>
      <w:bookmarkStart w:id="24" w:name="_Toc24506"/>
      <w:bookmarkStart w:id="25" w:name="_Toc23790"/>
      <w:r>
        <w:rPr>
          <w:rFonts w:hint="eastAsia" w:ascii="楷体_GB2312" w:hAnsi="楷体_GB2312" w:eastAsia="楷体_GB2312" w:cs="楷体_GB2312"/>
          <w:sz w:val="32"/>
          <w:szCs w:val="32"/>
        </w:rPr>
        <w:t>（四）项目效益情况</w:t>
      </w:r>
      <w:bookmarkEnd w:id="24"/>
      <w:bookmarkEnd w:id="25"/>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项目效益指标，满分30分，评价得分为26.7分。</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1.实施效益</w:t>
      </w:r>
    </w:p>
    <w:p>
      <w:pPr>
        <w:spacing w:line="560" w:lineRule="exact"/>
        <w:ind w:firstLine="640"/>
        <w:rPr>
          <w:rFonts w:ascii="仿宋_GB2312" w:hAnsi="楷体" w:eastAsia="仿宋_GB2312"/>
          <w:bCs/>
          <w:kern w:val="0"/>
          <w:sz w:val="32"/>
          <w:szCs w:val="28"/>
        </w:rPr>
      </w:pPr>
      <w:r>
        <w:rPr>
          <w:rFonts w:hint="eastAsia" w:ascii="仿宋_GB2312" w:hAnsi="楷体" w:eastAsia="仿宋_GB2312"/>
          <w:bCs/>
          <w:kern w:val="0"/>
          <w:sz w:val="32"/>
          <w:szCs w:val="28"/>
        </w:rPr>
        <w:t>该项目通过举办六项赛事，提高青少年参加冰雪赛事的兴趣，提供正式比赛机会，面向各中小学挑选出具备培养价值的运动员苗子，参加更高级别的青少年锦标赛，培养冰雪项目后备人才，同时助力宣传2022年北京冬奥会。</w:t>
      </w:r>
    </w:p>
    <w:p>
      <w:pPr>
        <w:spacing w:line="560" w:lineRule="exact"/>
        <w:ind w:firstLine="640"/>
        <w:rPr>
          <w:rFonts w:ascii="仿宋_GB2312" w:hAnsi="楷体" w:eastAsia="仿宋_GB2312"/>
          <w:bCs/>
          <w:kern w:val="0"/>
          <w:sz w:val="32"/>
          <w:szCs w:val="28"/>
        </w:rPr>
      </w:pPr>
      <w:r>
        <w:rPr>
          <w:rFonts w:hint="eastAsia" w:ascii="仿宋_GB2312" w:hAnsi="楷体" w:eastAsia="仿宋_GB2312"/>
          <w:bCs/>
          <w:kern w:val="0"/>
          <w:sz w:val="32"/>
          <w:szCs w:val="28"/>
        </w:rPr>
        <w:t>参加2021年青少年U系列短道速滑冠军赛各组别排名前24名的选手可获得2021年北京市青少年短道速滑锦标赛的参赛资格；参加2021年青少年U系列花样滑冰冠军赛各组别排名前16名的选手可获得2021年北京市花样滑冰锦标赛的参赛资格；参加2021年青少年U系列滑雪冠军赛高山滑雪（大回转）各组别前12名（含）、单板滑雪（大回转）各组别前16名（含）的运动员可获得2021年北京市青少年滑雪锦标赛的参赛资格。</w:t>
      </w:r>
    </w:p>
    <w:p>
      <w:pPr>
        <w:spacing w:line="560" w:lineRule="exact"/>
        <w:ind w:firstLine="640"/>
        <w:rPr>
          <w:rFonts w:ascii="仿宋_GB2312" w:hAnsi="楷体" w:eastAsia="仿宋_GB2312"/>
          <w:bCs/>
          <w:kern w:val="0"/>
          <w:sz w:val="32"/>
          <w:szCs w:val="28"/>
        </w:rPr>
      </w:pPr>
      <w:r>
        <w:rPr>
          <w:rFonts w:hint="eastAsia" w:ascii="仿宋_GB2312" w:hAnsi="楷体" w:eastAsia="仿宋_GB2312"/>
          <w:bCs/>
          <w:kern w:val="0"/>
          <w:sz w:val="32"/>
          <w:szCs w:val="28"/>
        </w:rPr>
        <w:t>从青少年冬季项目U系列冠军赛选拔的优秀选手将获得参与北京市青少年冬季项目锦标赛的资格，将冠军赛与北京市青少年冬季项目锦标赛紧密衔接，建立起分层次的青少年冬季项目赛事体系，为市冰雪运动发展储备人才。</w:t>
      </w:r>
    </w:p>
    <w:p>
      <w:pPr>
        <w:spacing w:line="560" w:lineRule="exact"/>
        <w:ind w:firstLine="640"/>
        <w:rPr>
          <w:rFonts w:ascii="仿宋_GB2312" w:hAnsi="楷体" w:eastAsia="仿宋_GB2312"/>
          <w:bCs/>
          <w:kern w:val="0"/>
          <w:sz w:val="32"/>
          <w:szCs w:val="28"/>
        </w:rPr>
      </w:pPr>
      <w:r>
        <w:rPr>
          <w:rFonts w:hint="eastAsia" w:ascii="仿宋_GB2312" w:hAnsi="楷体" w:eastAsia="仿宋_GB2312"/>
          <w:bCs/>
          <w:kern w:val="0"/>
          <w:sz w:val="32"/>
          <w:szCs w:val="28"/>
        </w:rPr>
        <w:t>比赛过程中赛事报道包括如新华社、新浪网等大媒体的报道，扩大冰雪运动比赛影响力，为2022年北京冬奥会造势。</w:t>
      </w:r>
    </w:p>
    <w:p>
      <w:pPr>
        <w:spacing w:line="560" w:lineRule="exact"/>
        <w:ind w:firstLine="640" w:firstLineChars="200"/>
        <w:rPr>
          <w:rFonts w:ascii="楷体" w:hAnsi="楷体" w:eastAsia="楷体" w:cs="楷体"/>
          <w:bCs/>
          <w:kern w:val="0"/>
          <w:sz w:val="32"/>
          <w:szCs w:val="28"/>
        </w:rPr>
      </w:pPr>
      <w:r>
        <w:rPr>
          <w:rFonts w:hint="eastAsia" w:ascii="楷体" w:hAnsi="楷体" w:eastAsia="楷体" w:cs="楷体"/>
          <w:bCs/>
          <w:kern w:val="0"/>
          <w:sz w:val="32"/>
          <w:szCs w:val="28"/>
        </w:rPr>
        <w:t>2.满意度</w:t>
      </w:r>
    </w:p>
    <w:p>
      <w:pPr>
        <w:spacing w:line="560" w:lineRule="exact"/>
        <w:ind w:firstLine="640"/>
        <w:rPr>
          <w:rFonts w:ascii="仿宋_GB2312" w:hAnsi="楷体" w:eastAsia="仿宋_GB2312"/>
          <w:bCs/>
          <w:kern w:val="0"/>
          <w:sz w:val="32"/>
          <w:szCs w:val="28"/>
        </w:rPr>
      </w:pPr>
      <w:r>
        <w:rPr>
          <w:rFonts w:hint="eastAsia" w:ascii="仿宋_GB2312" w:hAnsi="楷体" w:eastAsia="仿宋_GB2312"/>
          <w:bCs/>
          <w:kern w:val="0"/>
          <w:sz w:val="32"/>
          <w:szCs w:val="28"/>
        </w:rPr>
        <w:t>该项目由第三方单位进行满意度调查，通过微信小程序的方式对参赛运动员、家长、教练员领队进行《2021年北京市青少年体育赛事活动问卷调查》，共回收该项目有效满意度调查问卷84份（运动员19份、家长51份、教练员领队14份），满意度按“非常满意”、“满意”、“一般”、“不满意”的文字描述进行评价，并未对文字进行赋值，因此无法直接判断满意度情况，其中非常满意49份、满意27份，按比率为90.5%的受调查者表示满意，运动员中表示满意的比率为90%。但整体有效问卷数量较低。</w:t>
      </w:r>
    </w:p>
    <w:p>
      <w:pPr>
        <w:spacing w:line="600" w:lineRule="exact"/>
        <w:ind w:left="420" w:leftChars="200" w:firstLine="320" w:firstLineChars="100"/>
        <w:outlineLvl w:val="0"/>
        <w:rPr>
          <w:rFonts w:ascii="黑体" w:hAnsi="黑体" w:eastAsia="黑体" w:cs="黑体"/>
          <w:sz w:val="32"/>
          <w:szCs w:val="32"/>
        </w:rPr>
      </w:pPr>
      <w:bookmarkStart w:id="26" w:name="_Toc11518"/>
      <w:bookmarkStart w:id="27" w:name="_Toc1291"/>
      <w:r>
        <w:rPr>
          <w:rFonts w:hint="eastAsia" w:ascii="黑体" w:hAnsi="黑体" w:eastAsia="黑体" w:cs="黑体"/>
          <w:sz w:val="32"/>
          <w:szCs w:val="32"/>
        </w:rPr>
        <w:t>五、存在的问题</w:t>
      </w:r>
      <w:bookmarkEnd w:id="26"/>
      <w:bookmarkEnd w:id="27"/>
      <w:bookmarkStart w:id="28" w:name="_Toc21471"/>
      <w:bookmarkStart w:id="29" w:name="_Toc25747"/>
    </w:p>
    <w:p>
      <w:pPr>
        <w:spacing w:line="600" w:lineRule="exact"/>
        <w:ind w:firstLine="640" w:firstLineChars="200"/>
        <w:outlineLvl w:val="0"/>
        <w:rPr>
          <w:rFonts w:ascii="仿宋_GB2312" w:hAnsi="楷体" w:eastAsia="仿宋_GB2312"/>
          <w:bCs/>
          <w:kern w:val="0"/>
          <w:sz w:val="32"/>
          <w:szCs w:val="28"/>
        </w:rPr>
      </w:pPr>
      <w:r>
        <w:rPr>
          <w:rFonts w:hint="eastAsia" w:ascii="仿宋_GB2312" w:hAnsi="楷体" w:eastAsia="仿宋_GB2312"/>
          <w:bCs/>
          <w:kern w:val="0"/>
          <w:sz w:val="32"/>
          <w:szCs w:val="28"/>
        </w:rPr>
        <w:t>（一）在项目决策</w:t>
      </w:r>
      <w:bookmarkEnd w:id="28"/>
      <w:bookmarkEnd w:id="29"/>
      <w:r>
        <w:rPr>
          <w:rFonts w:hint="eastAsia" w:ascii="仿宋_GB2312" w:hAnsi="楷体" w:eastAsia="仿宋_GB2312"/>
          <w:bCs/>
          <w:kern w:val="0"/>
          <w:sz w:val="32"/>
          <w:szCs w:val="28"/>
        </w:rPr>
        <w:t>方面</w:t>
      </w:r>
      <w:r>
        <w:rPr>
          <w:rFonts w:ascii="仿宋_GB2312" w:hAnsi="楷体" w:eastAsia="仿宋_GB2312"/>
          <w:bCs/>
          <w:kern w:val="0"/>
          <w:sz w:val="32"/>
          <w:szCs w:val="28"/>
        </w:rPr>
        <w:t>，</w:t>
      </w:r>
      <w:r>
        <w:rPr>
          <w:rFonts w:hint="eastAsia" w:ascii="仿宋_GB2312" w:hAnsi="楷体" w:eastAsia="仿宋_GB2312"/>
          <w:bCs/>
          <w:kern w:val="0"/>
          <w:sz w:val="32"/>
          <w:szCs w:val="28"/>
        </w:rPr>
        <w:t>项目立项前期可行性研究不够深入，可行性研究报告内容不够全面。项目绩效指标设定不够细化，产出质量指标可衡量性不足。服务对象满意度调查指标局限性。</w:t>
      </w:r>
    </w:p>
    <w:p>
      <w:pPr>
        <w:pStyle w:val="3"/>
        <w:spacing w:before="0" w:after="0" w:line="560" w:lineRule="exact"/>
        <w:ind w:firstLine="640" w:firstLineChars="200"/>
        <w:rPr>
          <w:rFonts w:ascii="仿宋_GB2312" w:hAnsi="楷体" w:eastAsia="仿宋_GB2312" w:cs="Times New Roman"/>
          <w:b w:val="0"/>
          <w:kern w:val="0"/>
          <w:szCs w:val="28"/>
        </w:rPr>
      </w:pPr>
      <w:bookmarkStart w:id="30" w:name="_Toc21184"/>
      <w:bookmarkStart w:id="31" w:name="_Toc20795"/>
      <w:r>
        <w:rPr>
          <w:rFonts w:hint="eastAsia" w:ascii="仿宋_GB2312" w:hAnsi="楷体" w:eastAsia="仿宋_GB2312" w:cs="Times New Roman"/>
          <w:b w:val="0"/>
          <w:kern w:val="0"/>
          <w:szCs w:val="28"/>
        </w:rPr>
        <w:t>（二）项目管理</w:t>
      </w:r>
      <w:bookmarkEnd w:id="30"/>
      <w:bookmarkEnd w:id="31"/>
      <w:r>
        <w:rPr>
          <w:rFonts w:hint="eastAsia" w:ascii="仿宋_GB2312" w:hAnsi="楷体" w:eastAsia="仿宋_GB2312" w:cs="Times New Roman"/>
          <w:b w:val="0"/>
          <w:kern w:val="0"/>
          <w:szCs w:val="28"/>
        </w:rPr>
        <w:t>方面，项目实施方案不够细化</w:t>
      </w:r>
      <w:r>
        <w:rPr>
          <w:rFonts w:ascii="仿宋_GB2312" w:hAnsi="楷体" w:eastAsia="仿宋_GB2312" w:cs="Times New Roman"/>
          <w:b w:val="0"/>
          <w:kern w:val="0"/>
          <w:szCs w:val="28"/>
        </w:rPr>
        <w:t>、全面</w:t>
      </w:r>
      <w:r>
        <w:rPr>
          <w:rFonts w:hint="eastAsia" w:ascii="仿宋_GB2312" w:hAnsi="楷体" w:eastAsia="仿宋_GB2312" w:cs="Times New Roman"/>
          <w:b w:val="0"/>
          <w:kern w:val="0"/>
          <w:szCs w:val="28"/>
        </w:rPr>
        <w:t>，对参赛单位、承接赛事服务单位等管理要求不够具体，项目过程中</w:t>
      </w:r>
      <w:r>
        <w:rPr>
          <w:rFonts w:ascii="仿宋_GB2312" w:hAnsi="楷体" w:eastAsia="仿宋_GB2312" w:cs="Times New Roman"/>
          <w:b w:val="0"/>
          <w:kern w:val="0"/>
          <w:szCs w:val="28"/>
        </w:rPr>
        <w:t>的监管</w:t>
      </w:r>
      <w:r>
        <w:rPr>
          <w:rFonts w:hint="eastAsia" w:ascii="仿宋_GB2312" w:hAnsi="楷体" w:eastAsia="仿宋_GB2312" w:cs="Times New Roman"/>
          <w:b w:val="0"/>
          <w:kern w:val="0"/>
          <w:szCs w:val="28"/>
        </w:rPr>
        <w:t>资料</w:t>
      </w:r>
      <w:r>
        <w:rPr>
          <w:rFonts w:ascii="仿宋_GB2312" w:hAnsi="楷体" w:eastAsia="仿宋_GB2312" w:cs="Times New Roman"/>
          <w:b w:val="0"/>
          <w:kern w:val="0"/>
          <w:szCs w:val="28"/>
        </w:rPr>
        <w:t>留痕不够充分。</w:t>
      </w:r>
    </w:p>
    <w:p>
      <w:pPr>
        <w:pStyle w:val="3"/>
        <w:spacing w:before="0" w:after="0" w:line="560" w:lineRule="exact"/>
        <w:ind w:firstLine="640" w:firstLineChars="200"/>
        <w:rPr>
          <w:rFonts w:ascii="仿宋_GB2312" w:hAnsi="楷体" w:eastAsia="仿宋_GB2312" w:cs="Times New Roman"/>
          <w:b w:val="0"/>
          <w:kern w:val="0"/>
          <w:szCs w:val="28"/>
        </w:rPr>
      </w:pPr>
      <w:bookmarkStart w:id="32" w:name="_Toc28924"/>
      <w:bookmarkStart w:id="33" w:name="_Toc23794"/>
      <w:r>
        <w:rPr>
          <w:rFonts w:hint="eastAsia" w:ascii="仿宋_GB2312" w:hAnsi="楷体" w:eastAsia="仿宋_GB2312" w:cs="Times New Roman"/>
          <w:b w:val="0"/>
          <w:kern w:val="0"/>
          <w:szCs w:val="28"/>
        </w:rPr>
        <w:t>（三）项目绩效</w:t>
      </w:r>
      <w:bookmarkEnd w:id="32"/>
      <w:bookmarkEnd w:id="33"/>
      <w:r>
        <w:rPr>
          <w:rFonts w:hint="eastAsia" w:ascii="仿宋_GB2312" w:hAnsi="楷体" w:eastAsia="仿宋_GB2312" w:cs="Times New Roman"/>
          <w:b w:val="0"/>
          <w:kern w:val="0"/>
          <w:szCs w:val="28"/>
        </w:rPr>
        <w:t>方面，项目实施效益证明性不够充分，项目服务对象满意度调查设计不够科学。</w:t>
      </w:r>
    </w:p>
    <w:p>
      <w:pPr>
        <w:numPr>
          <w:ilvl w:val="0"/>
          <w:numId w:val="4"/>
        </w:numPr>
        <w:spacing w:line="600" w:lineRule="exact"/>
        <w:ind w:firstLine="640" w:firstLineChars="200"/>
        <w:outlineLvl w:val="0"/>
        <w:rPr>
          <w:rFonts w:ascii="黑体" w:hAnsi="黑体" w:eastAsia="黑体" w:cs="黑体"/>
          <w:sz w:val="32"/>
          <w:szCs w:val="32"/>
        </w:rPr>
      </w:pPr>
      <w:bookmarkStart w:id="34" w:name="_Toc3846"/>
      <w:bookmarkStart w:id="35" w:name="_Toc16572"/>
      <w:r>
        <w:rPr>
          <w:rFonts w:hint="eastAsia" w:ascii="黑体" w:hAnsi="黑体" w:eastAsia="黑体" w:cs="黑体"/>
          <w:sz w:val="32"/>
          <w:szCs w:val="32"/>
        </w:rPr>
        <w:t>有关建议</w:t>
      </w:r>
      <w:bookmarkEnd w:id="34"/>
      <w:bookmarkEnd w:id="35"/>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（一）进一步提高项目管理和绩效意识，加强顶层设计和前期调研分析、论证。合理设定绩效目标和产出指标，做到细化、量化可衡量。</w:t>
      </w:r>
    </w:p>
    <w:p>
      <w:pPr>
        <w:spacing w:line="560" w:lineRule="exact"/>
        <w:ind w:firstLine="640" w:firstLineChars="200"/>
        <w:rPr>
          <w:rFonts w:eastAsia="仿宋_GB2312"/>
        </w:rPr>
      </w:pPr>
      <w:r>
        <w:rPr>
          <w:rFonts w:hint="eastAsia" w:ascii="仿宋_GB2312" w:hAnsi="楷体" w:eastAsia="仿宋_GB2312"/>
          <w:bCs/>
          <w:kern w:val="0"/>
          <w:sz w:val="32"/>
          <w:szCs w:val="28"/>
        </w:rPr>
        <w:t>（二）完善项目实施方案的整体设计，制定实施方案内容全面，对参赛单位、承接赛事服务单位等提出明确管理要求。加强监管过程文件留痕。</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（三）项目实施效益需体现后备人才储备增加和社会影响力增加。加强满意度调查事前设计，做到覆盖面</w:t>
      </w:r>
      <w:r>
        <w:rPr>
          <w:rFonts w:ascii="仿宋_GB2312" w:hAnsi="楷体" w:eastAsia="仿宋_GB2312"/>
          <w:bCs/>
          <w:kern w:val="0"/>
          <w:sz w:val="32"/>
          <w:szCs w:val="28"/>
        </w:rPr>
        <w:t>全面，</w:t>
      </w:r>
      <w:r>
        <w:rPr>
          <w:rFonts w:hint="eastAsia" w:ascii="仿宋_GB2312" w:hAnsi="楷体" w:eastAsia="仿宋_GB2312"/>
          <w:bCs/>
          <w:kern w:val="0"/>
          <w:sz w:val="32"/>
          <w:szCs w:val="28"/>
        </w:rPr>
        <w:t>调查数量和比例相对合理。</w:t>
      </w:r>
    </w:p>
    <w:p>
      <w:pPr>
        <w:numPr>
          <w:ilvl w:val="0"/>
          <w:numId w:val="5"/>
        </w:numPr>
        <w:spacing w:line="600" w:lineRule="exact"/>
        <w:ind w:firstLine="640" w:firstLineChars="200"/>
        <w:outlineLvl w:val="0"/>
        <w:rPr>
          <w:rFonts w:ascii="黑体" w:hAnsi="黑体" w:eastAsia="黑体" w:cs="黑体"/>
          <w:sz w:val="32"/>
          <w:szCs w:val="32"/>
        </w:rPr>
      </w:pPr>
      <w:bookmarkStart w:id="36" w:name="_Toc5952"/>
      <w:bookmarkStart w:id="37" w:name="_Toc25575"/>
      <w:r>
        <w:rPr>
          <w:rFonts w:hint="eastAsia" w:ascii="黑体" w:hAnsi="黑体" w:eastAsia="黑体" w:cs="黑体"/>
          <w:sz w:val="32"/>
          <w:szCs w:val="32"/>
        </w:rPr>
        <w:t>其他需要说明的问题</w:t>
      </w:r>
      <w:bookmarkEnd w:id="36"/>
      <w:bookmarkEnd w:id="37"/>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无。</w:t>
      </w:r>
    </w:p>
    <w:p/>
    <w:sectPr>
      <w:footerReference r:id="rId3"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Leelawadee UI">
    <w:altName w:val="Leelawadee"/>
    <w:panose1 w:val="00000000000000000000"/>
    <w:charset w:val="00"/>
    <w:family w:val="swiss"/>
    <w:pitch w:val="default"/>
    <w:sig w:usb0="00000000" w:usb1="00000000" w:usb2="00010000" w:usb3="00000001" w:csb0="00010101" w:csb1="00000000"/>
  </w:font>
  <w:font w:name="Leelawadee">
    <w:panose1 w:val="020B0502040204020203"/>
    <w:charset w:val="00"/>
    <w:family w:val="auto"/>
    <w:pitch w:val="default"/>
    <w:sig w:usb0="810000AF" w:usb1="4000204B" w:usb2="00000000" w:usb3="00000000" w:csb0="2001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7132801"/>
      <w:docPartObj>
        <w:docPartGallery w:val="AutoText"/>
      </w:docPartObj>
    </w:sdtPr>
    <w:sdtContent>
      <w:p>
        <w:pPr>
          <w:pStyle w:val="5"/>
          <w:jc w:val="center"/>
        </w:pPr>
        <w:r>
          <w:fldChar w:fldCharType="begin"/>
        </w:r>
        <w:r>
          <w:instrText xml:space="preserve">PAGE   \* MERGEFORMAT</w:instrText>
        </w:r>
        <w:r>
          <w:fldChar w:fldCharType="separate"/>
        </w:r>
        <w:r>
          <w:rPr>
            <w:lang w:val="zh-CN"/>
          </w:rPr>
          <w:t>14</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94A80"/>
    <w:multiLevelType w:val="singleLevel"/>
    <w:tmpl w:val="AD294A80"/>
    <w:lvl w:ilvl="0" w:tentative="0">
      <w:start w:val="6"/>
      <w:numFmt w:val="chineseCounting"/>
      <w:suff w:val="nothing"/>
      <w:lvlText w:val="%1、"/>
      <w:lvlJc w:val="left"/>
      <w:rPr>
        <w:rFonts w:hint="eastAsia"/>
      </w:rPr>
    </w:lvl>
  </w:abstractNum>
  <w:abstractNum w:abstractNumId="1">
    <w:nsid w:val="E22A3D2B"/>
    <w:multiLevelType w:val="singleLevel"/>
    <w:tmpl w:val="E22A3D2B"/>
    <w:lvl w:ilvl="0" w:tentative="0">
      <w:start w:val="7"/>
      <w:numFmt w:val="chineseCounting"/>
      <w:suff w:val="nothing"/>
      <w:lvlText w:val="%1、"/>
      <w:lvlJc w:val="left"/>
      <w:rPr>
        <w:rFonts w:hint="eastAsia"/>
      </w:rPr>
    </w:lvl>
  </w:abstractNum>
  <w:abstractNum w:abstractNumId="2">
    <w:nsid w:val="010F703D"/>
    <w:multiLevelType w:val="singleLevel"/>
    <w:tmpl w:val="010F703D"/>
    <w:lvl w:ilvl="0" w:tentative="0">
      <w:start w:val="3"/>
      <w:numFmt w:val="chineseCounting"/>
      <w:suff w:val="nothing"/>
      <w:lvlText w:val="%1、"/>
      <w:lvlJc w:val="left"/>
      <w:rPr>
        <w:rFonts w:hint="eastAsia"/>
      </w:rPr>
    </w:lvl>
  </w:abstractNum>
  <w:abstractNum w:abstractNumId="3">
    <w:nsid w:val="0BB88AEC"/>
    <w:multiLevelType w:val="singleLevel"/>
    <w:tmpl w:val="0BB88AEC"/>
    <w:lvl w:ilvl="0" w:tentative="0">
      <w:start w:val="2"/>
      <w:numFmt w:val="chineseCounting"/>
      <w:suff w:val="nothing"/>
      <w:lvlText w:val="（%1）"/>
      <w:lvlJc w:val="left"/>
      <w:rPr>
        <w:rFonts w:hint="eastAsia"/>
      </w:rPr>
    </w:lvl>
  </w:abstractNum>
  <w:abstractNum w:abstractNumId="4">
    <w:nsid w:val="4A26C943"/>
    <w:multiLevelType w:val="singleLevel"/>
    <w:tmpl w:val="4A26C943"/>
    <w:lvl w:ilvl="0" w:tentative="0">
      <w:start w:val="2"/>
      <w:numFmt w:val="chineseCounting"/>
      <w:suff w:val="nothing"/>
      <w:lvlText w:val="（%1）"/>
      <w:lvlJc w:val="left"/>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MzE1OTA4YzgxZDhkMDc2MmYwNGYwMWY2YjM2YzgifQ=="/>
  </w:docVars>
  <w:rsids>
    <w:rsidRoot w:val="28F3191E"/>
    <w:rsid w:val="00010AE3"/>
    <w:rsid w:val="001B46CA"/>
    <w:rsid w:val="001E25BC"/>
    <w:rsid w:val="00277085"/>
    <w:rsid w:val="00396136"/>
    <w:rsid w:val="004538DA"/>
    <w:rsid w:val="004E41A0"/>
    <w:rsid w:val="00596D49"/>
    <w:rsid w:val="005C5312"/>
    <w:rsid w:val="006156BA"/>
    <w:rsid w:val="00787A9E"/>
    <w:rsid w:val="007A6AA3"/>
    <w:rsid w:val="007D4E84"/>
    <w:rsid w:val="007E4F6E"/>
    <w:rsid w:val="008000FA"/>
    <w:rsid w:val="00966C1C"/>
    <w:rsid w:val="009E5DFC"/>
    <w:rsid w:val="00AD32EA"/>
    <w:rsid w:val="00B95080"/>
    <w:rsid w:val="00BA1808"/>
    <w:rsid w:val="00C40A43"/>
    <w:rsid w:val="00C6383A"/>
    <w:rsid w:val="00C72599"/>
    <w:rsid w:val="00CD162C"/>
    <w:rsid w:val="00D74609"/>
    <w:rsid w:val="00FC1FFC"/>
    <w:rsid w:val="0118274B"/>
    <w:rsid w:val="026C6910"/>
    <w:rsid w:val="044E69E6"/>
    <w:rsid w:val="0610128E"/>
    <w:rsid w:val="066043D0"/>
    <w:rsid w:val="06EB0667"/>
    <w:rsid w:val="07C5050A"/>
    <w:rsid w:val="09293B85"/>
    <w:rsid w:val="0B1C4AA4"/>
    <w:rsid w:val="0B321D24"/>
    <w:rsid w:val="0BCB1EAD"/>
    <w:rsid w:val="0C8847FA"/>
    <w:rsid w:val="0CD27DF2"/>
    <w:rsid w:val="0E15577C"/>
    <w:rsid w:val="0F9C1579"/>
    <w:rsid w:val="10A34CFB"/>
    <w:rsid w:val="115B7A8C"/>
    <w:rsid w:val="11696014"/>
    <w:rsid w:val="137B7838"/>
    <w:rsid w:val="13E53EF4"/>
    <w:rsid w:val="140B3F9C"/>
    <w:rsid w:val="159B241C"/>
    <w:rsid w:val="168B6C88"/>
    <w:rsid w:val="17986EF3"/>
    <w:rsid w:val="18BB533F"/>
    <w:rsid w:val="1C997663"/>
    <w:rsid w:val="1D341210"/>
    <w:rsid w:val="1D5D4CCF"/>
    <w:rsid w:val="1D735F8D"/>
    <w:rsid w:val="1E186654"/>
    <w:rsid w:val="1EFE20E9"/>
    <w:rsid w:val="1F0726E3"/>
    <w:rsid w:val="1FC72FA0"/>
    <w:rsid w:val="215D509A"/>
    <w:rsid w:val="21DC3F26"/>
    <w:rsid w:val="23BC23A1"/>
    <w:rsid w:val="24B83200"/>
    <w:rsid w:val="253076C8"/>
    <w:rsid w:val="26421AB4"/>
    <w:rsid w:val="26FE41BB"/>
    <w:rsid w:val="284C19F8"/>
    <w:rsid w:val="28F3191E"/>
    <w:rsid w:val="29804E73"/>
    <w:rsid w:val="2A4131DE"/>
    <w:rsid w:val="2AD40C84"/>
    <w:rsid w:val="2B453A05"/>
    <w:rsid w:val="2CAC4F7C"/>
    <w:rsid w:val="2F2D25C3"/>
    <w:rsid w:val="31CC699C"/>
    <w:rsid w:val="320C7D59"/>
    <w:rsid w:val="33744FDC"/>
    <w:rsid w:val="344B49B7"/>
    <w:rsid w:val="35534264"/>
    <w:rsid w:val="35ED3E69"/>
    <w:rsid w:val="35EE1467"/>
    <w:rsid w:val="36B65358"/>
    <w:rsid w:val="37202261"/>
    <w:rsid w:val="372C5C60"/>
    <w:rsid w:val="386B5706"/>
    <w:rsid w:val="38A2602F"/>
    <w:rsid w:val="38C43885"/>
    <w:rsid w:val="3981548C"/>
    <w:rsid w:val="39A9430E"/>
    <w:rsid w:val="3AEE5330"/>
    <w:rsid w:val="3BA727E0"/>
    <w:rsid w:val="3BC8198C"/>
    <w:rsid w:val="3D8C0C0A"/>
    <w:rsid w:val="3DA60354"/>
    <w:rsid w:val="3E4945EC"/>
    <w:rsid w:val="3EB32CAF"/>
    <w:rsid w:val="3F255CB0"/>
    <w:rsid w:val="3F9153F5"/>
    <w:rsid w:val="403E45F0"/>
    <w:rsid w:val="40583F6D"/>
    <w:rsid w:val="413B0292"/>
    <w:rsid w:val="41796729"/>
    <w:rsid w:val="41E334AA"/>
    <w:rsid w:val="433356E0"/>
    <w:rsid w:val="43670446"/>
    <w:rsid w:val="43E6004C"/>
    <w:rsid w:val="465D7813"/>
    <w:rsid w:val="46697B4C"/>
    <w:rsid w:val="47A77C1F"/>
    <w:rsid w:val="47AF76D2"/>
    <w:rsid w:val="48735981"/>
    <w:rsid w:val="4994008B"/>
    <w:rsid w:val="499661D0"/>
    <w:rsid w:val="4A307927"/>
    <w:rsid w:val="4BA83D12"/>
    <w:rsid w:val="4D8B3266"/>
    <w:rsid w:val="50272B22"/>
    <w:rsid w:val="50740D57"/>
    <w:rsid w:val="512534F0"/>
    <w:rsid w:val="51A94B6E"/>
    <w:rsid w:val="546E78BD"/>
    <w:rsid w:val="549F2949"/>
    <w:rsid w:val="5650218D"/>
    <w:rsid w:val="574D7F68"/>
    <w:rsid w:val="57B2667B"/>
    <w:rsid w:val="59B62BB0"/>
    <w:rsid w:val="59B659FE"/>
    <w:rsid w:val="5B885F2A"/>
    <w:rsid w:val="5C2D2777"/>
    <w:rsid w:val="5CD66E63"/>
    <w:rsid w:val="5E6738FB"/>
    <w:rsid w:val="6024719D"/>
    <w:rsid w:val="63310E7C"/>
    <w:rsid w:val="634719FC"/>
    <w:rsid w:val="649D0A18"/>
    <w:rsid w:val="64AE73EF"/>
    <w:rsid w:val="66BE0146"/>
    <w:rsid w:val="68C318C5"/>
    <w:rsid w:val="690E0CEC"/>
    <w:rsid w:val="69597552"/>
    <w:rsid w:val="6A422C47"/>
    <w:rsid w:val="6AF32055"/>
    <w:rsid w:val="6B1570B3"/>
    <w:rsid w:val="6CA016F1"/>
    <w:rsid w:val="6FE63AA1"/>
    <w:rsid w:val="713E526D"/>
    <w:rsid w:val="722607DC"/>
    <w:rsid w:val="73E76F23"/>
    <w:rsid w:val="75CD2B1C"/>
    <w:rsid w:val="7A057064"/>
    <w:rsid w:val="7A547FAC"/>
    <w:rsid w:val="7A765D9B"/>
    <w:rsid w:val="7D02121E"/>
    <w:rsid w:val="7F6D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4"/>
    <w:basedOn w:val="1"/>
    <w:next w:val="1"/>
    <w:qFormat/>
    <w:uiPriority w:val="0"/>
    <w:pPr>
      <w:keepNext/>
      <w:keepLines/>
      <w:spacing w:before="280" w:after="290" w:line="372" w:lineRule="auto"/>
      <w:outlineLvl w:val="3"/>
    </w:pPr>
    <w:rPr>
      <w:rFonts w:ascii="Cambria" w:hAnsi="Cambria" w:cs="Cambria"/>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toc 3"/>
    <w:basedOn w:val="1"/>
    <w:next w:val="1"/>
    <w:uiPriority w:val="0"/>
    <w:pPr>
      <w:ind w:left="840" w:leftChars="400"/>
    </w:pPr>
  </w:style>
  <w:style w:type="paragraph" w:styleId="5">
    <w:name w:val="footer"/>
    <w:basedOn w:val="1"/>
    <w:link w:val="21"/>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1"/>
    <w:basedOn w:val="1"/>
    <w:qFormat/>
    <w:uiPriority w:val="34"/>
    <w:pPr>
      <w:ind w:firstLine="420" w:firstLineChars="200"/>
    </w:pPr>
    <w:rPr>
      <w:rFonts w:ascii="Calibri" w:hAnsi="Calibri" w:cs="黑体"/>
      <w:szCs w:val="22"/>
    </w:rPr>
  </w:style>
  <w:style w:type="paragraph" w:customStyle="1" w:styleId="13">
    <w:name w:val="WPSOffice手动目录 1"/>
    <w:qFormat/>
    <w:uiPriority w:val="0"/>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7">
    <w:name w:val="font71"/>
    <w:basedOn w:val="11"/>
    <w:qFormat/>
    <w:uiPriority w:val="0"/>
    <w:rPr>
      <w:rFonts w:hint="eastAsia" w:ascii="宋体" w:hAnsi="宋体" w:eastAsia="宋体" w:cs="宋体"/>
      <w:color w:val="000000"/>
      <w:sz w:val="22"/>
      <w:szCs w:val="22"/>
      <w:u w:val="none"/>
    </w:rPr>
  </w:style>
  <w:style w:type="character" w:customStyle="1" w:styleId="18">
    <w:name w:val="font11"/>
    <w:basedOn w:val="11"/>
    <w:qFormat/>
    <w:uiPriority w:val="0"/>
    <w:rPr>
      <w:rFonts w:ascii="微软雅黑" w:hAnsi="微软雅黑" w:eastAsia="微软雅黑" w:cs="微软雅黑"/>
      <w:color w:val="000000"/>
      <w:sz w:val="22"/>
      <w:szCs w:val="22"/>
      <w:u w:val="none"/>
    </w:rPr>
  </w:style>
  <w:style w:type="character" w:customStyle="1" w:styleId="19">
    <w:name w:val="font41"/>
    <w:basedOn w:val="11"/>
    <w:qFormat/>
    <w:uiPriority w:val="0"/>
    <w:rPr>
      <w:rFonts w:hint="eastAsia" w:ascii="宋体" w:hAnsi="宋体" w:eastAsia="宋体" w:cs="宋体"/>
      <w:color w:val="000000"/>
      <w:sz w:val="22"/>
      <w:szCs w:val="22"/>
      <w:u w:val="none"/>
    </w:rPr>
  </w:style>
  <w:style w:type="character" w:customStyle="1" w:styleId="20">
    <w:name w:val="font01"/>
    <w:basedOn w:val="11"/>
    <w:qFormat/>
    <w:uiPriority w:val="0"/>
    <w:rPr>
      <w:rFonts w:hint="eastAsia" w:ascii="微软雅黑" w:hAnsi="微软雅黑" w:eastAsia="微软雅黑" w:cs="微软雅黑"/>
      <w:color w:val="000000"/>
      <w:sz w:val="22"/>
      <w:szCs w:val="22"/>
      <w:u w:val="none"/>
    </w:rPr>
  </w:style>
  <w:style w:type="character" w:customStyle="1" w:styleId="21">
    <w:name w:val="页脚 字符"/>
    <w:basedOn w:val="11"/>
    <w:link w:val="5"/>
    <w:uiPriority w:val="99"/>
    <w:rPr>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6841</Words>
  <Characters>7592</Characters>
  <Lines>54</Lines>
  <Paragraphs>15</Paragraphs>
  <TotalTime>54</TotalTime>
  <ScaleCrop>false</ScaleCrop>
  <LinksUpToDate>false</LinksUpToDate>
  <CharactersWithSpaces>7598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2022-08-24T03:32:00Z</dcterms:created>
  <dc:creator>rw</dc:creator>
  <cp:lastModifiedBy>rw</cp:lastModifiedBy>
  <dcterms:modified xsi:type="dcterms:W3CDTF">2022-08-25T01:56:16Z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1B46495B25294E9D9135CC7D6271BA23</vt:lpwstr>
  </property>
</Properties>
</file>