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8D0" w:rsidRDefault="00F422F6">
      <w:pPr>
        <w:jc w:val="center"/>
        <w:rPr>
          <w:rFonts w:ascii="方正小标宋简体" w:eastAsia="方正小标宋简体"/>
          <w:sz w:val="44"/>
          <w:szCs w:val="44"/>
        </w:rPr>
      </w:pPr>
      <w:r>
        <w:rPr>
          <w:rFonts w:ascii="方正小标宋简体" w:eastAsia="方正小标宋简体" w:hint="eastAsia"/>
          <w:sz w:val="44"/>
          <w:szCs w:val="44"/>
        </w:rPr>
        <w:t>北京市体育局2021年部门整体绩效评价报告</w:t>
      </w:r>
    </w:p>
    <w:p w:rsidR="002368D0" w:rsidRDefault="00F422F6">
      <w:pPr>
        <w:spacing w:line="520" w:lineRule="atLeast"/>
        <w:ind w:firstLineChars="200" w:firstLine="560"/>
        <w:rPr>
          <w:rFonts w:ascii="仿宋_GB2312" w:eastAsia="仿宋_GB2312" w:hAnsi="仿宋_GB2312" w:cs="仿宋_GB2312"/>
          <w:color w:val="000000"/>
          <w:kern w:val="0"/>
          <w:sz w:val="28"/>
          <w:szCs w:val="28"/>
        </w:rPr>
      </w:pPr>
      <w:r>
        <w:rPr>
          <w:rFonts w:ascii="黑体" w:eastAsia="黑体" w:hAnsi="黑体" w:cs="宋体" w:hint="eastAsia"/>
          <w:color w:val="000000"/>
          <w:kern w:val="0"/>
          <w:sz w:val="28"/>
          <w:szCs w:val="28"/>
        </w:rPr>
        <w:t>一、</w:t>
      </w:r>
      <w:r>
        <w:rPr>
          <w:rFonts w:ascii="仿宋_GB2312" w:eastAsia="仿宋_GB2312" w:hAnsi="仿宋_GB2312" w:cs="仿宋_GB2312" w:hint="eastAsia"/>
          <w:color w:val="000000"/>
          <w:kern w:val="0"/>
          <w:sz w:val="28"/>
          <w:szCs w:val="28"/>
        </w:rPr>
        <w:t>部门概况</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（一）机构设置及职责工作任务情况</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1.机构设置情况</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根据中共中央、国务院批准的北京市人民政府机构改革方案和《北京市人民政府办公厅关于印发北京市体育局主要职责内设机构和人员编制规定的通知》（京政办发〔2009〕74号），设立北京市体育局。北京市体育局内设13个职能处室，包括办公室、法规宣传处、群众体育处、竞技体育处、青少年体育处、体育产业发展处（北京市体育市场管理办公室）、科技教育处、规划建设处、财务处、人事处、机关党委、工会、离退休干部处。</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北京市体育局有直属事业单位2</w:t>
      </w:r>
      <w:r>
        <w:rPr>
          <w:rFonts w:ascii="仿宋_GB2312" w:eastAsia="仿宋_GB2312"/>
          <w:sz w:val="28"/>
          <w:szCs w:val="28"/>
        </w:rPr>
        <w:t>5</w:t>
      </w:r>
      <w:r>
        <w:rPr>
          <w:rFonts w:ascii="仿宋_GB2312" w:eastAsia="仿宋_GB2312" w:hint="eastAsia"/>
          <w:sz w:val="28"/>
          <w:szCs w:val="28"/>
        </w:rPr>
        <w:t>个，分别为北京市先农坛体育运动技术学校、北京市木樨园体育运动技术学校、北京市射击运动技术学校、</w:t>
      </w:r>
      <w:proofErr w:type="gramStart"/>
      <w:r>
        <w:rPr>
          <w:rFonts w:ascii="仿宋_GB2312" w:eastAsia="仿宋_GB2312" w:hint="eastAsia"/>
          <w:sz w:val="28"/>
          <w:szCs w:val="28"/>
        </w:rPr>
        <w:t>北京市芦城体育运动</w:t>
      </w:r>
      <w:proofErr w:type="gramEnd"/>
      <w:r>
        <w:rPr>
          <w:rFonts w:ascii="仿宋_GB2312" w:eastAsia="仿宋_GB2312" w:hint="eastAsia"/>
          <w:sz w:val="28"/>
          <w:szCs w:val="28"/>
        </w:rPr>
        <w:t>技术学校、北京市什刹海体育运动学校、北京市体育局新闻中心、北京市航空运动学校、北京棋院、北京体育职业学院、北京市游泳运动学校、北京市体育专业人员管理中心、北京市体育局离退休人员服务中心、北京市社会体育管理中心、北京市体育局信息中心、北京市体育科学研究所、北京市排球运动管理中心、北京市冬季运动管理中心、北京市反兴奋剂中心、北京市国际体育交流中心、北京市体</w:t>
      </w:r>
      <w:r>
        <w:rPr>
          <w:rFonts w:ascii="仿宋_GB2312" w:eastAsia="仿宋_GB2312" w:hint="eastAsia"/>
          <w:sz w:val="28"/>
          <w:szCs w:val="28"/>
        </w:rPr>
        <w:lastRenderedPageBreak/>
        <w:t>育服务事业管理中心、北京市体育竞赛管理中心、北京武术院、北京市体育总会秘书处、北京市网球运动管理中心、北京市体育设施管理中心。</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w:t>
      </w:r>
      <w:r>
        <w:rPr>
          <w:rFonts w:ascii="仿宋_GB2312" w:eastAsia="仿宋_GB2312" w:hAnsi="仿宋_GB2312" w:cs="仿宋_GB2312" w:hint="eastAsia"/>
          <w:sz w:val="28"/>
          <w:szCs w:val="28"/>
        </w:rPr>
        <w:t>职责工作任务情况</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一是贯彻执行国家关于体育工作方面的方针、政策和法律、法规、规章，起草本市相关地方性法规草案、政府规章草案，拟订体育事业发展规划和政策并组织实施。</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二是协调本市区域性体育发展，负责推动多元化体育服务体系建设，推进体育公共服务和体育体制改革。</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三是统筹规划本市群众体育发展，负责推行全民健身计划，监督实施国家体育锻炼标准，推动国民体质监测和社会体育指导工作队伍制度建设，指导公共体育设施的建设，负责对公共体育设施的监督管理。</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四是统筹规划本市竞技体育发展，指导协调体育训练和体育竞赛，指导运动队伍建设，协调运动员社会保障工作。</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五是统筹规划本市青少年体育发展，指导和推进青少年体育工作。</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六是会同有关部门拟订本市体育产业发展规划和政策，培育、引导和扶持体育产业，推动产业结构优化升级，规范体育服务管理，推动体育标准化建设。</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lastRenderedPageBreak/>
        <w:t>七是指导、管理本市体育外事有关工作，组织开展国际间和与港澳台的体育交流与合作。</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八是组织开展本市体育领域重大科技研究、技术攻关和成果推广。</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九是主办、承办重大体育赛事活动。</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十是负责组织、协调、监督本市体育运动中的反兴奋剂工作。</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十一是负责全市性体育社会团体的资格审查和业务管理工作。</w:t>
      </w:r>
    </w:p>
    <w:p w:rsidR="002368D0" w:rsidRDefault="00F422F6">
      <w:pPr>
        <w:tabs>
          <w:tab w:val="center" w:pos="6979"/>
        </w:tabs>
        <w:spacing w:line="520" w:lineRule="atLeast"/>
        <w:ind w:firstLineChars="200" w:firstLine="560"/>
        <w:rPr>
          <w:rFonts w:ascii="仿宋_GB2312" w:eastAsia="仿宋_GB2312"/>
          <w:sz w:val="28"/>
          <w:szCs w:val="28"/>
        </w:rPr>
      </w:pPr>
      <w:r>
        <w:rPr>
          <w:rFonts w:ascii="仿宋_GB2312" w:eastAsia="仿宋_GB2312" w:hint="eastAsia"/>
          <w:sz w:val="28"/>
          <w:szCs w:val="28"/>
        </w:rPr>
        <w:t>十二是依法对本市体育行业的安全工作承担管理责任，对以市体育局名义组织的各类活动的安全工作承担主体责任。</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int="eastAsia"/>
          <w:sz w:val="28"/>
          <w:szCs w:val="28"/>
        </w:rPr>
        <w:t>十三是承办市政府交办的其他事项。</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3</w:t>
      </w:r>
      <w:r>
        <w:rPr>
          <w:rFonts w:ascii="仿宋_GB2312" w:eastAsia="仿宋_GB2312" w:hAnsi="仿宋_GB2312" w:cs="仿宋_GB2312" w:hint="eastAsia"/>
          <w:sz w:val="28"/>
          <w:szCs w:val="28"/>
        </w:rPr>
        <w:t>.部门整体绩效目标设立情况</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color w:val="000000"/>
          <w:kern w:val="0"/>
          <w:sz w:val="28"/>
          <w:szCs w:val="28"/>
        </w:rPr>
        <w:t>（1）绩效目标设立依据</w:t>
      </w:r>
      <w:r>
        <w:rPr>
          <w:rFonts w:ascii="仿宋_GB2312" w:eastAsia="仿宋_GB2312" w:hAnsi="仿宋_GB2312" w:cs="仿宋_GB2312" w:hint="eastAsia"/>
          <w:sz w:val="28"/>
          <w:szCs w:val="28"/>
        </w:rPr>
        <w:t>为《中华人民共和国体育法》、</w:t>
      </w:r>
      <w:bookmarkStart w:id="0" w:name="_Hlk103943098"/>
      <w:r>
        <w:rPr>
          <w:rFonts w:ascii="仿宋_GB2312" w:eastAsia="仿宋_GB2312" w:hAnsi="仿宋_GB2312" w:cs="仿宋_GB2312" w:hint="eastAsia"/>
          <w:sz w:val="28"/>
          <w:szCs w:val="28"/>
        </w:rPr>
        <w:t>国务院办公厅《体育强国建设纲要》、国家体育总局《</w:t>
      </w:r>
      <w:bookmarkStart w:id="1" w:name="_Hlk103943318"/>
      <w:r>
        <w:rPr>
          <w:rFonts w:ascii="仿宋_GB2312" w:eastAsia="仿宋_GB2312" w:hAnsi="仿宋_GB2312" w:cs="仿宋_GB2312" w:hint="eastAsia"/>
          <w:sz w:val="28"/>
          <w:szCs w:val="28"/>
        </w:rPr>
        <w:t>“</w:t>
      </w:r>
      <w:bookmarkEnd w:id="0"/>
      <w:r>
        <w:rPr>
          <w:rFonts w:ascii="仿宋_GB2312" w:eastAsia="仿宋_GB2312" w:hAnsi="仿宋_GB2312" w:cs="仿宋_GB2312" w:hint="eastAsia"/>
          <w:sz w:val="28"/>
          <w:szCs w:val="28"/>
        </w:rPr>
        <w:t>十四五”体育发展规划</w:t>
      </w:r>
      <w:bookmarkEnd w:id="1"/>
      <w:r>
        <w:rPr>
          <w:rFonts w:ascii="仿宋_GB2312" w:eastAsia="仿宋_GB2312" w:hAnsi="仿宋_GB2312" w:cs="仿宋_GB2312" w:hint="eastAsia"/>
          <w:sz w:val="28"/>
          <w:szCs w:val="28"/>
        </w:rPr>
        <w:t>》、北京市人民政府《“十四五”时期健康北京建设规划》、北京市体育局单位职能、北京市体育局年度工作任务计划或项目规划等。</w:t>
      </w:r>
    </w:p>
    <w:p w:rsidR="002368D0" w:rsidRDefault="00F422F6">
      <w:pPr>
        <w:numPr>
          <w:ilvl w:val="0"/>
          <w:numId w:val="1"/>
        </w:numPr>
        <w:spacing w:line="520" w:lineRule="atLeast"/>
        <w:rPr>
          <w:rFonts w:ascii="仿宋_GB2312" w:eastAsia="仿宋_GB2312" w:hAnsi="仿宋_GB2312" w:cs="仿宋_GB2312"/>
          <w:sz w:val="28"/>
          <w:szCs w:val="28"/>
        </w:rPr>
      </w:pPr>
      <w:r>
        <w:rPr>
          <w:rFonts w:ascii="仿宋_GB2312" w:eastAsia="仿宋_GB2312" w:hAnsi="仿宋_GB2312" w:cs="仿宋_GB2312" w:hint="eastAsia"/>
          <w:sz w:val="28"/>
          <w:szCs w:val="28"/>
        </w:rPr>
        <w:t>目标设置情况</w:t>
      </w:r>
    </w:p>
    <w:p w:rsidR="002368D0" w:rsidRDefault="00F422F6">
      <w:pPr>
        <w:spacing w:line="520" w:lineRule="atLeast"/>
        <w:ind w:firstLine="64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2021年北京市体育局部门绩效总体目标：2021年是“十四五”开局之年，也是东京奥运会、陕西全运会的举办之年，2022年冬奥会备战关键之年。北京市体育局认真学</w:t>
      </w:r>
      <w:proofErr w:type="gramStart"/>
      <w:r>
        <w:rPr>
          <w:rFonts w:ascii="仿宋_GB2312" w:eastAsia="仿宋_GB2312" w:hAnsi="仿宋_GB2312" w:cs="仿宋_GB2312" w:hint="eastAsia"/>
          <w:sz w:val="28"/>
          <w:szCs w:val="28"/>
        </w:rPr>
        <w:t>习习近</w:t>
      </w:r>
      <w:proofErr w:type="gramEnd"/>
      <w:r>
        <w:rPr>
          <w:rFonts w:ascii="仿宋_GB2312" w:eastAsia="仿宋_GB2312" w:hAnsi="仿宋_GB2312" w:cs="仿宋_GB2312" w:hint="eastAsia"/>
          <w:sz w:val="28"/>
          <w:szCs w:val="28"/>
        </w:rPr>
        <w:t>平总书记关于体育工作的重要论述，深入贯彻市委、市政府关于实施全民健身国家战略和加快推进体育强国建设的决策部署，积极把握筹办北京2022年冬奥会、冬残奥会和京津冀协同发展的历史机遇，按照“建设体育强国北京要做表率，为国争光北京要做贡献”的总体思路，持续提升体育发展的质量和效益，不断满足人民对美好生活的需要，努力谱写建设国际一流</w:t>
      </w:r>
      <w:proofErr w:type="gramStart"/>
      <w:r>
        <w:rPr>
          <w:rFonts w:ascii="仿宋_GB2312" w:eastAsia="仿宋_GB2312" w:hAnsi="仿宋_GB2312" w:cs="仿宋_GB2312" w:hint="eastAsia"/>
          <w:sz w:val="28"/>
          <w:szCs w:val="28"/>
        </w:rPr>
        <w:t>和谐宜</w:t>
      </w:r>
      <w:proofErr w:type="gramEnd"/>
      <w:r>
        <w:rPr>
          <w:rFonts w:ascii="仿宋_GB2312" w:eastAsia="仿宋_GB2312" w:hAnsi="仿宋_GB2312" w:cs="仿宋_GB2312" w:hint="eastAsia"/>
          <w:sz w:val="28"/>
          <w:szCs w:val="28"/>
        </w:rPr>
        <w:t>居之都的体育事业篇章。</w:t>
      </w:r>
    </w:p>
    <w:p w:rsidR="002368D0" w:rsidRDefault="00F422F6">
      <w:pPr>
        <w:spacing w:line="520" w:lineRule="atLeast"/>
        <w:ind w:firstLine="64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sz w:val="28"/>
          <w:szCs w:val="28"/>
        </w:rPr>
        <w:t>021</w:t>
      </w:r>
      <w:r>
        <w:rPr>
          <w:rFonts w:ascii="仿宋_GB2312" w:eastAsia="仿宋_GB2312" w:hAnsi="仿宋_GB2312" w:cs="仿宋_GB2312" w:hint="eastAsia"/>
          <w:sz w:val="28"/>
          <w:szCs w:val="28"/>
        </w:rPr>
        <w:t>年北京市体育局部门绩效分项目标：</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一是推进“七有”“五性”，促进全民健身健康发展。完善全民健身赛事活动体系，建立健全常态化疫情防控形势下的全民健身赛事活动机制，打造更多群众性</w:t>
      </w:r>
      <w:proofErr w:type="gramStart"/>
      <w:r>
        <w:rPr>
          <w:rFonts w:ascii="仿宋_GB2312" w:eastAsia="仿宋_GB2312" w:hAnsi="仿宋_GB2312" w:cs="仿宋_GB2312" w:hint="eastAsia"/>
          <w:sz w:val="28"/>
          <w:szCs w:val="28"/>
        </w:rPr>
        <w:t>品牌赛事</w:t>
      </w:r>
      <w:proofErr w:type="gramEnd"/>
      <w:r>
        <w:rPr>
          <w:rFonts w:ascii="仿宋_GB2312" w:eastAsia="仿宋_GB2312" w:hAnsi="仿宋_GB2312" w:cs="仿宋_GB2312" w:hint="eastAsia"/>
          <w:sz w:val="28"/>
          <w:szCs w:val="28"/>
        </w:rPr>
        <w:t>活动；推动科学健身与健康生活融合发展，深化体</w:t>
      </w:r>
      <w:proofErr w:type="gramStart"/>
      <w:r>
        <w:rPr>
          <w:rFonts w:ascii="仿宋_GB2312" w:eastAsia="仿宋_GB2312" w:hAnsi="仿宋_GB2312" w:cs="仿宋_GB2312" w:hint="eastAsia"/>
          <w:sz w:val="28"/>
          <w:szCs w:val="28"/>
        </w:rPr>
        <w:t>医</w:t>
      </w:r>
      <w:proofErr w:type="gramEnd"/>
      <w:r>
        <w:rPr>
          <w:rFonts w:ascii="仿宋_GB2312" w:eastAsia="仿宋_GB2312" w:hAnsi="仿宋_GB2312" w:cs="仿宋_GB2312" w:hint="eastAsia"/>
          <w:sz w:val="28"/>
          <w:szCs w:val="28"/>
        </w:rPr>
        <w:t>融合，建立运动促进健康新模式，提升市民科学健身水平。</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二是</w:t>
      </w:r>
      <w:r>
        <w:rPr>
          <w:rFonts w:ascii="仿宋_GB2312" w:eastAsia="仿宋_GB2312" w:hAnsi="仿宋_GB2312" w:cs="仿宋_GB2312"/>
          <w:sz w:val="28"/>
          <w:szCs w:val="28"/>
        </w:rPr>
        <w:t>全力备战“两运”，提升竞技体育综合实力。全力备战2021年东京奥运会和陕西全运会，进一步增强北京竞技实力；优化布局竞技体育项目，鼓励引导社会办项目蓬勃发展；提升竞技体育科技助力水平，提高训练质量效益，改造打造标准化、现代化训练基地；建立健全运动员保障体系，解决运动员后顾之忧。</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三是深化体教融合，促进青少年体育全面发展。加快推进体育后备人才培养，围绕“专、精、全”积极推进体校改革；持续加强学校体育工作，鼓励体育传统特色学校建立高水平运动队，开展青少年集训；整合优化青少年赛事活动，重点打造北京市中小学生篮球冠军赛等品牌赛事，为青少年体育人才成长提供保障。</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是强化冬奥备战，推动冰雪运动发展迈上新台阶。普及群众性冰雪运动，继续举办市民快乐冰雪季系列活动；提升竞技冰雪运动水平，多渠道引进优秀运动员，备战2022年北京冬奥会；启动冰上项目训练基地，购置冰雪运动队训练设施设备；广泛开展青少年冰雪活动赛事，打造北京市青少年冰球俱乐部联赛等精品赛事；培育冰雪运动后备人才，大力开展冬季项目业余训练。</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是提升赛事品质，助力首都国际交往中心建设。全力做好2023年亚足联亚洲杯足球赛北京赛事各项筹办工作；继续举办中国网球公开赛、国际雪联单板滑雪及自由式滑雪大跳台世界杯，提升赛事价值，促进体育产业链的形成。</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（3）北京市体育局绩效目标围绕部门职责和重点任务设置，绩效目标设置较为合理。</w:t>
      </w:r>
    </w:p>
    <w:p w:rsidR="002368D0" w:rsidRDefault="00F422F6">
      <w:pPr>
        <w:spacing w:line="520" w:lineRule="atLeas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二、当年预算执行情况</w:t>
      </w:r>
    </w:p>
    <w:p w:rsidR="002368D0" w:rsidRDefault="00F422F6">
      <w:pPr>
        <w:spacing w:line="520" w:lineRule="atLeas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2021年全年预算数</w:t>
      </w:r>
      <w:r>
        <w:rPr>
          <w:rFonts w:ascii="仿宋_GB2312" w:eastAsia="仿宋_GB2312" w:hAnsi="仿宋_GB2312" w:cs="仿宋_GB2312"/>
          <w:kern w:val="0"/>
          <w:sz w:val="28"/>
          <w:szCs w:val="28"/>
        </w:rPr>
        <w:t>198,539.94</w:t>
      </w:r>
      <w:r>
        <w:rPr>
          <w:rFonts w:ascii="仿宋_GB2312" w:eastAsia="仿宋_GB2312" w:hAnsi="仿宋_GB2312" w:cs="仿宋_GB2312" w:hint="eastAsia"/>
          <w:kern w:val="0"/>
          <w:sz w:val="28"/>
          <w:szCs w:val="28"/>
        </w:rPr>
        <w:t>万元，其中，基本支出预算数</w:t>
      </w:r>
      <w:r>
        <w:rPr>
          <w:rFonts w:ascii="仿宋_GB2312" w:eastAsia="仿宋_GB2312" w:hAnsi="仿宋_GB2312" w:cs="仿宋_GB2312"/>
          <w:kern w:val="0"/>
          <w:sz w:val="28"/>
          <w:szCs w:val="28"/>
        </w:rPr>
        <w:t>86,425.50</w:t>
      </w:r>
      <w:r>
        <w:rPr>
          <w:rFonts w:ascii="仿宋_GB2312" w:eastAsia="仿宋_GB2312" w:hAnsi="仿宋_GB2312" w:cs="仿宋_GB2312" w:hint="eastAsia"/>
          <w:kern w:val="0"/>
          <w:sz w:val="28"/>
          <w:szCs w:val="28"/>
        </w:rPr>
        <w:t>万元，项目支出预算数1</w:t>
      </w:r>
      <w:r>
        <w:rPr>
          <w:rFonts w:ascii="仿宋_GB2312" w:eastAsia="仿宋_GB2312" w:hAnsi="仿宋_GB2312" w:cs="仿宋_GB2312"/>
          <w:kern w:val="0"/>
          <w:sz w:val="28"/>
          <w:szCs w:val="28"/>
        </w:rPr>
        <w:t>12,114.44</w:t>
      </w:r>
      <w:r>
        <w:rPr>
          <w:rFonts w:ascii="仿宋_GB2312" w:eastAsia="仿宋_GB2312" w:hAnsi="仿宋_GB2312" w:cs="仿宋_GB2312" w:hint="eastAsia"/>
          <w:kern w:val="0"/>
          <w:sz w:val="28"/>
          <w:szCs w:val="28"/>
        </w:rPr>
        <w:t>万元。</w:t>
      </w:r>
      <w:r>
        <w:rPr>
          <w:rFonts w:ascii="仿宋_GB2312" w:eastAsia="仿宋_GB2312" w:hAnsi="仿宋_GB2312" w:cs="仿宋_GB2312" w:hint="eastAsia"/>
          <w:kern w:val="0"/>
          <w:sz w:val="28"/>
          <w:szCs w:val="28"/>
        </w:rPr>
        <w:lastRenderedPageBreak/>
        <w:t>资金总体支出</w:t>
      </w:r>
      <w:r>
        <w:rPr>
          <w:rFonts w:ascii="仿宋_GB2312" w:eastAsia="仿宋_GB2312" w:hAnsi="仿宋_GB2312" w:cs="仿宋_GB2312"/>
          <w:kern w:val="0"/>
          <w:sz w:val="28"/>
          <w:szCs w:val="28"/>
        </w:rPr>
        <w:t>163,830.14</w:t>
      </w:r>
      <w:r>
        <w:rPr>
          <w:rFonts w:ascii="仿宋_GB2312" w:eastAsia="仿宋_GB2312" w:hAnsi="仿宋_GB2312" w:cs="仿宋_GB2312" w:hint="eastAsia"/>
          <w:kern w:val="0"/>
          <w:sz w:val="28"/>
          <w:szCs w:val="28"/>
        </w:rPr>
        <w:t>万元，其中，基本支出</w:t>
      </w:r>
      <w:r>
        <w:rPr>
          <w:rFonts w:ascii="仿宋_GB2312" w:eastAsia="仿宋_GB2312" w:hAnsi="仿宋_GB2312" w:cs="仿宋_GB2312"/>
          <w:kern w:val="0"/>
          <w:sz w:val="28"/>
          <w:szCs w:val="28"/>
        </w:rPr>
        <w:t>84,114.84</w:t>
      </w:r>
      <w:r>
        <w:rPr>
          <w:rFonts w:ascii="仿宋_GB2312" w:eastAsia="仿宋_GB2312" w:hAnsi="仿宋_GB2312" w:cs="仿宋_GB2312" w:hint="eastAsia"/>
          <w:kern w:val="0"/>
          <w:sz w:val="28"/>
          <w:szCs w:val="28"/>
        </w:rPr>
        <w:t>万元，项目支出</w:t>
      </w:r>
      <w:r>
        <w:rPr>
          <w:rFonts w:ascii="仿宋_GB2312" w:eastAsia="仿宋_GB2312" w:hAnsi="仿宋_GB2312" w:cs="仿宋_GB2312"/>
          <w:kern w:val="0"/>
          <w:sz w:val="28"/>
          <w:szCs w:val="28"/>
        </w:rPr>
        <w:t>79,715.31</w:t>
      </w:r>
      <w:r>
        <w:rPr>
          <w:rFonts w:ascii="仿宋_GB2312" w:eastAsia="仿宋_GB2312" w:hAnsi="仿宋_GB2312" w:cs="仿宋_GB2312" w:hint="eastAsia"/>
          <w:kern w:val="0"/>
          <w:sz w:val="28"/>
          <w:szCs w:val="28"/>
        </w:rPr>
        <w:t>万元。</w:t>
      </w:r>
    </w:p>
    <w:p w:rsidR="002368D0" w:rsidRDefault="00F422F6">
      <w:pPr>
        <w:spacing w:line="520" w:lineRule="atLeas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预算执行率为</w:t>
      </w:r>
      <w:r>
        <w:rPr>
          <w:rFonts w:ascii="仿宋_GB2312" w:eastAsia="仿宋_GB2312" w:hAnsi="仿宋_GB2312" w:cs="仿宋_GB2312"/>
          <w:kern w:val="0"/>
          <w:sz w:val="28"/>
          <w:szCs w:val="28"/>
        </w:rPr>
        <w:t>82.51%,</w:t>
      </w:r>
      <w:r>
        <w:rPr>
          <w:rFonts w:ascii="仿宋_GB2312" w:eastAsia="仿宋_GB2312" w:hAnsi="仿宋_GB2312" w:cs="仿宋_GB2312" w:hint="eastAsia"/>
          <w:kern w:val="0"/>
          <w:sz w:val="28"/>
          <w:szCs w:val="28"/>
        </w:rPr>
        <w:t>其中</w:t>
      </w:r>
      <w:r>
        <w:rPr>
          <w:rFonts w:ascii="仿宋_GB2312" w:eastAsia="仿宋_GB2312" w:hAnsi="仿宋_GB2312" w:cs="仿宋_GB2312"/>
          <w:kern w:val="0"/>
          <w:sz w:val="28"/>
          <w:szCs w:val="28"/>
        </w:rPr>
        <w:t>:</w:t>
      </w:r>
      <w:r>
        <w:rPr>
          <w:rFonts w:ascii="仿宋_GB2312" w:eastAsia="仿宋_GB2312" w:hAnsi="仿宋_GB2312" w:cs="仿宋_GB2312" w:hint="eastAsia"/>
          <w:kern w:val="0"/>
          <w:sz w:val="28"/>
          <w:szCs w:val="28"/>
        </w:rPr>
        <w:t>基本支出预算执行率为97.</w:t>
      </w:r>
      <w:r>
        <w:rPr>
          <w:rFonts w:ascii="仿宋_GB2312" w:eastAsia="仿宋_GB2312" w:hAnsi="仿宋_GB2312" w:cs="仿宋_GB2312"/>
          <w:kern w:val="0"/>
          <w:sz w:val="28"/>
          <w:szCs w:val="28"/>
        </w:rPr>
        <w:t>33</w:t>
      </w:r>
      <w:r>
        <w:rPr>
          <w:rFonts w:ascii="仿宋_GB2312" w:eastAsia="仿宋_GB2312" w:hAnsi="仿宋_GB2312" w:cs="仿宋_GB2312" w:hint="eastAsia"/>
          <w:kern w:val="0"/>
          <w:sz w:val="28"/>
          <w:szCs w:val="28"/>
        </w:rPr>
        <w:t>%，项目支出预算执行率为71.10%。项目支出预算执行率较低的原因是：综合性运动会运动员教练员成绩奖励、先农坛体育场先农坛门</w:t>
      </w:r>
      <w:proofErr w:type="gramStart"/>
      <w:r>
        <w:rPr>
          <w:rFonts w:ascii="仿宋_GB2312" w:eastAsia="仿宋_GB2312" w:hAnsi="仿宋_GB2312" w:cs="仿宋_GB2312" w:hint="eastAsia"/>
          <w:kern w:val="0"/>
          <w:sz w:val="28"/>
          <w:szCs w:val="28"/>
        </w:rPr>
        <w:t>至内坛东门</w:t>
      </w:r>
      <w:proofErr w:type="gramEnd"/>
      <w:r>
        <w:rPr>
          <w:rFonts w:ascii="仿宋_GB2312" w:eastAsia="仿宋_GB2312" w:hAnsi="仿宋_GB2312" w:cs="仿宋_GB2312" w:hint="eastAsia"/>
          <w:kern w:val="0"/>
          <w:sz w:val="28"/>
          <w:szCs w:val="28"/>
        </w:rPr>
        <w:t>区域整治、先农</w:t>
      </w:r>
      <w:proofErr w:type="gramStart"/>
      <w:r>
        <w:rPr>
          <w:rFonts w:ascii="仿宋_GB2312" w:eastAsia="仿宋_GB2312" w:hAnsi="仿宋_GB2312" w:cs="仿宋_GB2312" w:hint="eastAsia"/>
          <w:kern w:val="0"/>
          <w:sz w:val="28"/>
          <w:szCs w:val="28"/>
        </w:rPr>
        <w:t>坛综合</w:t>
      </w:r>
      <w:proofErr w:type="gramEnd"/>
      <w:r>
        <w:rPr>
          <w:rFonts w:ascii="仿宋_GB2312" w:eastAsia="仿宋_GB2312" w:hAnsi="仿宋_GB2312" w:cs="仿宋_GB2312" w:hint="eastAsia"/>
          <w:kern w:val="0"/>
          <w:sz w:val="28"/>
          <w:szCs w:val="28"/>
        </w:rPr>
        <w:t>训练馆加固节能改造、冰上项目训练基地等项目为追加项目，2021年底未达到支出条件。</w:t>
      </w:r>
    </w:p>
    <w:p w:rsidR="002368D0" w:rsidRDefault="00F422F6">
      <w:pPr>
        <w:spacing w:line="520" w:lineRule="atLeast"/>
        <w:ind w:leftChars="50" w:left="105" w:firstLineChars="150" w:firstLine="42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三、整体绩效目标实现情况</w:t>
      </w:r>
    </w:p>
    <w:p w:rsidR="002368D0" w:rsidRDefault="00F422F6">
      <w:pPr>
        <w:spacing w:line="520" w:lineRule="atLeas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（一）产出完成情况分析</w:t>
      </w:r>
    </w:p>
    <w:p w:rsidR="002368D0" w:rsidRDefault="00F422F6">
      <w:pPr>
        <w:spacing w:line="520" w:lineRule="atLeast"/>
        <w:ind w:leftChars="50" w:left="105" w:firstLineChars="150" w:firstLine="42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w:t>
      </w:r>
      <w:r>
        <w:rPr>
          <w:rFonts w:ascii="仿宋_GB2312" w:eastAsia="仿宋_GB2312" w:hAnsi="仿宋_GB2312" w:cs="仿宋_GB2312"/>
          <w:color w:val="000000"/>
          <w:kern w:val="0"/>
          <w:sz w:val="28"/>
          <w:szCs w:val="28"/>
        </w:rPr>
        <w:t>.</w:t>
      </w:r>
      <w:r>
        <w:rPr>
          <w:rFonts w:ascii="仿宋_GB2312" w:eastAsia="仿宋_GB2312" w:hAnsi="仿宋_GB2312" w:cs="仿宋_GB2312" w:hint="eastAsia"/>
          <w:color w:val="000000"/>
          <w:kern w:val="0"/>
          <w:sz w:val="28"/>
          <w:szCs w:val="28"/>
        </w:rPr>
        <w:t>产出数量</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是着力促进健康，全民健身公共服务体系持续完善。超额完成市政府重要民生实事项目，建成367处体育健身活动场所，创建41个全民健身示范街道和体育特色乡镇。完成室外健身器材“一键报修”试点，3000余件室外健身器材通过安装“二维码”实现及时报修。指导各区新建更新室外健身器材1.6万件。成功举办首届“社区杯”足球赛，精心组织全民健身体育节、体育大会等各级各类线上线下赛事活动2.1万余项次，参与人次超过1150万。组织参加陕西全运会群众组比赛，共取得6金9银10铜的优异成绩。开展20期市级社会体育指导员培训和130场健身技能进基层培训活动，录制推送居家健身视频670余条，组织全民健身科学指导大讲堂、在线课堂等802场，</w:t>
      </w:r>
      <w:proofErr w:type="gramStart"/>
      <w:r>
        <w:rPr>
          <w:rFonts w:ascii="仿宋_GB2312" w:eastAsia="仿宋_GB2312" w:hAnsi="仿宋_GB2312" w:cs="仿宋_GB2312" w:hint="eastAsia"/>
          <w:sz w:val="28"/>
          <w:szCs w:val="28"/>
        </w:rPr>
        <w:lastRenderedPageBreak/>
        <w:t>受众超</w:t>
      </w:r>
      <w:proofErr w:type="gramEnd"/>
      <w:r>
        <w:rPr>
          <w:rFonts w:ascii="仿宋_GB2312" w:eastAsia="仿宋_GB2312" w:hAnsi="仿宋_GB2312" w:cs="仿宋_GB2312" w:hint="eastAsia"/>
          <w:sz w:val="28"/>
          <w:szCs w:val="28"/>
        </w:rPr>
        <w:t>1.38亿人次。深入实施体</w:t>
      </w:r>
      <w:proofErr w:type="gramStart"/>
      <w:r>
        <w:rPr>
          <w:rFonts w:ascii="仿宋_GB2312" w:eastAsia="仿宋_GB2312" w:hAnsi="仿宋_GB2312" w:cs="仿宋_GB2312" w:hint="eastAsia"/>
          <w:sz w:val="28"/>
          <w:szCs w:val="28"/>
        </w:rPr>
        <w:t>医</w:t>
      </w:r>
      <w:proofErr w:type="gramEnd"/>
      <w:r>
        <w:rPr>
          <w:rFonts w:ascii="仿宋_GB2312" w:eastAsia="仿宋_GB2312" w:hAnsi="仿宋_GB2312" w:cs="仿宋_GB2312" w:hint="eastAsia"/>
          <w:sz w:val="28"/>
          <w:szCs w:val="28"/>
        </w:rPr>
        <w:t>融合战略合作协议，开展社区健康促进服务中心试点建设，举办运动处方培训班2期，共培训450余名医护人员。体</w:t>
      </w:r>
      <w:proofErr w:type="gramStart"/>
      <w:r>
        <w:rPr>
          <w:rFonts w:ascii="仿宋_GB2312" w:eastAsia="仿宋_GB2312" w:hAnsi="仿宋_GB2312" w:cs="仿宋_GB2312" w:hint="eastAsia"/>
          <w:sz w:val="28"/>
          <w:szCs w:val="28"/>
        </w:rPr>
        <w:t>医</w:t>
      </w:r>
      <w:proofErr w:type="gramEnd"/>
      <w:r>
        <w:rPr>
          <w:rFonts w:ascii="仿宋_GB2312" w:eastAsia="仿宋_GB2312" w:hAnsi="仿宋_GB2312" w:cs="仿宋_GB2312" w:hint="eastAsia"/>
          <w:sz w:val="28"/>
          <w:szCs w:val="28"/>
        </w:rPr>
        <w:t>深度融合协同创新实验室被评为国家智能社会治理实验基地。</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是狠抓训练备战，“两运”参赛取得优良成绩。全力以赴做好奥运入围和参赛保障工作，本市运动员在东京奥运会上获得4金5银4铜的优异成绩，国家贡献率继续保持全国前列。在陕西全运会上，本市有599名运动员参加28个大项、35个分项、232个小项的比赛，获得了21金14银15铜的良好成绩，并获得体育道德风尚奖，取得了运动成绩和精神文明双丰收。紧密围绕国际国内体育赛事任务落实，推进反兴奋剂宣教培训和检查检测工作，全年共开展教育活动30场，培训3500余人次，全覆盖督导检查各单位反兴奋剂工作4次，未出现兴奋剂阳性问题。</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是科学统筹青少年体育赛事，提升体育后备人才培养水平。统筹举办36项青少年锦标赛、25项U系列冠军赛、13项体育传统校比赛，打造青少年足球俱乐部联赛、篮球俱乐部联赛、中小学生排球锦标赛等青少年“三大球”品牌赛事。</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是紧扣冬奥筹办，冰雪运动发展全面发力。狠抓冰雪运动竞技备战，制定重点人员保障计划，持续加强训练参赛工作，37人入选国家集训队，共取得第一名10项次、第二名14项次、第三名6项次，北京男子冰球队蝉联全国锦标赛冠军，北京女子冰球队首夺全国锦标赛冠军，实现历史性突破。加强冰上项目场地设施建设，有效冰面面</w:t>
      </w:r>
      <w:r>
        <w:rPr>
          <w:rFonts w:ascii="仿宋_GB2312" w:eastAsia="仿宋_GB2312" w:hAnsi="仿宋_GB2312" w:cs="仿宋_GB2312" w:hint="eastAsia"/>
          <w:sz w:val="28"/>
          <w:szCs w:val="28"/>
        </w:rPr>
        <w:lastRenderedPageBreak/>
        <w:t>积不小于1800平方米室内标准冰场数量达到49块，超额完成2022年目标。大力普及冰雪运动知识和技能，制作播出40期《冬奥知否》电视专栏、207期电台冰雪专题节目，组织第七届市民快乐冰雪季，参与人次达到530余万。成功举办青少年U系列短道速滑、花样滑冰、滑雪、冰壶冠军赛和中小学生校际冰球联赛，组织青少年冰球俱乐部联赛，25个俱乐部的近3600名小球员参赛，比赛场次达到1224场，赛事规模继续保持亚洲第一。</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五是注重分析</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判，体育赛事安全有序筹办。适时调整体育赛事活动疫情防控措施，主动服务冬奥会测试赛，深入</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北京马拉松、中国网球公开赛等赛事可行性，成功举办北京国际长跑节—北京半程马拉松、城市副中心马拉松、国际帆船赛等重要赛事。支持指导市级单项协会裁判委员会建设，举办20个项目裁判晋级培训班，全市一级（含）以上注册裁判员总人数达到4495人，同比增加17.7%。</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六是聚焦发展质量，体育产业谋新局开新篇。成功举办第二届“8·8北京体育消费节”，推出60个市级体育旅游精品项目，发挥体育头部企业和社会组织的示范引领作用，市场主体达到1.6万余个。</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七是精心谋划组织，重大活动服务保障任务圆满完成。全力服务保障中国共产党成立100周年庆祝活动，圆满完成和平鸽和气球放飞等工作。积极筹办</w:t>
      </w:r>
      <w:proofErr w:type="gramStart"/>
      <w:r>
        <w:rPr>
          <w:rFonts w:ascii="仿宋_GB2312" w:eastAsia="仿宋_GB2312" w:hAnsi="仿宋_GB2312" w:cs="仿宋_GB2312" w:hint="eastAsia"/>
          <w:sz w:val="28"/>
          <w:szCs w:val="28"/>
        </w:rPr>
        <w:t>服贸会</w:t>
      </w:r>
      <w:proofErr w:type="gramEnd"/>
      <w:r>
        <w:rPr>
          <w:rFonts w:ascii="仿宋_GB2312" w:eastAsia="仿宋_GB2312" w:hAnsi="仿宋_GB2312" w:cs="仿宋_GB2312" w:hint="eastAsia"/>
          <w:sz w:val="28"/>
          <w:szCs w:val="28"/>
        </w:rPr>
        <w:t>体育服务专题，吸引301家知名体育企业及相关机构参展，线下展商国际化率达到55%，会期签约总金额111.46亿元，创历史新高。</w:t>
      </w:r>
    </w:p>
    <w:p w:rsidR="002368D0" w:rsidRDefault="00F422F6">
      <w:pPr>
        <w:spacing w:line="520" w:lineRule="atLeast"/>
        <w:ind w:leftChars="50" w:left="105" w:firstLineChars="150" w:firstLine="42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2</w:t>
      </w:r>
      <w:r>
        <w:rPr>
          <w:rFonts w:ascii="仿宋_GB2312" w:eastAsia="仿宋_GB2312" w:hAnsi="仿宋_GB2312" w:cs="仿宋_GB2312"/>
          <w:color w:val="000000"/>
          <w:kern w:val="0"/>
          <w:sz w:val="28"/>
          <w:szCs w:val="28"/>
        </w:rPr>
        <w:t>.</w:t>
      </w:r>
      <w:r>
        <w:rPr>
          <w:rFonts w:ascii="仿宋_GB2312" w:eastAsia="仿宋_GB2312" w:hAnsi="仿宋_GB2312" w:cs="仿宋_GB2312" w:hint="eastAsia"/>
          <w:color w:val="000000"/>
          <w:kern w:val="0"/>
          <w:sz w:val="28"/>
          <w:szCs w:val="28"/>
        </w:rPr>
        <w:t>产出质量</w:t>
      </w:r>
    </w:p>
    <w:p w:rsidR="002368D0" w:rsidRDefault="00F422F6">
      <w:pPr>
        <w:pStyle w:val="a8"/>
        <w:spacing w:before="0" w:beforeAutospacing="0" w:after="0" w:afterAutospacing="0" w:line="520" w:lineRule="atLeast"/>
        <w:ind w:firstLineChars="200" w:firstLine="560"/>
        <w:jc w:val="both"/>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一是紧紧围绕广大市民多样化运动健身需求，进一步建设群众身边体育场地设施，开展丰富多彩的全民健身活动。市体育局与各区政府、市有关部门协作配合，市区联动，全力推进体育场地设施建设，超额完成实事任务，创建41个全民健身示范街道和体育特色乡镇，建成367处足球场、篮球场、健身房、乒乓球室等室内</w:t>
      </w:r>
      <w:proofErr w:type="gramStart"/>
      <w:r>
        <w:rPr>
          <w:rFonts w:ascii="仿宋_GB2312" w:eastAsia="仿宋_GB2312" w:hAnsi="仿宋_GB2312" w:cs="仿宋_GB2312" w:hint="eastAsia"/>
          <w:b w:val="0"/>
          <w:kern w:val="2"/>
          <w:sz w:val="28"/>
          <w:szCs w:val="28"/>
        </w:rPr>
        <w:t>外体育</w:t>
      </w:r>
      <w:proofErr w:type="gramEnd"/>
      <w:r>
        <w:rPr>
          <w:rFonts w:ascii="仿宋_GB2312" w:eastAsia="仿宋_GB2312" w:hAnsi="仿宋_GB2312" w:cs="仿宋_GB2312" w:hint="eastAsia"/>
          <w:b w:val="0"/>
          <w:kern w:val="2"/>
          <w:sz w:val="28"/>
          <w:szCs w:val="28"/>
        </w:rPr>
        <w:t>健身活动场所进一步满足群众健身需求。提升全民健身赛事活动品质，引领全民健身工作迈向新台阶。组织举办市全民健身体育节、市体育大会、“和谐杯”乒乓球比赛、公园半程马拉松等品牌系列赛事活动；聚焦重要节庆活动，举办“百载红船路 全民奥运行”</w:t>
      </w:r>
      <w:proofErr w:type="gramStart"/>
      <w:r>
        <w:rPr>
          <w:rFonts w:ascii="仿宋_GB2312" w:eastAsia="仿宋_GB2312" w:hAnsi="仿宋_GB2312" w:cs="仿宋_GB2312" w:hint="eastAsia"/>
          <w:b w:val="0"/>
          <w:kern w:val="2"/>
          <w:sz w:val="28"/>
          <w:szCs w:val="28"/>
        </w:rPr>
        <w:t>健康走跑线</w:t>
      </w:r>
      <w:proofErr w:type="gramEnd"/>
      <w:r>
        <w:rPr>
          <w:rFonts w:ascii="仿宋_GB2312" w:eastAsia="仿宋_GB2312" w:hAnsi="仿宋_GB2312" w:cs="仿宋_GB2312" w:hint="eastAsia"/>
          <w:b w:val="0"/>
          <w:kern w:val="2"/>
          <w:sz w:val="28"/>
          <w:szCs w:val="28"/>
        </w:rPr>
        <w:t>上活动、“全民健身日”活动和春节期间系列活动、端午文化节暨端午节龙舟大赛、重阳登山大会等；举办徒步、柔力球、武术、铁人三项等赛事活动，促进体育国际交流和创新发展。举办首届冰球、射箭、飞镖等公开赛和国际航空航天模型邀请赛、国际帆船赛、卡丁车挑战赛等赛事活动，推进小众精品体育项目发展。全市开展各级各类线上线下全民健身赛事活动2.1万余项次、参与人次超过1150万。推广居家健身，录制推送健身视频670余条，组织开展全民健身科学指导大讲堂系列活动800余场、</w:t>
      </w:r>
      <w:proofErr w:type="gramStart"/>
      <w:r>
        <w:rPr>
          <w:rFonts w:ascii="仿宋_GB2312" w:eastAsia="仿宋_GB2312" w:hAnsi="仿宋_GB2312" w:cs="仿宋_GB2312" w:hint="eastAsia"/>
          <w:b w:val="0"/>
          <w:kern w:val="2"/>
          <w:sz w:val="28"/>
          <w:szCs w:val="28"/>
        </w:rPr>
        <w:t>受众超</w:t>
      </w:r>
      <w:proofErr w:type="gramEnd"/>
      <w:r>
        <w:rPr>
          <w:rFonts w:ascii="仿宋_GB2312" w:eastAsia="仿宋_GB2312" w:hAnsi="仿宋_GB2312" w:cs="仿宋_GB2312" w:hint="eastAsia"/>
          <w:b w:val="0"/>
          <w:kern w:val="2"/>
          <w:sz w:val="28"/>
          <w:szCs w:val="28"/>
        </w:rPr>
        <w:t>1.38亿人次。</w:t>
      </w:r>
    </w:p>
    <w:p w:rsidR="002368D0" w:rsidRDefault="00F422F6">
      <w:pPr>
        <w:pStyle w:val="a8"/>
        <w:spacing w:before="0" w:beforeAutospacing="0" w:after="0" w:afterAutospacing="0" w:line="520" w:lineRule="atLeast"/>
        <w:ind w:firstLineChars="200" w:firstLine="560"/>
        <w:jc w:val="both"/>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二是备战参加东京奥运会和陕西全运会。在东京奥运会，北京有18名运动员参加了15个分项25个小项的</w:t>
      </w:r>
      <w:r>
        <w:rPr>
          <w:rFonts w:ascii="仿宋_GB2312" w:eastAsia="仿宋_GB2312" w:hAnsi="仿宋_GB2312" w:cs="仿宋_GB2312" w:hint="eastAsia"/>
          <w:b w:val="0"/>
          <w:kern w:val="2"/>
          <w:sz w:val="28"/>
          <w:szCs w:val="28"/>
        </w:rPr>
        <w:lastRenderedPageBreak/>
        <w:t>比赛，夺得4枚金牌、5枚银牌、4枚铜牌，顺利完成奥运会参赛任务，金牌贡献率继续保持全国前列。在陕西全运会，北京有599名运动员参加了28个大项、35个分项、232个小项的比赛，获得21枚金牌、14枚银牌、15枚铜牌，同时获得体育道德风尚奖，取得了运动成绩和精神文明双丰收。制定竞技体育科技助力和科研课题评估暂行规定，进一步提升一线运动队科学训练效果。持续打造“三大球”名片，北汽男排在年度职业联赛中再次问鼎冠军，北京篮球队获得1枚全运会金牌并有6支队伍获得了名次，北京男子足球队时隔12年再次进入全运会决赛。</w:t>
      </w:r>
      <w:proofErr w:type="gramStart"/>
      <w:r>
        <w:rPr>
          <w:rFonts w:ascii="仿宋_GB2312" w:eastAsia="仿宋_GB2312" w:hAnsi="仿宋_GB2312" w:cs="仿宋_GB2312" w:hint="eastAsia"/>
          <w:b w:val="0"/>
          <w:kern w:val="2"/>
          <w:sz w:val="28"/>
          <w:szCs w:val="28"/>
        </w:rPr>
        <w:t>非奥项目</w:t>
      </w:r>
      <w:proofErr w:type="gramEnd"/>
      <w:r>
        <w:rPr>
          <w:rFonts w:ascii="仿宋_GB2312" w:eastAsia="仿宋_GB2312" w:hAnsi="仿宋_GB2312" w:cs="仿宋_GB2312" w:hint="eastAsia"/>
          <w:b w:val="0"/>
          <w:kern w:val="2"/>
          <w:sz w:val="28"/>
          <w:szCs w:val="28"/>
        </w:rPr>
        <w:t>竞技水平不断提升，象棋女队实现联赛四连冠，在国际象棋项目上赢得全国锦标赛个人甲组冠军。</w:t>
      </w:r>
    </w:p>
    <w:p w:rsidR="002368D0" w:rsidRDefault="00F422F6">
      <w:pPr>
        <w:pStyle w:val="a8"/>
        <w:spacing w:before="0" w:beforeAutospacing="0" w:after="0" w:afterAutospacing="0" w:line="520" w:lineRule="atLeast"/>
        <w:ind w:firstLineChars="200" w:firstLine="560"/>
        <w:jc w:val="both"/>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三是坚持体教融合，高水平体育后备人才基地不断夯实。编制关于加强和改进北京市业余训练工作实施意见和深入推进体教融合实施方案。高标准推动全国足球发展重点城市申报工作，按时提交政府保证函、市体育局申报函等材料，扎实做好现场考察评估前各项准备。制定“奔跑吧·少年”工作实施方案，加快构建家庭、学校、社区联动，集活动、竞赛、培训、集训、评估等为一体的青少年科学健身普及体育活动体系。建立全市青少年体育培训机构分级</w:t>
      </w:r>
      <w:proofErr w:type="gramStart"/>
      <w:r>
        <w:rPr>
          <w:rFonts w:ascii="仿宋_GB2312" w:eastAsia="仿宋_GB2312" w:hAnsi="仿宋_GB2312" w:cs="仿宋_GB2312" w:hint="eastAsia"/>
          <w:b w:val="0"/>
          <w:kern w:val="2"/>
          <w:sz w:val="28"/>
          <w:szCs w:val="28"/>
        </w:rPr>
        <w:t>分类台</w:t>
      </w:r>
      <w:proofErr w:type="gramEnd"/>
      <w:r>
        <w:rPr>
          <w:rFonts w:ascii="仿宋_GB2312" w:eastAsia="仿宋_GB2312" w:hAnsi="仿宋_GB2312" w:cs="仿宋_GB2312" w:hint="eastAsia"/>
          <w:b w:val="0"/>
          <w:kern w:val="2"/>
          <w:sz w:val="28"/>
          <w:szCs w:val="28"/>
        </w:rPr>
        <w:t>账，青少年体育俱乐部星级评定试点有序推进。</w:t>
      </w:r>
    </w:p>
    <w:p w:rsidR="002368D0" w:rsidRDefault="00F422F6">
      <w:pPr>
        <w:pStyle w:val="a8"/>
        <w:spacing w:before="0" w:beforeAutospacing="0" w:after="0" w:afterAutospacing="0" w:line="520" w:lineRule="atLeast"/>
        <w:ind w:firstLineChars="200" w:firstLine="560"/>
        <w:jc w:val="both"/>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四是加强冬季项目队伍建设，推广普及大众冰雪运动。狠抓冰雪运动竞技备战，严格对驻训市冰上项目训练基地的人员实行闭环管理，强化防疫措施，全面服务保障雪车雪橇项目国际训练周、计时赛和世界杯等赛事活动</w:t>
      </w:r>
      <w:r>
        <w:rPr>
          <w:rFonts w:ascii="仿宋_GB2312" w:eastAsia="仿宋_GB2312" w:hAnsi="仿宋_GB2312" w:cs="仿宋_GB2312" w:hint="eastAsia"/>
          <w:b w:val="0"/>
          <w:kern w:val="2"/>
          <w:sz w:val="28"/>
          <w:szCs w:val="28"/>
        </w:rPr>
        <w:lastRenderedPageBreak/>
        <w:t>期间封闭训练安全顺利。开展北京市区级青少年业余训练冬季项目运动队评估工作，审核确认125支区级青少年业余训练冬季项目运动队。编制完成北京市第二届冬季运动会青少年竞技组规程总则。举办系列冰雪运动知识宣讲网络直播等活动，累计</w:t>
      </w:r>
      <w:proofErr w:type="gramStart"/>
      <w:r>
        <w:rPr>
          <w:rFonts w:ascii="仿宋_GB2312" w:eastAsia="仿宋_GB2312" w:hAnsi="仿宋_GB2312" w:cs="仿宋_GB2312" w:hint="eastAsia"/>
          <w:b w:val="0"/>
          <w:kern w:val="2"/>
          <w:sz w:val="28"/>
          <w:szCs w:val="28"/>
        </w:rPr>
        <w:t>受众超5715万人次</w:t>
      </w:r>
      <w:proofErr w:type="gramEnd"/>
      <w:r>
        <w:rPr>
          <w:rFonts w:ascii="仿宋_GB2312" w:eastAsia="仿宋_GB2312" w:hAnsi="仿宋_GB2312" w:cs="仿宋_GB2312" w:hint="eastAsia"/>
          <w:b w:val="0"/>
          <w:kern w:val="2"/>
          <w:sz w:val="28"/>
          <w:szCs w:val="28"/>
        </w:rPr>
        <w:t>，62万人次参与线上有奖冬奥知识问答活动，快乐冰雪</w:t>
      </w:r>
      <w:proofErr w:type="gramStart"/>
      <w:r>
        <w:rPr>
          <w:rFonts w:ascii="仿宋_GB2312" w:eastAsia="仿宋_GB2312" w:hAnsi="仿宋_GB2312" w:cs="仿宋_GB2312" w:hint="eastAsia"/>
          <w:b w:val="0"/>
          <w:kern w:val="2"/>
          <w:sz w:val="28"/>
          <w:szCs w:val="28"/>
        </w:rPr>
        <w:t>季微博</w:t>
      </w:r>
      <w:proofErr w:type="gramEnd"/>
      <w:r>
        <w:rPr>
          <w:rFonts w:ascii="仿宋_GB2312" w:eastAsia="仿宋_GB2312" w:hAnsi="仿宋_GB2312" w:cs="仿宋_GB2312" w:hint="eastAsia"/>
          <w:b w:val="0"/>
          <w:kern w:val="2"/>
          <w:sz w:val="28"/>
          <w:szCs w:val="28"/>
        </w:rPr>
        <w:t>话题关注量累计达到17.9亿。培训2622人并授予冰雪运动社会体育指导员称号。启动第八届冰雪季系列活动，精心打造大众冰雪北京公开赛品牌。举办青少年U系列冬季项目冠军赛和冰球联赛等，其中青少年冰球俱乐部联赛的赛事规模继续保持亚洲第一。</w:t>
      </w:r>
    </w:p>
    <w:p w:rsidR="002368D0" w:rsidRDefault="00F422F6">
      <w:pPr>
        <w:pStyle w:val="a8"/>
        <w:spacing w:before="0" w:beforeAutospacing="0" w:after="0" w:afterAutospacing="0" w:line="520" w:lineRule="atLeast"/>
        <w:ind w:firstLineChars="200" w:firstLine="560"/>
        <w:jc w:val="both"/>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五是着力打造高水平国际体育赛事，加强国际体育交流。积极推进2023年亚足联中国亚洲杯北京赛区筹备工作，启动组委会集中办公，制发组委会内部工作制度等；亚足联代表考察北京赛区并对筹备工作给予充分肯定。积极与国际体育组织等有关方面沟通协商，针对性地制定赛事组织工作方案和专项预案，积极推进</w:t>
      </w:r>
      <w:proofErr w:type="gramStart"/>
      <w:r>
        <w:rPr>
          <w:rFonts w:ascii="仿宋_GB2312" w:eastAsia="仿宋_GB2312" w:hAnsi="仿宋_GB2312" w:cs="仿宋_GB2312" w:hint="eastAsia"/>
          <w:b w:val="0"/>
          <w:kern w:val="2"/>
          <w:sz w:val="28"/>
          <w:szCs w:val="28"/>
        </w:rPr>
        <w:t>品牌赛事</w:t>
      </w:r>
      <w:proofErr w:type="gramEnd"/>
      <w:r>
        <w:rPr>
          <w:rFonts w:ascii="仿宋_GB2312" w:eastAsia="仿宋_GB2312" w:hAnsi="仿宋_GB2312" w:cs="仿宋_GB2312" w:hint="eastAsia"/>
          <w:b w:val="0"/>
          <w:kern w:val="2"/>
          <w:sz w:val="28"/>
          <w:szCs w:val="28"/>
        </w:rPr>
        <w:t>筹备工作，科学</w:t>
      </w:r>
      <w:proofErr w:type="gramStart"/>
      <w:r>
        <w:rPr>
          <w:rFonts w:ascii="仿宋_GB2312" w:eastAsia="仿宋_GB2312" w:hAnsi="仿宋_GB2312" w:cs="仿宋_GB2312" w:hint="eastAsia"/>
          <w:b w:val="0"/>
          <w:kern w:val="2"/>
          <w:sz w:val="28"/>
          <w:szCs w:val="28"/>
        </w:rPr>
        <w:t>研判举办</w:t>
      </w:r>
      <w:proofErr w:type="gramEnd"/>
      <w:r>
        <w:rPr>
          <w:rFonts w:ascii="仿宋_GB2312" w:eastAsia="仿宋_GB2312" w:hAnsi="仿宋_GB2312" w:cs="仿宋_GB2312" w:hint="eastAsia"/>
          <w:b w:val="0"/>
          <w:kern w:val="2"/>
          <w:sz w:val="28"/>
          <w:szCs w:val="28"/>
        </w:rPr>
        <w:t>重大赛事的可行性。成功举办北京国际长跑节—北京半程马拉松、北京城市副中心马拉松等赛事，约3.5万人次参赛。积极推进高山滑雪世界杯、花样滑冰世锦赛等赛事申办工作。</w:t>
      </w:r>
    </w:p>
    <w:p w:rsidR="002368D0" w:rsidRDefault="00F422F6">
      <w:pPr>
        <w:pStyle w:val="a8"/>
        <w:spacing w:before="0" w:beforeAutospacing="0" w:after="0" w:afterAutospacing="0" w:line="520" w:lineRule="atLeast"/>
        <w:ind w:firstLineChars="200" w:firstLine="560"/>
        <w:jc w:val="both"/>
        <w:rPr>
          <w:rFonts w:ascii="仿宋_GB2312" w:eastAsia="仿宋_GB2312" w:hAnsi="仿宋_GB2312" w:cs="仿宋_GB2312"/>
          <w:b w:val="0"/>
          <w:kern w:val="2"/>
          <w:sz w:val="28"/>
          <w:szCs w:val="28"/>
        </w:rPr>
      </w:pPr>
      <w:r>
        <w:rPr>
          <w:rFonts w:ascii="仿宋_GB2312" w:eastAsia="仿宋_GB2312" w:hAnsi="仿宋_GB2312" w:cs="仿宋_GB2312" w:hint="eastAsia"/>
          <w:b w:val="0"/>
          <w:kern w:val="2"/>
          <w:sz w:val="28"/>
          <w:szCs w:val="28"/>
        </w:rPr>
        <w:t>六是推动体育产业高质量发展，扩大体育服务消费。印发实施《关于促进全民健身和体育消费推动体育产业高质量发展的实施意见》及其配套文件，组织召开专题宣</w:t>
      </w:r>
      <w:proofErr w:type="gramStart"/>
      <w:r>
        <w:rPr>
          <w:rFonts w:ascii="仿宋_GB2312" w:eastAsia="仿宋_GB2312" w:hAnsi="仿宋_GB2312" w:cs="仿宋_GB2312" w:hint="eastAsia"/>
          <w:b w:val="0"/>
          <w:kern w:val="2"/>
          <w:sz w:val="28"/>
          <w:szCs w:val="28"/>
        </w:rPr>
        <w:t>贯部署</w:t>
      </w:r>
      <w:proofErr w:type="gramEnd"/>
      <w:r>
        <w:rPr>
          <w:rFonts w:ascii="仿宋_GB2312" w:eastAsia="仿宋_GB2312" w:hAnsi="仿宋_GB2312" w:cs="仿宋_GB2312" w:hint="eastAsia"/>
          <w:b w:val="0"/>
          <w:kern w:val="2"/>
          <w:sz w:val="28"/>
          <w:szCs w:val="28"/>
        </w:rPr>
        <w:t>会，加快推动体育政策和项目落地。开展体育产</w:t>
      </w:r>
      <w:r>
        <w:rPr>
          <w:rFonts w:ascii="仿宋_GB2312" w:eastAsia="仿宋_GB2312" w:hAnsi="仿宋_GB2312" w:cs="仿宋_GB2312" w:hint="eastAsia"/>
          <w:b w:val="0"/>
          <w:kern w:val="2"/>
          <w:sz w:val="28"/>
          <w:szCs w:val="28"/>
        </w:rPr>
        <w:lastRenderedPageBreak/>
        <w:t>业机构名录库建设维护工作，完成16555家（新增252家）单位信息核查和更新工作。对全市61家产业基地开展调研并建立台账，编制印发发展报告及宣传册。推荐7家单位申报国家体育产业示范单位和示范项目，命名9家单位为市体育产业示范单位、4个项目为示范项目。成功举办北京冰雪消费节和第二届“8·8北京体育消费节”，发布冰雪消费地图及消费指南。评定命名60个市级体育旅游精品项目，并开展集中宣传推介。与河北省联合启动“京张全季体育旅游嘉年华”活动，推出体育旅游主题线路、首批体育品牌系列赛事、京张体育</w:t>
      </w:r>
      <w:proofErr w:type="gramStart"/>
      <w:r>
        <w:rPr>
          <w:rFonts w:ascii="仿宋_GB2312" w:eastAsia="仿宋_GB2312" w:hAnsi="仿宋_GB2312" w:cs="仿宋_GB2312" w:hint="eastAsia"/>
          <w:b w:val="0"/>
          <w:kern w:val="2"/>
          <w:sz w:val="28"/>
          <w:szCs w:val="28"/>
        </w:rPr>
        <w:t>研</w:t>
      </w:r>
      <w:proofErr w:type="gramEnd"/>
      <w:r>
        <w:rPr>
          <w:rFonts w:ascii="仿宋_GB2312" w:eastAsia="仿宋_GB2312" w:hAnsi="仿宋_GB2312" w:cs="仿宋_GB2312" w:hint="eastAsia"/>
          <w:b w:val="0"/>
          <w:kern w:val="2"/>
          <w:sz w:val="28"/>
          <w:szCs w:val="28"/>
        </w:rPr>
        <w:t>学基地，推动京</w:t>
      </w:r>
      <w:proofErr w:type="gramStart"/>
      <w:r>
        <w:rPr>
          <w:rFonts w:ascii="仿宋_GB2312" w:eastAsia="仿宋_GB2312" w:hAnsi="仿宋_GB2312" w:cs="仿宋_GB2312" w:hint="eastAsia"/>
          <w:b w:val="0"/>
          <w:kern w:val="2"/>
          <w:sz w:val="28"/>
          <w:szCs w:val="28"/>
        </w:rPr>
        <w:t>张文化</w:t>
      </w:r>
      <w:proofErr w:type="gramEnd"/>
      <w:r>
        <w:rPr>
          <w:rFonts w:ascii="仿宋_GB2312" w:eastAsia="仿宋_GB2312" w:hAnsi="仿宋_GB2312" w:cs="仿宋_GB2312" w:hint="eastAsia"/>
          <w:b w:val="0"/>
          <w:kern w:val="2"/>
          <w:sz w:val="28"/>
          <w:szCs w:val="28"/>
        </w:rPr>
        <w:t>体育旅游产业发展。</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产出进度</w:t>
      </w:r>
    </w:p>
    <w:p w:rsidR="002368D0" w:rsidRDefault="00F422F6">
      <w:pPr>
        <w:spacing w:line="520" w:lineRule="atLeas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sz w:val="28"/>
          <w:szCs w:val="28"/>
        </w:rPr>
        <w:t>根</w:t>
      </w:r>
      <w:r w:rsidRPr="00453DBA">
        <w:rPr>
          <w:rFonts w:ascii="仿宋_GB2312" w:eastAsia="仿宋_GB2312" w:hAnsi="仿宋_GB2312" w:cs="仿宋_GB2312" w:hint="eastAsia"/>
          <w:sz w:val="28"/>
          <w:szCs w:val="28"/>
        </w:rPr>
        <w:t>据《</w:t>
      </w:r>
      <w:r w:rsidR="00607123" w:rsidRPr="00453DBA">
        <w:rPr>
          <w:rFonts w:ascii="仿宋_GB2312" w:eastAsia="仿宋_GB2312" w:hAnsi="仿宋_GB2312" w:cs="仿宋_GB2312" w:hint="eastAsia"/>
          <w:sz w:val="28"/>
          <w:szCs w:val="28"/>
        </w:rPr>
        <w:t>北京市</w:t>
      </w:r>
      <w:r w:rsidRPr="00453DBA">
        <w:rPr>
          <w:rFonts w:ascii="仿宋_GB2312" w:eastAsia="仿宋_GB2312" w:hAnsi="仿宋_GB2312" w:cs="仿宋_GB2312" w:hint="eastAsia"/>
          <w:sz w:val="28"/>
          <w:szCs w:val="28"/>
        </w:rPr>
        <w:t>全民健身</w:t>
      </w:r>
      <w:r w:rsidR="00607123" w:rsidRPr="00453DBA">
        <w:rPr>
          <w:rFonts w:ascii="仿宋_GB2312" w:eastAsia="仿宋_GB2312" w:hAnsi="仿宋_GB2312" w:cs="仿宋_GB2312" w:hint="eastAsia"/>
          <w:sz w:val="28"/>
          <w:szCs w:val="28"/>
        </w:rPr>
        <w:t>实施</w:t>
      </w:r>
      <w:r w:rsidRPr="00453DBA">
        <w:rPr>
          <w:rFonts w:ascii="仿宋_GB2312" w:eastAsia="仿宋_GB2312" w:hAnsi="仿宋_GB2312" w:cs="仿宋_GB2312" w:hint="eastAsia"/>
          <w:sz w:val="28"/>
          <w:szCs w:val="28"/>
        </w:rPr>
        <w:t>计划（</w:t>
      </w:r>
      <w:r w:rsidRPr="00453DBA">
        <w:rPr>
          <w:rFonts w:ascii="仿宋_GB2312" w:eastAsia="仿宋_GB2312" w:hAnsi="仿宋_GB2312" w:cs="仿宋_GB2312"/>
          <w:sz w:val="28"/>
          <w:szCs w:val="28"/>
        </w:rPr>
        <w:t>2021</w:t>
      </w:r>
      <w:r w:rsidRPr="00453DBA">
        <w:rPr>
          <w:rFonts w:ascii="仿宋_GB2312" w:eastAsia="仿宋_GB2312" w:hAnsi="仿宋_GB2312" w:cs="仿宋_GB2312" w:hint="eastAsia"/>
          <w:sz w:val="28"/>
          <w:szCs w:val="28"/>
        </w:rPr>
        <w:t>—</w:t>
      </w:r>
      <w:r w:rsidRPr="00453DBA">
        <w:rPr>
          <w:rFonts w:ascii="仿宋_GB2312" w:eastAsia="仿宋_GB2312" w:hAnsi="仿宋_GB2312" w:cs="仿宋_GB2312"/>
          <w:sz w:val="28"/>
          <w:szCs w:val="28"/>
        </w:rPr>
        <w:t>2025年）》</w:t>
      </w:r>
      <w:r w:rsidRPr="00453DBA">
        <w:rPr>
          <w:rFonts w:ascii="仿宋_GB2312" w:eastAsia="仿宋_GB2312" w:hAnsi="仿宋_GB2312" w:cs="仿宋_GB2312" w:hint="eastAsia"/>
          <w:sz w:val="28"/>
          <w:szCs w:val="28"/>
        </w:rPr>
        <w:t>、2</w:t>
      </w:r>
      <w:r w:rsidRPr="00453DBA">
        <w:rPr>
          <w:rFonts w:ascii="仿宋_GB2312" w:eastAsia="仿宋_GB2312" w:hAnsi="仿宋_GB2312" w:cs="仿宋_GB2312"/>
          <w:sz w:val="28"/>
          <w:szCs w:val="28"/>
        </w:rPr>
        <w:t>021</w:t>
      </w:r>
      <w:r w:rsidRPr="00453DBA">
        <w:rPr>
          <w:rFonts w:ascii="仿宋_GB2312" w:eastAsia="仿宋_GB2312" w:hAnsi="仿宋_GB2312" w:cs="仿宋_GB2312" w:hint="eastAsia"/>
          <w:sz w:val="28"/>
          <w:szCs w:val="28"/>
        </w:rPr>
        <w:t>年北</w:t>
      </w:r>
      <w:r>
        <w:rPr>
          <w:rFonts w:ascii="仿宋_GB2312" w:eastAsia="仿宋_GB2312" w:hAnsi="仿宋_GB2312" w:cs="仿宋_GB2312" w:hint="eastAsia"/>
          <w:sz w:val="28"/>
          <w:szCs w:val="28"/>
        </w:rPr>
        <w:t>京市体育工作要点，各项工作均制定了项目实施方案，明确了时间进度安排与人员分工，各项工作按照项目实施方案执行，为顺利完成绩效目标奠定了基础，保障了在规定时间完成年度各项工作任务。除个别项目受疫情影响出现赛事延迟或取消外，大部分项目均按计划完成。</w:t>
      </w:r>
    </w:p>
    <w:p w:rsidR="002368D0" w:rsidRDefault="00F422F6">
      <w:pPr>
        <w:spacing w:line="520" w:lineRule="atLeast"/>
        <w:ind w:left="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4</w:t>
      </w:r>
      <w:r>
        <w:rPr>
          <w:rFonts w:ascii="仿宋_GB2312" w:eastAsia="仿宋_GB2312" w:hAnsi="仿宋_GB2312" w:cs="仿宋_GB2312"/>
          <w:color w:val="000000"/>
          <w:kern w:val="0"/>
          <w:sz w:val="28"/>
          <w:szCs w:val="28"/>
        </w:rPr>
        <w:t>.</w:t>
      </w:r>
      <w:r>
        <w:rPr>
          <w:rFonts w:ascii="仿宋_GB2312" w:eastAsia="仿宋_GB2312" w:hAnsi="仿宋_GB2312" w:cs="仿宋_GB2312" w:hint="eastAsia"/>
          <w:color w:val="000000"/>
          <w:kern w:val="0"/>
          <w:sz w:val="28"/>
          <w:szCs w:val="28"/>
        </w:rPr>
        <w:t>产出成本</w:t>
      </w:r>
    </w:p>
    <w:p w:rsidR="002368D0" w:rsidRDefault="00F422F6">
      <w:pPr>
        <w:spacing w:line="520" w:lineRule="atLeas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2021年全年预算数</w:t>
      </w:r>
      <w:r>
        <w:rPr>
          <w:rFonts w:ascii="仿宋_GB2312" w:eastAsia="仿宋_GB2312" w:hAnsi="仿宋_GB2312" w:cs="仿宋_GB2312"/>
          <w:kern w:val="0"/>
          <w:sz w:val="28"/>
          <w:szCs w:val="28"/>
        </w:rPr>
        <w:t>198,539.94</w:t>
      </w:r>
      <w:r>
        <w:rPr>
          <w:rFonts w:ascii="仿宋_GB2312" w:eastAsia="仿宋_GB2312" w:hAnsi="仿宋_GB2312" w:cs="仿宋_GB2312" w:hint="eastAsia"/>
          <w:color w:val="000000"/>
          <w:kern w:val="0"/>
          <w:sz w:val="28"/>
          <w:szCs w:val="28"/>
        </w:rPr>
        <w:t>万元，资金总体支出</w:t>
      </w:r>
      <w:r>
        <w:rPr>
          <w:rFonts w:ascii="仿宋_GB2312" w:eastAsia="仿宋_GB2312" w:hAnsi="仿宋_GB2312" w:cs="仿宋_GB2312"/>
          <w:kern w:val="0"/>
          <w:sz w:val="28"/>
          <w:szCs w:val="28"/>
        </w:rPr>
        <w:t>163,830.14</w:t>
      </w:r>
      <w:r>
        <w:rPr>
          <w:rFonts w:ascii="仿宋_GB2312" w:eastAsia="仿宋_GB2312" w:hAnsi="仿宋_GB2312" w:cs="仿宋_GB2312" w:hint="eastAsia"/>
          <w:color w:val="000000"/>
          <w:kern w:val="0"/>
          <w:sz w:val="28"/>
          <w:szCs w:val="28"/>
        </w:rPr>
        <w:t>万元，</w:t>
      </w:r>
      <w:r>
        <w:rPr>
          <w:rFonts w:ascii="仿宋_GB2312" w:eastAsia="仿宋_GB2312" w:hAnsi="仿宋_GB2312" w:cs="仿宋_GB2312" w:hint="eastAsia"/>
          <w:kern w:val="0"/>
          <w:sz w:val="28"/>
          <w:szCs w:val="28"/>
        </w:rPr>
        <w:t>预算执行率为</w:t>
      </w:r>
      <w:r>
        <w:rPr>
          <w:rFonts w:ascii="仿宋_GB2312" w:eastAsia="仿宋_GB2312" w:hAnsi="仿宋_GB2312" w:cs="仿宋_GB2312"/>
          <w:kern w:val="0"/>
          <w:sz w:val="28"/>
          <w:szCs w:val="28"/>
        </w:rPr>
        <w:t>82.51%</w:t>
      </w:r>
      <w:r>
        <w:rPr>
          <w:rFonts w:ascii="仿宋_GB2312" w:eastAsia="仿宋_GB2312" w:hAnsi="仿宋_GB2312" w:cs="仿宋_GB2312" w:hint="eastAsia"/>
          <w:kern w:val="0"/>
          <w:sz w:val="28"/>
          <w:szCs w:val="28"/>
        </w:rPr>
        <w:t>。各项经费未出现超预算支出情况，实际成本控制在预算范围内。</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（二）效果实现情况分析</w:t>
      </w:r>
    </w:p>
    <w:p w:rsidR="002368D0" w:rsidRDefault="00F422F6">
      <w:pPr>
        <w:spacing w:line="520" w:lineRule="atLeast"/>
        <w:ind w:leftChars="50" w:left="105" w:firstLineChars="150" w:firstLine="42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w:t>
      </w:r>
      <w:r>
        <w:rPr>
          <w:rFonts w:ascii="仿宋_GB2312" w:eastAsia="仿宋_GB2312" w:hAnsi="仿宋_GB2312" w:cs="仿宋_GB2312"/>
          <w:kern w:val="0"/>
          <w:sz w:val="28"/>
          <w:szCs w:val="28"/>
        </w:rPr>
        <w:t>.</w:t>
      </w:r>
      <w:r>
        <w:rPr>
          <w:rFonts w:ascii="仿宋_GB2312" w:eastAsia="仿宋_GB2312" w:hAnsi="仿宋_GB2312" w:cs="仿宋_GB2312" w:hint="eastAsia"/>
          <w:kern w:val="0"/>
          <w:sz w:val="28"/>
          <w:szCs w:val="28"/>
        </w:rPr>
        <w:t>经济效益</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推动体育产业高质量发展，不断满足体育消费需求。积极筹办</w:t>
      </w:r>
      <w:proofErr w:type="gramStart"/>
      <w:r>
        <w:rPr>
          <w:rFonts w:ascii="仿宋_GB2312" w:eastAsia="仿宋_GB2312" w:hAnsi="仿宋_GB2312" w:cs="仿宋_GB2312" w:hint="eastAsia"/>
          <w:sz w:val="28"/>
          <w:szCs w:val="28"/>
        </w:rPr>
        <w:t>服贸会</w:t>
      </w:r>
      <w:proofErr w:type="gramEnd"/>
      <w:r>
        <w:rPr>
          <w:rFonts w:ascii="仿宋_GB2312" w:eastAsia="仿宋_GB2312" w:hAnsi="仿宋_GB2312" w:cs="仿宋_GB2312" w:hint="eastAsia"/>
          <w:sz w:val="28"/>
          <w:szCs w:val="28"/>
        </w:rPr>
        <w:t>体育服务专题，吸引301家知名体育企业及相关机构参展，线下展商国际化率达到55%，会期签约总金额111.46亿元，创历史新高。成功举办第二届“8·8北京体育消费节”，推出60个市级体育旅游精品项目，发挥体育头部企业和社会组织的示范引领作用，市场主体达到1.6万余个。强化体育彩票品牌建设，积极调整体彩游戏结构，全年销售额达到66.07亿元，筹集公益金16.9亿元，同比分别增长23.17%和16.31%。</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社会效益</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体育是提高人民健康水平的重要途径，是满足人民群众对美好生活向往、促进人的全面发展的重要手段。紧紧围绕满足人民群众需求，营造良好全民健身氛围，提升市民全民健身意识，进一步建设全民健身场地设施，开展丰富多彩的全民健身赛事活动，普及科学健身知识和技能，深化体</w:t>
      </w:r>
      <w:proofErr w:type="gramStart"/>
      <w:r>
        <w:rPr>
          <w:rFonts w:ascii="仿宋_GB2312" w:eastAsia="仿宋_GB2312" w:hAnsi="仿宋_GB2312" w:cs="仿宋_GB2312" w:hint="eastAsia"/>
          <w:sz w:val="28"/>
          <w:szCs w:val="28"/>
        </w:rPr>
        <w:t>医</w:t>
      </w:r>
      <w:proofErr w:type="gramEnd"/>
      <w:r>
        <w:rPr>
          <w:rFonts w:ascii="仿宋_GB2312" w:eastAsia="仿宋_GB2312" w:hAnsi="仿宋_GB2312" w:cs="仿宋_GB2312" w:hint="eastAsia"/>
          <w:sz w:val="28"/>
          <w:szCs w:val="28"/>
        </w:rPr>
        <w:t>融合，推动健康关口前移，为“健康中国”做出贡献。</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本市体育健儿在东京奥运会、陕西全运会上以非凡的勇气，突破极限、挑战自我，展示了奋发向上、勇攀高峰</w:t>
      </w:r>
      <w:r>
        <w:rPr>
          <w:rFonts w:ascii="仿宋_GB2312" w:eastAsia="仿宋_GB2312" w:hAnsi="仿宋_GB2312" w:cs="仿宋_GB2312" w:hint="eastAsia"/>
          <w:sz w:val="28"/>
          <w:szCs w:val="28"/>
        </w:rPr>
        <w:lastRenderedPageBreak/>
        <w:t>的精神风貌。在体育健儿的激励下，全市人民将以更加激昂的奋斗豪情，推动新时代首都发展。坚决推进反兴奋剂斗争，拿道德的金牌、风格的金牌、干净的金牌，坚决做到兴奋剂问题“零出现”“零容忍”。高质量筹办北京冬奥会、冬残奥会，实现办赛精彩、参赛出彩的目标。</w:t>
      </w:r>
    </w:p>
    <w:p w:rsidR="002368D0" w:rsidRDefault="00F422F6">
      <w:pPr>
        <w:spacing w:line="520" w:lineRule="atLeast"/>
        <w:ind w:left="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可持续性影响</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推动全市青少年体育运动普及发展，引导青少年养成体育运动的习惯，增强青少年身体素质。通过参与体育活动，养成青少年不怕困难、不畏失败的品格，培养团队合作和集体主义精神，促进青少年健全人格的养成。</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通过青少年赛事活动，培养、发现竞技运动后备人才，输送高水平优秀人才，形成竞技体育人才培养体系，提升竞技运动实力。</w:t>
      </w:r>
    </w:p>
    <w:p w:rsidR="002368D0" w:rsidRDefault="00F422F6">
      <w:pPr>
        <w:spacing w:line="520" w:lineRule="atLeas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四、预算管理情况分析</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（一）财务管理</w:t>
      </w:r>
    </w:p>
    <w:p w:rsidR="002368D0" w:rsidRDefault="00F422F6">
      <w:pPr>
        <w:spacing w:line="520" w:lineRule="atLeas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w:t>
      </w:r>
      <w:r>
        <w:rPr>
          <w:rFonts w:ascii="仿宋_GB2312" w:eastAsia="仿宋_GB2312" w:hAnsi="仿宋_GB2312" w:cs="仿宋_GB2312"/>
          <w:color w:val="000000"/>
          <w:kern w:val="0"/>
          <w:sz w:val="28"/>
          <w:szCs w:val="28"/>
        </w:rPr>
        <w:t>.</w:t>
      </w:r>
      <w:r>
        <w:rPr>
          <w:rFonts w:ascii="仿宋_GB2312" w:eastAsia="仿宋_GB2312" w:hAnsi="仿宋_GB2312" w:cs="仿宋_GB2312" w:hint="eastAsia"/>
          <w:color w:val="000000"/>
          <w:kern w:val="0"/>
          <w:sz w:val="28"/>
          <w:szCs w:val="28"/>
        </w:rPr>
        <w:t>财务管理制度健全性</w:t>
      </w:r>
    </w:p>
    <w:p w:rsidR="002368D0" w:rsidRDefault="00F422F6">
      <w:pPr>
        <w:spacing w:line="520" w:lineRule="atLeas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为加强部门预算管理和规范资金使用，北京市体育局依据《中华人民共和国预算法》《行政事业单位内部控制规范（试行）》等有关法律法规，结合北京市体育局实际情况，建立了《内部控制手册》，搭建了《北京市体育局</w:t>
      </w:r>
      <w:r>
        <w:rPr>
          <w:rFonts w:ascii="仿宋_GB2312" w:eastAsia="仿宋_GB2312" w:hAnsi="仿宋_GB2312" w:cs="仿宋_GB2312" w:hint="eastAsia"/>
          <w:color w:val="000000"/>
          <w:kern w:val="0"/>
          <w:sz w:val="28"/>
          <w:szCs w:val="28"/>
        </w:rPr>
        <w:lastRenderedPageBreak/>
        <w:t>机关预算管理制度（修订）》《北京市体育局预算执行督促约谈制度（试行）》《北京市体育局机关经费支出管理制度（修订）》《北京市体育局政府采购和公开招标管理办法（试行）》《北京市体育局系统固定资产管理办法（修订）》《北京市体育局机关办公用品管理办法》《北京市体育局机关资金管理规定》《北京市体育局工程建设项目管理办法（试行）》《北京市体育局合同管理制度》等内部管理制度体系。</w:t>
      </w:r>
    </w:p>
    <w:p w:rsidR="002368D0" w:rsidRDefault="00F422F6">
      <w:pPr>
        <w:spacing w:line="520" w:lineRule="atLeas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w:t>
      </w:r>
      <w:r>
        <w:rPr>
          <w:rFonts w:ascii="仿宋_GB2312" w:eastAsia="仿宋_GB2312" w:hAnsi="仿宋_GB2312" w:cs="仿宋_GB2312"/>
          <w:color w:val="000000"/>
          <w:kern w:val="0"/>
          <w:sz w:val="28"/>
          <w:szCs w:val="28"/>
        </w:rPr>
        <w:t>.</w:t>
      </w:r>
      <w:r>
        <w:rPr>
          <w:rFonts w:ascii="仿宋_GB2312" w:eastAsia="仿宋_GB2312" w:hAnsi="仿宋_GB2312" w:cs="仿宋_GB2312" w:hint="eastAsia"/>
          <w:color w:val="000000"/>
          <w:kern w:val="0"/>
          <w:sz w:val="28"/>
          <w:szCs w:val="28"/>
        </w:rPr>
        <w:t>资金使用合</w:t>
      </w:r>
      <w:proofErr w:type="gramStart"/>
      <w:r>
        <w:rPr>
          <w:rFonts w:ascii="仿宋_GB2312" w:eastAsia="仿宋_GB2312" w:hAnsi="仿宋_GB2312" w:cs="仿宋_GB2312" w:hint="eastAsia"/>
          <w:color w:val="000000"/>
          <w:kern w:val="0"/>
          <w:sz w:val="28"/>
          <w:szCs w:val="28"/>
        </w:rPr>
        <w:t>规</w:t>
      </w:r>
      <w:proofErr w:type="gramEnd"/>
      <w:r>
        <w:rPr>
          <w:rFonts w:ascii="仿宋_GB2312" w:eastAsia="仿宋_GB2312" w:hAnsi="仿宋_GB2312" w:cs="仿宋_GB2312" w:hint="eastAsia"/>
          <w:color w:val="000000"/>
          <w:kern w:val="0"/>
          <w:sz w:val="28"/>
          <w:szCs w:val="28"/>
        </w:rPr>
        <w:t>性和安全性</w:t>
      </w:r>
    </w:p>
    <w:p w:rsidR="002368D0" w:rsidRDefault="00F422F6">
      <w:pPr>
        <w:pStyle w:val="a3"/>
        <w:spacing w:line="520" w:lineRule="atLeast"/>
        <w:ind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为加强北京市体育局财务管理工作，进一步明确财务管理的职责和工作程序，促进财务工作规范化、制度化和科学化，保证财政资金安全完整，切实降低单位运行成本，保障单位各项工作发展，严格按照《北京市体育局关于国家体育总局转入各训练单位的训练经费管理使用规定（试行）》《北京市运动队训练比赛管理办法》《北京市冰雪运动训练比赛经费定额标准》《北京市青少年冬季运动项目补助标准》等管理制度，对执行程序等环节进行把控，履行审批程序和手续，防范经济活动风险。</w:t>
      </w:r>
    </w:p>
    <w:p w:rsidR="002368D0" w:rsidRDefault="00F422F6">
      <w:pPr>
        <w:spacing w:line="520" w:lineRule="atLeast"/>
        <w:ind w:left="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3</w:t>
      </w:r>
      <w:r>
        <w:rPr>
          <w:rFonts w:ascii="仿宋_GB2312" w:eastAsia="仿宋_GB2312" w:hAnsi="仿宋_GB2312" w:cs="仿宋_GB2312"/>
          <w:color w:val="000000"/>
          <w:kern w:val="0"/>
          <w:sz w:val="28"/>
          <w:szCs w:val="28"/>
        </w:rPr>
        <w:t>.</w:t>
      </w:r>
      <w:r>
        <w:rPr>
          <w:rFonts w:ascii="仿宋_GB2312" w:eastAsia="仿宋_GB2312" w:hAnsi="仿宋_GB2312" w:cs="仿宋_GB2312" w:hint="eastAsia"/>
          <w:color w:val="000000"/>
          <w:kern w:val="0"/>
          <w:sz w:val="28"/>
          <w:szCs w:val="28"/>
        </w:rPr>
        <w:t>会计基础信息完善性</w:t>
      </w:r>
    </w:p>
    <w:p w:rsidR="002368D0" w:rsidRDefault="00F422F6">
      <w:pPr>
        <w:spacing w:line="520" w:lineRule="atLeas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北京市体育局严格按照《中华人民共和国会计法》《中华人民共和国预算法》《政府会计准则——基本准则》《政府会计制度——行政事业单位会计科目和报表》等要求，对北京市体育局发生的各项经济业务或事项进行会计</w:t>
      </w:r>
      <w:r>
        <w:rPr>
          <w:rFonts w:ascii="仿宋_GB2312" w:eastAsia="仿宋_GB2312" w:hAnsi="仿宋_GB2312" w:cs="仿宋_GB2312" w:hint="eastAsia"/>
          <w:color w:val="000000"/>
          <w:kern w:val="0"/>
          <w:sz w:val="28"/>
          <w:szCs w:val="28"/>
        </w:rPr>
        <w:lastRenderedPageBreak/>
        <w:t>核算，具备财务会计与预算会计双重功能，能够全面、清晰地反映财务信息和预算执行信息。规范了会计核算，保证基础数据信息和会计信息资料的真实、完整和准确。</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（二）资产管理</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北京市体育局严格贯彻落实《行政事业性国有资产管理条例》和各项固定资产管理制度，细化资产管理流程，切实增强各部门规范管理意识，认真履行国有资产管理职责。为进一步加强资产管理，保证国有资产的安全、完整，提高固定资产使用效率，制定了《北京市体育局系统固定资产管理办法（修订）》《北京市体育局机关办公用品管理办法》《北京市体育局机关资金管理规定》等资产管理办法，从资产管理机构和职责、资产标准和分类、资产的购置和日常管理、处置及审批权限等方面，做出了明确的规定。加强固定资产卡片管理，并随资产全生命周期管理动态更新。加大与实物管理部门的沟通，确保资产变动信息得到及时更新。</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（三）绩效管理</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绩效监控</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北京市体育局对2021年188个项目实施了绩效运行监控，从预算资金执行、管理以及绩效目标完成等情况进行分析，提出了存在问题和改进建议，进一步加强了预算绩效运行监控管理，提高了预算执行效率和资金使用效益。</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2</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绩效自评</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北京市体育局对2021年度部门项目支出实施绩效评价，评价项目1</w:t>
      </w:r>
      <w:r>
        <w:rPr>
          <w:rFonts w:ascii="仿宋_GB2312" w:eastAsia="仿宋_GB2312" w:hAnsi="仿宋_GB2312" w:cs="仿宋_GB2312"/>
          <w:sz w:val="28"/>
          <w:szCs w:val="28"/>
        </w:rPr>
        <w:t>91</w:t>
      </w:r>
      <w:r>
        <w:rPr>
          <w:rFonts w:ascii="仿宋_GB2312" w:eastAsia="仿宋_GB2312" w:hAnsi="仿宋_GB2312" w:cs="仿宋_GB2312" w:hint="eastAsia"/>
          <w:sz w:val="28"/>
          <w:szCs w:val="28"/>
        </w:rPr>
        <w:t>个，占部门项目总数的9</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，涉及金额1</w:t>
      </w:r>
      <w:r>
        <w:rPr>
          <w:rFonts w:ascii="仿宋_GB2312" w:eastAsia="仿宋_GB2312" w:hAnsi="仿宋_GB2312" w:cs="仿宋_GB2312"/>
          <w:sz w:val="28"/>
          <w:szCs w:val="28"/>
        </w:rPr>
        <w:t>02,913.01</w:t>
      </w:r>
      <w:r>
        <w:rPr>
          <w:rFonts w:ascii="仿宋_GB2312" w:eastAsia="仿宋_GB2312" w:hAnsi="仿宋_GB2312" w:cs="仿宋_GB2312" w:hint="eastAsia"/>
          <w:sz w:val="28"/>
          <w:szCs w:val="28"/>
        </w:rPr>
        <w:t>万元。其中，部门评价项目1个，为北京市青少年冰雪运动系列比赛经费，涉及金额4</w:t>
      </w:r>
      <w:r>
        <w:rPr>
          <w:rFonts w:ascii="仿宋_GB2312" w:eastAsia="仿宋_GB2312" w:hAnsi="仿宋_GB2312" w:cs="仿宋_GB2312"/>
          <w:sz w:val="28"/>
          <w:szCs w:val="28"/>
        </w:rPr>
        <w:t>74.02</w:t>
      </w:r>
      <w:r>
        <w:rPr>
          <w:rFonts w:ascii="仿宋_GB2312" w:eastAsia="仿宋_GB2312" w:hAnsi="仿宋_GB2312" w:cs="仿宋_GB2312" w:hint="eastAsia"/>
          <w:sz w:val="28"/>
          <w:szCs w:val="28"/>
        </w:rPr>
        <w:t>万元，评价得分为9</w:t>
      </w:r>
      <w:r>
        <w:rPr>
          <w:rFonts w:ascii="仿宋_GB2312" w:eastAsia="仿宋_GB2312" w:hAnsi="仿宋_GB2312" w:cs="仿宋_GB2312"/>
          <w:sz w:val="28"/>
          <w:szCs w:val="28"/>
        </w:rPr>
        <w:t>1.87</w:t>
      </w:r>
      <w:r>
        <w:rPr>
          <w:rFonts w:ascii="仿宋_GB2312" w:eastAsia="仿宋_GB2312" w:hAnsi="仿宋_GB2312" w:cs="仿宋_GB2312" w:hint="eastAsia"/>
          <w:sz w:val="28"/>
          <w:szCs w:val="28"/>
        </w:rPr>
        <w:t>分。单位自评项目1</w:t>
      </w:r>
      <w:r>
        <w:rPr>
          <w:rFonts w:ascii="仿宋_GB2312" w:eastAsia="仿宋_GB2312" w:hAnsi="仿宋_GB2312" w:cs="仿宋_GB2312"/>
          <w:sz w:val="28"/>
          <w:szCs w:val="28"/>
        </w:rPr>
        <w:t>90</w:t>
      </w:r>
      <w:r>
        <w:rPr>
          <w:rFonts w:ascii="仿宋_GB2312" w:eastAsia="仿宋_GB2312" w:hAnsi="仿宋_GB2312" w:cs="仿宋_GB2312" w:hint="eastAsia"/>
          <w:sz w:val="28"/>
          <w:szCs w:val="28"/>
        </w:rPr>
        <w:t>个，涉及金额1</w:t>
      </w:r>
      <w:r>
        <w:rPr>
          <w:rFonts w:ascii="仿宋_GB2312" w:eastAsia="仿宋_GB2312" w:hAnsi="仿宋_GB2312" w:cs="仿宋_GB2312"/>
          <w:sz w:val="28"/>
          <w:szCs w:val="28"/>
        </w:rPr>
        <w:t>02438.99</w:t>
      </w:r>
      <w:r>
        <w:rPr>
          <w:rFonts w:ascii="仿宋_GB2312" w:eastAsia="仿宋_GB2312" w:hAnsi="仿宋_GB2312" w:cs="仿宋_GB2312" w:hint="eastAsia"/>
          <w:sz w:val="28"/>
          <w:szCs w:val="28"/>
        </w:rPr>
        <w:t>万元，评价得分在评价得分在90（含）-100分的1</w:t>
      </w:r>
      <w:r>
        <w:rPr>
          <w:rFonts w:ascii="仿宋_GB2312" w:eastAsia="仿宋_GB2312" w:hAnsi="仿宋_GB2312" w:cs="仿宋_GB2312"/>
          <w:sz w:val="28"/>
          <w:szCs w:val="28"/>
        </w:rPr>
        <w:t>83</w:t>
      </w:r>
      <w:r>
        <w:rPr>
          <w:rFonts w:ascii="仿宋_GB2312" w:eastAsia="仿宋_GB2312" w:hAnsi="仿宋_GB2312" w:cs="仿宋_GB2312" w:hint="eastAsia"/>
          <w:sz w:val="28"/>
          <w:szCs w:val="28"/>
        </w:rPr>
        <w:t>个、评价得分在80（含）-90分的6个、评价得分在60（含）-80分的1个、评价得分在60分以下的</w:t>
      </w:r>
      <w:r>
        <w:rPr>
          <w:rFonts w:ascii="仿宋_GB2312" w:eastAsia="仿宋_GB2312" w:hAnsi="仿宋_GB2312" w:cs="仿宋_GB2312"/>
          <w:sz w:val="28"/>
          <w:szCs w:val="28"/>
        </w:rPr>
        <w:t>0</w:t>
      </w:r>
      <w:r>
        <w:rPr>
          <w:rFonts w:ascii="仿宋_GB2312" w:eastAsia="仿宋_GB2312" w:hAnsi="仿宋_GB2312" w:cs="仿宋_GB2312" w:hint="eastAsia"/>
          <w:sz w:val="28"/>
          <w:szCs w:val="28"/>
        </w:rPr>
        <w:t>个。通过绩效自评工作，全面客观地梳理了项目实施的工作成效，对项目决策、执行过程、产出和效益方面的规范性、合理性进行了自查，使预算管理更加科学化、精细化，提高了财政资金使用效益，提升了全局预算绩效管理水平。</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3.成本绩效分析</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北京市体育局于2021年对所属北京市先农坛体育运动技术学校等7个训练单位2018-2020年的运动队训练比赛经费项目进行了成本绩效分析，进一步厘清项目成本内容、成本结构和历史成本或市场成本水平，算清必要和有效成本，促进各训练基地提高成本绩效意识，牢固树立“过紧日子”思想，并在《北京市运动队训练比赛经费管理办法》的基础上，修订了运动队训练比赛经费定额标准，增强预算控制力和约束力，不断提升财政资金的科学化、精细化管理水平，提高资金使用效益</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为北京市竞技体育健康发展提供有力保障。</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（四）结转结余率</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北京市体育局2</w:t>
      </w:r>
      <w:r>
        <w:rPr>
          <w:rFonts w:ascii="仿宋_GB2312" w:eastAsia="仿宋_GB2312" w:hAnsi="仿宋_GB2312" w:cs="仿宋_GB2312"/>
          <w:sz w:val="28"/>
          <w:szCs w:val="28"/>
        </w:rPr>
        <w:t>021</w:t>
      </w:r>
      <w:r>
        <w:rPr>
          <w:rFonts w:ascii="仿宋_GB2312" w:eastAsia="仿宋_GB2312" w:hAnsi="仿宋_GB2312" w:cs="仿宋_GB2312" w:hint="eastAsia"/>
          <w:sz w:val="28"/>
          <w:szCs w:val="28"/>
        </w:rPr>
        <w:t>年财政拨款结转结余</w:t>
      </w:r>
      <w:r>
        <w:rPr>
          <w:rFonts w:ascii="仿宋_GB2312" w:eastAsia="仿宋_GB2312" w:hAnsi="仿宋_GB2312" w:cs="仿宋_GB2312"/>
          <w:sz w:val="28"/>
          <w:szCs w:val="28"/>
        </w:rPr>
        <w:t>33,944.18</w:t>
      </w:r>
      <w:r>
        <w:rPr>
          <w:rFonts w:ascii="仿宋_GB2312" w:eastAsia="仿宋_GB2312" w:hAnsi="仿宋_GB2312" w:cs="仿宋_GB2312" w:hint="eastAsia"/>
          <w:sz w:val="28"/>
          <w:szCs w:val="28"/>
        </w:rPr>
        <w:t>万元，结转结余率为1</w:t>
      </w:r>
      <w:r>
        <w:rPr>
          <w:rFonts w:ascii="仿宋_GB2312" w:eastAsia="仿宋_GB2312" w:hAnsi="仿宋_GB2312" w:cs="仿宋_GB2312"/>
          <w:sz w:val="28"/>
          <w:szCs w:val="28"/>
        </w:rPr>
        <w:t>7.80%</w:t>
      </w:r>
      <w:r>
        <w:rPr>
          <w:rFonts w:ascii="仿宋_GB2312" w:eastAsia="仿宋_GB2312" w:hAnsi="仿宋_GB2312" w:cs="仿宋_GB2312" w:hint="eastAsia"/>
          <w:sz w:val="28"/>
          <w:szCs w:val="28"/>
        </w:rPr>
        <w:t>。结转结余率较高</w:t>
      </w:r>
      <w:r>
        <w:rPr>
          <w:rFonts w:ascii="仿宋_GB2312" w:eastAsia="仿宋_GB2312" w:hAnsi="仿宋_GB2312" w:cs="仿宋_GB2312" w:hint="eastAsia"/>
          <w:kern w:val="0"/>
          <w:sz w:val="28"/>
          <w:szCs w:val="28"/>
        </w:rPr>
        <w:t>的原因是：综合性运动会运动员教练员成绩奖励、先农坛体育场先农坛门</w:t>
      </w:r>
      <w:proofErr w:type="gramStart"/>
      <w:r>
        <w:rPr>
          <w:rFonts w:ascii="仿宋_GB2312" w:eastAsia="仿宋_GB2312" w:hAnsi="仿宋_GB2312" w:cs="仿宋_GB2312" w:hint="eastAsia"/>
          <w:kern w:val="0"/>
          <w:sz w:val="28"/>
          <w:szCs w:val="28"/>
        </w:rPr>
        <w:t>至内坛东门</w:t>
      </w:r>
      <w:proofErr w:type="gramEnd"/>
      <w:r>
        <w:rPr>
          <w:rFonts w:ascii="仿宋_GB2312" w:eastAsia="仿宋_GB2312" w:hAnsi="仿宋_GB2312" w:cs="仿宋_GB2312" w:hint="eastAsia"/>
          <w:kern w:val="0"/>
          <w:sz w:val="28"/>
          <w:szCs w:val="28"/>
        </w:rPr>
        <w:t>区域整治、先农</w:t>
      </w:r>
      <w:proofErr w:type="gramStart"/>
      <w:r>
        <w:rPr>
          <w:rFonts w:ascii="仿宋_GB2312" w:eastAsia="仿宋_GB2312" w:hAnsi="仿宋_GB2312" w:cs="仿宋_GB2312" w:hint="eastAsia"/>
          <w:kern w:val="0"/>
          <w:sz w:val="28"/>
          <w:szCs w:val="28"/>
        </w:rPr>
        <w:t>坛综合</w:t>
      </w:r>
      <w:proofErr w:type="gramEnd"/>
      <w:r>
        <w:rPr>
          <w:rFonts w:ascii="仿宋_GB2312" w:eastAsia="仿宋_GB2312" w:hAnsi="仿宋_GB2312" w:cs="仿宋_GB2312" w:hint="eastAsia"/>
          <w:kern w:val="0"/>
          <w:sz w:val="28"/>
          <w:szCs w:val="28"/>
        </w:rPr>
        <w:t>训练馆加固节能改造、冰上项目训练基地等项目为追加项目，2021年底未达到支出条件。</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（五）部门预决算差异率</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2021年度年初预算批复151,111.69万元，2021年度决算数163,830.14万元，预决算差异率8.42%，部门预算的约束力较好。</w:t>
      </w:r>
    </w:p>
    <w:p w:rsidR="002368D0" w:rsidRDefault="00F422F6">
      <w:pPr>
        <w:spacing w:line="520" w:lineRule="atLeas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五</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总体评价结论</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（一）评价得分情况</w:t>
      </w:r>
    </w:p>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部门整体绩效评价综合得分90.54分，其中：当年预算执行情况16.50分，整体绩效目标实现情况54.44分、预算管理情况19.60分。</w:t>
      </w:r>
    </w:p>
    <w:p w:rsidR="002368D0" w:rsidRDefault="002368D0">
      <w:pPr>
        <w:spacing w:line="580" w:lineRule="exact"/>
        <w:ind w:leftChars="50" w:left="105" w:firstLineChars="150" w:firstLine="422"/>
        <w:jc w:val="center"/>
        <w:rPr>
          <w:rFonts w:ascii="仿宋_GB2312" w:eastAsia="仿宋_GB2312" w:hAnsi="仿宋_GB2312" w:cs="仿宋_GB2312"/>
          <w:b/>
          <w:bCs/>
          <w:sz w:val="28"/>
          <w:szCs w:val="28"/>
        </w:rPr>
      </w:pPr>
    </w:p>
    <w:p w:rsidR="002368D0" w:rsidRDefault="002368D0">
      <w:pPr>
        <w:spacing w:line="580" w:lineRule="exact"/>
        <w:ind w:leftChars="50" w:left="105" w:firstLineChars="150" w:firstLine="422"/>
        <w:jc w:val="center"/>
        <w:rPr>
          <w:rFonts w:ascii="仿宋_GB2312" w:eastAsia="仿宋_GB2312" w:hAnsi="仿宋_GB2312" w:cs="仿宋_GB2312"/>
          <w:b/>
          <w:bCs/>
          <w:sz w:val="28"/>
          <w:szCs w:val="28"/>
        </w:rPr>
      </w:pPr>
    </w:p>
    <w:p w:rsidR="002368D0" w:rsidRDefault="00F422F6">
      <w:pPr>
        <w:spacing w:line="580" w:lineRule="exact"/>
        <w:ind w:leftChars="50" w:left="105" w:firstLineChars="150" w:firstLine="422"/>
        <w:jc w:val="center"/>
        <w:rPr>
          <w:rFonts w:ascii="仿宋_GB2312" w:eastAsia="仿宋_GB2312" w:hAnsi="仿宋_GB2312" w:cs="仿宋_GB2312"/>
          <w:sz w:val="28"/>
          <w:szCs w:val="28"/>
        </w:rPr>
      </w:pPr>
      <w:r>
        <w:rPr>
          <w:rFonts w:ascii="仿宋_GB2312" w:eastAsia="仿宋_GB2312" w:hAnsi="仿宋_GB2312" w:cs="仿宋_GB2312" w:hint="eastAsia"/>
          <w:b/>
          <w:bCs/>
          <w:sz w:val="28"/>
          <w:szCs w:val="28"/>
        </w:rPr>
        <w:lastRenderedPageBreak/>
        <w:t>2021年部门整体绩效评价指标体系评分一览表</w:t>
      </w:r>
    </w:p>
    <w:tbl>
      <w:tblPr>
        <w:tblW w:w="14714" w:type="dxa"/>
        <w:tblInd w:w="-94" w:type="dxa"/>
        <w:tblLayout w:type="fixed"/>
        <w:tblCellMar>
          <w:left w:w="0" w:type="dxa"/>
          <w:right w:w="0" w:type="dxa"/>
        </w:tblCellMar>
        <w:tblLook w:val="04A0" w:firstRow="1" w:lastRow="0" w:firstColumn="1" w:lastColumn="0" w:noHBand="0" w:noVBand="1"/>
      </w:tblPr>
      <w:tblGrid>
        <w:gridCol w:w="2783"/>
        <w:gridCol w:w="3273"/>
        <w:gridCol w:w="4961"/>
        <w:gridCol w:w="1843"/>
        <w:gridCol w:w="1843"/>
        <w:gridCol w:w="11"/>
      </w:tblGrid>
      <w:tr w:rsidR="002368D0">
        <w:trPr>
          <w:trHeight w:val="572"/>
          <w:tblHead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2"/>
              <w:rPr>
                <w:rFonts w:ascii="仿宋_GB2312" w:eastAsia="仿宋_GB2312" w:hAnsi="仿宋_GB2312" w:cs="仿宋_GB2312"/>
                <w:b/>
                <w:sz w:val="28"/>
                <w:szCs w:val="28"/>
              </w:rPr>
            </w:pPr>
            <w:r>
              <w:rPr>
                <w:rFonts w:ascii="仿宋_GB2312" w:eastAsia="仿宋_GB2312" w:hAnsi="仿宋_GB2312" w:cs="仿宋_GB2312" w:hint="eastAsia"/>
                <w:b/>
                <w:sz w:val="28"/>
                <w:szCs w:val="28"/>
              </w:rPr>
              <w:t>一级指标</w:t>
            </w:r>
          </w:p>
        </w:tc>
        <w:tc>
          <w:tcPr>
            <w:tcW w:w="327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2"/>
              <w:rPr>
                <w:rFonts w:ascii="仿宋_GB2312" w:eastAsia="仿宋_GB2312" w:hAnsi="仿宋_GB2312" w:cs="仿宋_GB2312"/>
                <w:b/>
                <w:sz w:val="28"/>
                <w:szCs w:val="28"/>
              </w:rPr>
            </w:pPr>
            <w:r>
              <w:rPr>
                <w:rFonts w:ascii="仿宋_GB2312" w:eastAsia="仿宋_GB2312" w:hAnsi="仿宋_GB2312" w:cs="仿宋_GB2312" w:hint="eastAsia"/>
                <w:b/>
                <w:sz w:val="28"/>
                <w:szCs w:val="28"/>
              </w:rPr>
              <w:t>二级指标</w:t>
            </w:r>
          </w:p>
        </w:tc>
        <w:tc>
          <w:tcPr>
            <w:tcW w:w="4961"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2"/>
              <w:rPr>
                <w:rFonts w:ascii="仿宋_GB2312" w:eastAsia="仿宋_GB2312" w:hAnsi="仿宋_GB2312" w:cs="仿宋_GB2312"/>
                <w:b/>
                <w:sz w:val="28"/>
                <w:szCs w:val="28"/>
              </w:rPr>
            </w:pPr>
            <w:r>
              <w:rPr>
                <w:rFonts w:ascii="仿宋_GB2312" w:eastAsia="仿宋_GB2312" w:hAnsi="仿宋_GB2312" w:cs="仿宋_GB2312" w:hint="eastAsia"/>
                <w:b/>
                <w:sz w:val="28"/>
                <w:szCs w:val="28"/>
              </w:rPr>
              <w:t>三级指标</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2"/>
              <w:rPr>
                <w:rFonts w:ascii="仿宋_GB2312" w:eastAsia="仿宋_GB2312" w:hAnsi="仿宋_GB2312" w:cs="仿宋_GB2312"/>
                <w:b/>
                <w:sz w:val="28"/>
                <w:szCs w:val="28"/>
              </w:rPr>
            </w:pPr>
            <w:r>
              <w:rPr>
                <w:rFonts w:ascii="仿宋_GB2312" w:eastAsia="仿宋_GB2312" w:hAnsi="仿宋_GB2312" w:cs="仿宋_GB2312" w:hint="eastAsia"/>
                <w:b/>
                <w:sz w:val="28"/>
                <w:szCs w:val="28"/>
              </w:rPr>
              <w:t>分值</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2"/>
              <w:rPr>
                <w:rFonts w:ascii="仿宋_GB2312" w:eastAsia="仿宋_GB2312" w:hAnsi="仿宋_GB2312" w:cs="仿宋_GB2312"/>
                <w:b/>
                <w:sz w:val="28"/>
                <w:szCs w:val="28"/>
              </w:rPr>
            </w:pPr>
            <w:r>
              <w:rPr>
                <w:rFonts w:ascii="仿宋_GB2312" w:eastAsia="仿宋_GB2312" w:hAnsi="仿宋_GB2312" w:cs="仿宋_GB2312" w:hint="eastAsia"/>
                <w:b/>
                <w:sz w:val="28"/>
                <w:szCs w:val="28"/>
              </w:rPr>
              <w:t>得分</w:t>
            </w:r>
          </w:p>
        </w:tc>
      </w:tr>
      <w:tr w:rsidR="002368D0">
        <w:trPr>
          <w:trHeight w:val="764"/>
        </w:trPr>
        <w:tc>
          <w:tcPr>
            <w:tcW w:w="278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当年预算执行情况（20分）</w:t>
            </w:r>
          </w:p>
        </w:tc>
        <w:tc>
          <w:tcPr>
            <w:tcW w:w="327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20</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16.50</w:t>
            </w:r>
          </w:p>
        </w:tc>
      </w:tr>
      <w:tr w:rsidR="002368D0">
        <w:trPr>
          <w:trHeight w:val="586"/>
        </w:trPr>
        <w:tc>
          <w:tcPr>
            <w:tcW w:w="278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整体绩效目标实现情况（60分）</w:t>
            </w:r>
          </w:p>
        </w:tc>
        <w:tc>
          <w:tcPr>
            <w:tcW w:w="327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产出（30）</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推进建设全民健身公共服务体系</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3</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2.70 </w:t>
            </w:r>
          </w:p>
        </w:tc>
      </w:tr>
      <w:tr w:rsidR="002368D0">
        <w:trPr>
          <w:trHeight w:val="512"/>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全力备战“两运”，提升竞技体育综合实力</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3</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2.90 </w:t>
            </w:r>
          </w:p>
        </w:tc>
      </w:tr>
      <w:tr w:rsidR="002368D0">
        <w:trPr>
          <w:trHeight w:val="520"/>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举办青少年赛事</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3</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2.70 </w:t>
            </w:r>
          </w:p>
        </w:tc>
      </w:tr>
      <w:tr w:rsidR="002368D0">
        <w:trPr>
          <w:trHeight w:val="625"/>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举办冰雪赛事活动</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3</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2.80 </w:t>
            </w:r>
          </w:p>
        </w:tc>
      </w:tr>
      <w:tr w:rsidR="002368D0">
        <w:trPr>
          <w:trHeight w:val="539"/>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举办国际赛事</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3</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2.80 </w:t>
            </w:r>
          </w:p>
        </w:tc>
      </w:tr>
      <w:tr w:rsidR="002368D0">
        <w:trPr>
          <w:trHeight w:val="539"/>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发展体育产业</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3</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2.84 </w:t>
            </w:r>
          </w:p>
        </w:tc>
      </w:tr>
      <w:tr w:rsidR="002368D0">
        <w:trPr>
          <w:trHeight w:val="539"/>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保证质量</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4</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3.80 </w:t>
            </w:r>
          </w:p>
        </w:tc>
      </w:tr>
      <w:tr w:rsidR="002368D0">
        <w:trPr>
          <w:trHeight w:val="638"/>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各项目按计划完成</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4</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3.60 </w:t>
            </w:r>
          </w:p>
        </w:tc>
      </w:tr>
      <w:tr w:rsidR="002368D0">
        <w:trPr>
          <w:trHeight w:val="625"/>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成本控制在预算范围之内</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4</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4.00 </w:t>
            </w:r>
          </w:p>
        </w:tc>
      </w:tr>
      <w:tr w:rsidR="002368D0">
        <w:trPr>
          <w:trHeight w:val="767"/>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效果（30）</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经济效益:推动体育产业高质量发展，不断满足体育消费需求，促进体育消费增长</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10</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9.00 </w:t>
            </w:r>
          </w:p>
        </w:tc>
      </w:tr>
      <w:tr w:rsidR="002368D0">
        <w:trPr>
          <w:trHeight w:val="713"/>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社会效益:普及全民健身运动知识，提升全民健身的社会关注度，扩大群众体育覆盖面</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10</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8.80 </w:t>
            </w:r>
          </w:p>
        </w:tc>
      </w:tr>
      <w:tr w:rsidR="002368D0">
        <w:trPr>
          <w:trHeight w:val="797"/>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可持续性影响:培养青少年后备人才，促进可持续发展</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10</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8.50 </w:t>
            </w:r>
          </w:p>
        </w:tc>
      </w:tr>
      <w:tr w:rsidR="002368D0">
        <w:trPr>
          <w:trHeight w:val="693"/>
        </w:trPr>
        <w:tc>
          <w:tcPr>
            <w:tcW w:w="278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预算管理情况</w:t>
            </w:r>
          </w:p>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（20分）</w:t>
            </w:r>
          </w:p>
        </w:tc>
        <w:tc>
          <w:tcPr>
            <w:tcW w:w="327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财务管理</w:t>
            </w:r>
          </w:p>
        </w:tc>
        <w:tc>
          <w:tcPr>
            <w:tcW w:w="4961"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财务管理制度健全性</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1</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1.00 </w:t>
            </w:r>
          </w:p>
        </w:tc>
      </w:tr>
      <w:tr w:rsidR="002368D0">
        <w:trPr>
          <w:trHeight w:val="650"/>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资金使用合</w:t>
            </w:r>
            <w:proofErr w:type="gramStart"/>
            <w:r>
              <w:rPr>
                <w:rFonts w:ascii="仿宋_GB2312" w:eastAsia="仿宋_GB2312" w:hAnsi="仿宋_GB2312" w:cs="仿宋_GB2312" w:hint="eastAsia"/>
                <w:sz w:val="28"/>
                <w:szCs w:val="28"/>
              </w:rPr>
              <w:t>规</w:t>
            </w:r>
            <w:proofErr w:type="gramEnd"/>
            <w:r>
              <w:rPr>
                <w:rFonts w:ascii="仿宋_GB2312" w:eastAsia="仿宋_GB2312" w:hAnsi="仿宋_GB2312" w:cs="仿宋_GB2312" w:hint="eastAsia"/>
                <w:sz w:val="28"/>
                <w:szCs w:val="28"/>
              </w:rPr>
              <w:t>性和安全性</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2</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2.00 </w:t>
            </w:r>
          </w:p>
        </w:tc>
      </w:tr>
      <w:tr w:rsidR="002368D0">
        <w:trPr>
          <w:trHeight w:val="625"/>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会计基础信息完善性</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1</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1.00 </w:t>
            </w:r>
          </w:p>
        </w:tc>
      </w:tr>
      <w:tr w:rsidR="002368D0">
        <w:trPr>
          <w:trHeight w:val="663"/>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资产管理</w:t>
            </w:r>
          </w:p>
        </w:tc>
        <w:tc>
          <w:tcPr>
            <w:tcW w:w="4961"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资产管理规范性</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4</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4.00 </w:t>
            </w:r>
          </w:p>
        </w:tc>
      </w:tr>
      <w:tr w:rsidR="002368D0">
        <w:trPr>
          <w:trHeight w:val="716"/>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绩效管理</w:t>
            </w:r>
          </w:p>
        </w:tc>
        <w:tc>
          <w:tcPr>
            <w:tcW w:w="4961"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绩效管理情况</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4</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4.00 </w:t>
            </w:r>
          </w:p>
        </w:tc>
      </w:tr>
      <w:tr w:rsidR="002368D0">
        <w:trPr>
          <w:trHeight w:val="678"/>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结转结余率</w:t>
            </w:r>
          </w:p>
        </w:tc>
        <w:tc>
          <w:tcPr>
            <w:tcW w:w="4961"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4</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3.60 </w:t>
            </w:r>
          </w:p>
        </w:tc>
      </w:tr>
      <w:tr w:rsidR="002368D0">
        <w:trPr>
          <w:trHeight w:val="787"/>
        </w:trPr>
        <w:tc>
          <w:tcPr>
            <w:tcW w:w="2783" w:type="dxa"/>
            <w:vMerge/>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2368D0">
            <w:pPr>
              <w:spacing w:line="580" w:lineRule="exact"/>
              <w:ind w:leftChars="50" w:left="105" w:firstLineChars="150" w:firstLine="420"/>
              <w:rPr>
                <w:rFonts w:ascii="仿宋_GB2312" w:eastAsia="仿宋_GB2312" w:hAnsi="仿宋_GB2312" w:cs="仿宋_GB2312"/>
                <w:sz w:val="28"/>
                <w:szCs w:val="28"/>
              </w:rPr>
            </w:pPr>
          </w:p>
        </w:tc>
        <w:tc>
          <w:tcPr>
            <w:tcW w:w="327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部门预决算差异率</w:t>
            </w:r>
          </w:p>
        </w:tc>
        <w:tc>
          <w:tcPr>
            <w:tcW w:w="4961"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4</w:t>
            </w:r>
          </w:p>
        </w:tc>
        <w:tc>
          <w:tcPr>
            <w:tcW w:w="1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4.00 </w:t>
            </w:r>
          </w:p>
        </w:tc>
      </w:tr>
      <w:tr w:rsidR="002368D0">
        <w:trPr>
          <w:gridAfter w:val="1"/>
          <w:wAfter w:w="11" w:type="dxa"/>
          <w:trHeight w:val="740"/>
        </w:trPr>
        <w:tc>
          <w:tcPr>
            <w:tcW w:w="1101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合计</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100</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8" w:type="dxa"/>
              <w:left w:w="8" w:type="dxa"/>
              <w:right w:w="8" w:type="dxa"/>
            </w:tcMar>
            <w:vAlign w:val="center"/>
          </w:tcPr>
          <w:p w:rsidR="002368D0" w:rsidRDefault="00F422F6">
            <w:pPr>
              <w:spacing w:line="580" w:lineRule="exact"/>
              <w:ind w:leftChars="50" w:left="105" w:firstLineChars="150" w:firstLine="42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90.54</w:t>
            </w:r>
          </w:p>
        </w:tc>
      </w:tr>
    </w:tbl>
    <w:p w:rsidR="002368D0" w:rsidRDefault="00F422F6">
      <w:pPr>
        <w:spacing w:line="52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（二）存在的问题及原因分析</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sz w:val="28"/>
          <w:szCs w:val="28"/>
        </w:rPr>
        <w:t>.2021</w:t>
      </w:r>
      <w:r>
        <w:rPr>
          <w:rFonts w:ascii="仿宋_GB2312" w:eastAsia="仿宋_GB2312" w:hAnsi="仿宋_GB2312" w:cs="仿宋_GB2312" w:hint="eastAsia"/>
          <w:sz w:val="28"/>
          <w:szCs w:val="28"/>
        </w:rPr>
        <w:t>年项目预算执行率</w:t>
      </w:r>
      <w:r w:rsidR="00453DBA">
        <w:rPr>
          <w:rFonts w:ascii="仿宋_GB2312" w:eastAsia="仿宋_GB2312" w:hAnsi="仿宋_GB2312" w:cs="仿宋_GB2312" w:hint="eastAsia"/>
          <w:sz w:val="28"/>
          <w:szCs w:val="28"/>
        </w:rPr>
        <w:t>为</w:t>
      </w:r>
      <w:r w:rsidR="00453DBA">
        <w:rPr>
          <w:rFonts w:ascii="仿宋_GB2312" w:eastAsia="仿宋_GB2312" w:hAnsi="仿宋_GB2312" w:cs="仿宋_GB2312"/>
          <w:kern w:val="0"/>
          <w:sz w:val="28"/>
          <w:szCs w:val="28"/>
        </w:rPr>
        <w:t>82.51%</w:t>
      </w:r>
      <w:r>
        <w:rPr>
          <w:rFonts w:ascii="仿宋_GB2312" w:eastAsia="仿宋_GB2312" w:hAnsi="仿宋_GB2312" w:cs="仿宋_GB2312" w:hint="eastAsia"/>
          <w:sz w:val="28"/>
          <w:szCs w:val="28"/>
        </w:rPr>
        <w:t>，主要原因是年中追加的项目，到2</w:t>
      </w:r>
      <w:r>
        <w:rPr>
          <w:rFonts w:ascii="仿宋_GB2312" w:eastAsia="仿宋_GB2312" w:hAnsi="仿宋_GB2312" w:cs="仿宋_GB2312"/>
          <w:sz w:val="28"/>
          <w:szCs w:val="28"/>
        </w:rPr>
        <w:t>021</w:t>
      </w:r>
      <w:r>
        <w:rPr>
          <w:rFonts w:ascii="仿宋_GB2312" w:eastAsia="仿宋_GB2312" w:hAnsi="仿宋_GB2312" w:cs="仿宋_GB2312" w:hint="eastAsia"/>
          <w:sz w:val="28"/>
          <w:szCs w:val="28"/>
        </w:rPr>
        <w:t>年末未达到支出条件。</w:t>
      </w:r>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sz w:val="28"/>
          <w:szCs w:val="28"/>
        </w:rPr>
        <w:t>.</w:t>
      </w:r>
      <w:bookmarkStart w:id="2" w:name="_GoBack"/>
      <w:bookmarkEnd w:id="2"/>
      <w:r>
        <w:rPr>
          <w:rFonts w:ascii="仿宋_GB2312" w:eastAsia="仿宋_GB2312" w:hAnsi="仿宋_GB2312" w:cs="仿宋_GB2312" w:hint="eastAsia"/>
          <w:sz w:val="28"/>
          <w:szCs w:val="28"/>
        </w:rPr>
        <w:t>部门整体绩效目标设定不够细化，从部门绩效目标分解到数量指标、质量指标的对应性不足。各项目之间对同类赛事的数量指标、质量指标、效益指标的设定标准不统一，在汇总部门整体绩效目标时差异较大。</w:t>
      </w:r>
    </w:p>
    <w:p w:rsidR="002368D0" w:rsidRDefault="00F422F6">
      <w:pPr>
        <w:pStyle w:val="a3"/>
        <w:spacing w:line="520" w:lineRule="atLeast"/>
        <w:ind w:firstLine="560"/>
        <w:rPr>
          <w:rFonts w:ascii="仿宋_GB2312" w:eastAsia="仿宋_GB2312" w:hAnsi="仿宋_GB2312" w:cs="仿宋_GB2312"/>
          <w:sz w:val="28"/>
          <w:szCs w:val="28"/>
        </w:rPr>
      </w:pPr>
      <w:bookmarkStart w:id="3" w:name="_Hlk105516584"/>
      <w:r>
        <w:rPr>
          <w:rFonts w:ascii="仿宋_GB2312" w:eastAsia="仿宋_GB2312" w:hAnsi="仿宋_GB2312" w:cs="仿宋_GB2312" w:hint="eastAsia"/>
          <w:sz w:val="28"/>
          <w:szCs w:val="28"/>
        </w:rPr>
        <w:t>3</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受疫情影响，部分赛事活动并未能如期举办或取消，影响了部分指标的完成。</w:t>
      </w:r>
      <w:bookmarkEnd w:id="3"/>
    </w:p>
    <w:p w:rsidR="002368D0" w:rsidRDefault="00F422F6">
      <w:pPr>
        <w:pStyle w:val="a3"/>
        <w:spacing w:line="520" w:lineRule="atLeas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部门整体实施效果对应的效益资料归集不够全面，项目过程资料留痕不足，不能充分体现项目实施效果。</w:t>
      </w:r>
    </w:p>
    <w:p w:rsidR="002368D0" w:rsidRDefault="00F422F6">
      <w:pPr>
        <w:pStyle w:val="a3"/>
        <w:spacing w:line="520" w:lineRule="atLeast"/>
        <w:ind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六、措施建议</w:t>
      </w:r>
    </w:p>
    <w:p w:rsidR="002368D0" w:rsidRDefault="00F422F6">
      <w:pPr>
        <w:pStyle w:val="a3"/>
        <w:spacing w:line="520" w:lineRule="atLeast"/>
        <w:ind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（一）加强预算绩效管理，严格预算执行，提高部门预算编制科学性、合理性，提高项目预算执行率。</w:t>
      </w:r>
    </w:p>
    <w:p w:rsidR="002368D0" w:rsidRDefault="00F422F6">
      <w:pPr>
        <w:pStyle w:val="a3"/>
        <w:spacing w:line="520" w:lineRule="atLeast"/>
        <w:ind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（二）提升整体绩效目标设置的合理性，加强项目预算需求与各项实施内容的匹配性，绩效指标的产出数量对应产出内容进一步细化、量化，并与产出质量和效益相对应，增强整体绩效目标的可衡量性。</w:t>
      </w:r>
    </w:p>
    <w:p w:rsidR="002368D0" w:rsidRDefault="00F422F6">
      <w:pPr>
        <w:pStyle w:val="a3"/>
        <w:spacing w:line="520" w:lineRule="atLeast"/>
        <w:ind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（三）落实疫情常态化防控措施，充分考虑赛事组织工作中有可能受到的影响，建立应急备选方案。调整预算的同时，及时调整绩效目标。</w:t>
      </w:r>
    </w:p>
    <w:p w:rsidR="002368D0" w:rsidRDefault="00F422F6">
      <w:pPr>
        <w:ind w:firstLineChars="200" w:firstLine="560"/>
      </w:pPr>
      <w:r>
        <w:rPr>
          <w:rFonts w:ascii="仿宋_GB2312" w:eastAsia="仿宋_GB2312" w:hAnsi="仿宋_GB2312" w:cs="仿宋_GB2312" w:hint="eastAsia"/>
          <w:color w:val="000000"/>
          <w:kern w:val="0"/>
          <w:sz w:val="28"/>
          <w:szCs w:val="28"/>
        </w:rPr>
        <w:t>（四）加强项目效益、效果资料的归集整理，注重绩效产出证明材料的充分性和完整性。</w:t>
      </w:r>
    </w:p>
    <w:sectPr w:rsidR="002368D0">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CBA" w:rsidRDefault="00671CBA">
      <w:r>
        <w:separator/>
      </w:r>
    </w:p>
  </w:endnote>
  <w:endnote w:type="continuationSeparator" w:id="0">
    <w:p w:rsidR="00671CBA" w:rsidRDefault="0067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734843"/>
      <w:docPartObj>
        <w:docPartGallery w:val="AutoText"/>
      </w:docPartObj>
    </w:sdtPr>
    <w:sdtEndPr/>
    <w:sdtContent>
      <w:p w:rsidR="002368D0" w:rsidRDefault="00F422F6">
        <w:pPr>
          <w:pStyle w:val="a4"/>
          <w:jc w:val="center"/>
        </w:pPr>
        <w:r>
          <w:fldChar w:fldCharType="begin"/>
        </w:r>
        <w:r>
          <w:instrText>PAGE   \* MERGEFORMAT</w:instrText>
        </w:r>
        <w:r>
          <w:fldChar w:fldCharType="separate"/>
        </w:r>
        <w:r w:rsidR="00453DBA" w:rsidRPr="00453DBA">
          <w:rPr>
            <w:noProof/>
            <w:lang w:val="zh-CN"/>
          </w:rPr>
          <w:t>22</w:t>
        </w:r>
        <w:r>
          <w:fldChar w:fldCharType="end"/>
        </w:r>
      </w:p>
    </w:sdtContent>
  </w:sdt>
  <w:p w:rsidR="002368D0" w:rsidRDefault="002368D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CBA" w:rsidRDefault="00671CBA">
      <w:r>
        <w:separator/>
      </w:r>
    </w:p>
  </w:footnote>
  <w:footnote w:type="continuationSeparator" w:id="0">
    <w:p w:rsidR="00671CBA" w:rsidRDefault="00671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253211"/>
    <w:multiLevelType w:val="multilevel"/>
    <w:tmpl w:val="5C253211"/>
    <w:lvl w:ilvl="0">
      <w:start w:val="2"/>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yMzE1OTA4YzgxZDhkMDc2MmYwNGYwMWY2YjM2YzgifQ=="/>
  </w:docVars>
  <w:rsids>
    <w:rsidRoot w:val="00C26BF0"/>
    <w:rsid w:val="001125FF"/>
    <w:rsid w:val="002368D0"/>
    <w:rsid w:val="003D6586"/>
    <w:rsid w:val="00453DBA"/>
    <w:rsid w:val="005C3BA2"/>
    <w:rsid w:val="00607123"/>
    <w:rsid w:val="00671CBA"/>
    <w:rsid w:val="008B6C5C"/>
    <w:rsid w:val="00BB440D"/>
    <w:rsid w:val="00C26BF0"/>
    <w:rsid w:val="00CF4ED7"/>
    <w:rsid w:val="00E711EC"/>
    <w:rsid w:val="00F422F6"/>
    <w:rsid w:val="25821D55"/>
    <w:rsid w:val="3A8C2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EB521"/>
  <w15:docId w15:val="{B2424576-1F48-4E5A-91B1-52B8E2E3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rPr>
      <w:rFonts w:ascii="Times New Roman" w:eastAsia="宋体" w:hAnsi="Times New Roman" w:cs="Times New Roman"/>
      <w:szCs w:val="24"/>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pPr>
      <w:spacing w:before="100" w:beforeAutospacing="1" w:after="100" w:afterAutospacing="1"/>
      <w:ind w:right="238"/>
      <w:jc w:val="left"/>
    </w:pPr>
    <w:rPr>
      <w:rFonts w:ascii="Times New Roman" w:eastAsia="宋体" w:hAnsi="Times New Roman" w:cs="Times New Roman"/>
      <w:b/>
      <w:kern w:val="0"/>
      <w:sz w:val="24"/>
      <w:szCs w:val="20"/>
    </w:r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rPr>
      <w:sz w:val="18"/>
      <w:szCs w:val="18"/>
    </w:rPr>
  </w:style>
  <w:style w:type="paragraph" w:styleId="a9">
    <w:name w:val="Balloon Text"/>
    <w:basedOn w:val="a"/>
    <w:link w:val="aa"/>
    <w:uiPriority w:val="99"/>
    <w:semiHidden/>
    <w:unhideWhenUsed/>
    <w:rsid w:val="00607123"/>
    <w:rPr>
      <w:sz w:val="18"/>
      <w:szCs w:val="18"/>
    </w:rPr>
  </w:style>
  <w:style w:type="character" w:customStyle="1" w:styleId="aa">
    <w:name w:val="批注框文本 字符"/>
    <w:basedOn w:val="a0"/>
    <w:link w:val="a9"/>
    <w:uiPriority w:val="99"/>
    <w:semiHidden/>
    <w:rsid w:val="0060712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22</Pages>
  <Words>1539</Words>
  <Characters>8777</Characters>
  <Application>Microsoft Office Word</Application>
  <DocSecurity>0</DocSecurity>
  <Lines>73</Lines>
  <Paragraphs>20</Paragraphs>
  <ScaleCrop>false</ScaleCrop>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dc:creator>
  <cp:lastModifiedBy>lenovo</cp:lastModifiedBy>
  <cp:revision>7</cp:revision>
  <dcterms:created xsi:type="dcterms:W3CDTF">2022-08-24T03:00:00Z</dcterms:created>
  <dcterms:modified xsi:type="dcterms:W3CDTF">2022-08-25T07:56:00Z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779734BA304A41CDA24A856FB1DA2145</vt:lpwstr>
  </property>
</Properties>
</file>