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862" w:type="dxa"/>
        <w:tblInd w:w="0" w:type="dxa"/>
        <w:tblLayout w:type="autofit"/>
        <w:tblCellMar>
          <w:top w:w="0" w:type="dxa"/>
          <w:left w:w="108" w:type="dxa"/>
          <w:bottom w:w="0" w:type="dxa"/>
          <w:right w:w="108" w:type="dxa"/>
        </w:tblCellMar>
      </w:tblPr>
      <w:tblGrid>
        <w:gridCol w:w="480"/>
        <w:gridCol w:w="793"/>
        <w:gridCol w:w="931"/>
        <w:gridCol w:w="529"/>
        <w:gridCol w:w="1080"/>
        <w:gridCol w:w="1056"/>
        <w:gridCol w:w="1158"/>
        <w:gridCol w:w="531"/>
        <w:gridCol w:w="479"/>
        <w:gridCol w:w="179"/>
        <w:gridCol w:w="1424"/>
        <w:gridCol w:w="222"/>
      </w:tblGrid>
      <w:tr>
        <w:tblPrEx>
          <w:tblCellMar>
            <w:top w:w="0" w:type="dxa"/>
            <w:left w:w="108" w:type="dxa"/>
            <w:bottom w:w="0" w:type="dxa"/>
            <w:right w:w="108" w:type="dxa"/>
          </w:tblCellMar>
        </w:tblPrEx>
        <w:trPr>
          <w:gridAfter w:val="1"/>
          <w:wAfter w:w="222" w:type="dxa"/>
          <w:trHeight w:val="280" w:hRule="atLeast"/>
        </w:trPr>
        <w:tc>
          <w:tcPr>
            <w:tcW w:w="8640" w:type="dxa"/>
            <w:gridSpan w:val="11"/>
            <w:tcBorders>
              <w:top w:val="nil"/>
              <w:left w:val="nil"/>
              <w:bottom w:val="single" w:color="000000" w:sz="4" w:space="0"/>
              <w:right w:val="nil"/>
            </w:tcBorders>
            <w:shd w:val="clear" w:color="auto" w:fill="auto"/>
            <w:vAlign w:val="center"/>
          </w:tcPr>
          <w:p>
            <w:pPr>
              <w:spacing w:line="480" w:lineRule="exact"/>
              <w:jc w:val="center"/>
              <w:rPr>
                <w:rFonts w:ascii="方正小标宋简体" w:hAnsi="黑体" w:eastAsia="方正小标宋简体"/>
                <w:sz w:val="44"/>
                <w:szCs w:val="44"/>
              </w:rPr>
            </w:pPr>
            <w:r>
              <w:rPr>
                <w:rFonts w:hint="eastAsia" w:ascii="方正小标宋简体" w:hAnsi="黑体" w:eastAsia="方正小标宋简体"/>
                <w:sz w:val="44"/>
                <w:szCs w:val="44"/>
              </w:rPr>
              <w:t>项目支出绩效自评表</w:t>
            </w:r>
          </w:p>
          <w:p>
            <w:pPr>
              <w:spacing w:line="480" w:lineRule="exact"/>
              <w:rPr>
                <w:rFonts w:hint="eastAsia" w:ascii="仿宋_GB2312" w:hAnsi="宋体" w:eastAsia="仿宋_GB2312" w:cs="宋体"/>
                <w:color w:val="000000"/>
                <w:kern w:val="0"/>
                <w:szCs w:val="21"/>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（2021年度）</w:t>
            </w:r>
            <w:bookmarkStart w:id="0" w:name="_GoBack"/>
            <w:bookmarkEnd w:id="0"/>
          </w:p>
        </w:tc>
      </w:tr>
      <w:tr>
        <w:tblPrEx>
          <w:tblCellMar>
            <w:top w:w="0" w:type="dxa"/>
            <w:left w:w="108" w:type="dxa"/>
            <w:bottom w:w="0" w:type="dxa"/>
            <w:right w:w="108" w:type="dxa"/>
          </w:tblCellMar>
        </w:tblPrEx>
        <w:trPr>
          <w:gridAfter w:val="1"/>
          <w:wAfter w:w="222" w:type="dxa"/>
          <w:trHeight w:val="280" w:hRule="atLeast"/>
        </w:trPr>
        <w:tc>
          <w:tcPr>
            <w:tcW w:w="12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项目名称</w:t>
            </w:r>
          </w:p>
        </w:tc>
        <w:tc>
          <w:tcPr>
            <w:tcW w:w="736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北京市足球技术人才技能提升培训经费</w:t>
            </w:r>
          </w:p>
        </w:tc>
      </w:tr>
      <w:tr>
        <w:tblPrEx>
          <w:tblCellMar>
            <w:top w:w="0" w:type="dxa"/>
            <w:left w:w="108" w:type="dxa"/>
            <w:bottom w:w="0" w:type="dxa"/>
            <w:right w:w="108" w:type="dxa"/>
          </w:tblCellMar>
        </w:tblPrEx>
        <w:trPr>
          <w:gridAfter w:val="1"/>
          <w:wAfter w:w="222" w:type="dxa"/>
          <w:trHeight w:val="280" w:hRule="atLeast"/>
        </w:trPr>
        <w:tc>
          <w:tcPr>
            <w:tcW w:w="12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主管部门</w:t>
            </w:r>
          </w:p>
        </w:tc>
        <w:tc>
          <w:tcPr>
            <w:tcW w:w="35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北京市体育局</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实施单位</w:t>
            </w:r>
          </w:p>
        </w:tc>
        <w:tc>
          <w:tcPr>
            <w:tcW w:w="261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北京市体育总会秘书</w:t>
            </w:r>
          </w:p>
        </w:tc>
      </w:tr>
      <w:tr>
        <w:tblPrEx>
          <w:tblCellMar>
            <w:top w:w="0" w:type="dxa"/>
            <w:left w:w="108" w:type="dxa"/>
            <w:bottom w:w="0" w:type="dxa"/>
            <w:right w:w="108" w:type="dxa"/>
          </w:tblCellMar>
        </w:tblPrEx>
        <w:trPr>
          <w:gridAfter w:val="1"/>
          <w:wAfter w:w="222" w:type="dxa"/>
          <w:trHeight w:val="280" w:hRule="atLeast"/>
        </w:trPr>
        <w:tc>
          <w:tcPr>
            <w:tcW w:w="12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项目负责人</w:t>
            </w:r>
          </w:p>
        </w:tc>
        <w:tc>
          <w:tcPr>
            <w:tcW w:w="35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张国成</w:t>
            </w:r>
          </w:p>
        </w:tc>
        <w:tc>
          <w:tcPr>
            <w:tcW w:w="115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联系电话</w:t>
            </w:r>
          </w:p>
        </w:tc>
        <w:tc>
          <w:tcPr>
            <w:tcW w:w="261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87244829</w:t>
            </w:r>
          </w:p>
        </w:tc>
      </w:tr>
      <w:tr>
        <w:tblPrEx>
          <w:tblCellMar>
            <w:top w:w="0" w:type="dxa"/>
            <w:left w:w="108" w:type="dxa"/>
            <w:bottom w:w="0" w:type="dxa"/>
            <w:right w:w="108" w:type="dxa"/>
          </w:tblCellMar>
        </w:tblPrEx>
        <w:trPr>
          <w:gridAfter w:val="1"/>
          <w:wAfter w:w="222" w:type="dxa"/>
          <w:trHeight w:val="312" w:hRule="atLeast"/>
        </w:trPr>
        <w:tc>
          <w:tcPr>
            <w:tcW w:w="1273" w:type="dxa"/>
            <w:gridSpan w:val="2"/>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项目资金（万元）</w:t>
            </w:r>
          </w:p>
        </w:tc>
        <w:tc>
          <w:tcPr>
            <w:tcW w:w="1460" w:type="dxa"/>
            <w:gridSpan w:val="2"/>
            <w:vMerge w:val="restart"/>
            <w:tcBorders>
              <w:top w:val="single" w:color="000000" w:sz="4" w:space="0"/>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1080" w:type="dxa"/>
            <w:vMerge w:val="restart"/>
            <w:tcBorders>
              <w:top w:val="single" w:color="000000" w:sz="4" w:space="0"/>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年初预算数</w:t>
            </w:r>
          </w:p>
        </w:tc>
        <w:tc>
          <w:tcPr>
            <w:tcW w:w="1056" w:type="dxa"/>
            <w:vMerge w:val="restart"/>
            <w:tcBorders>
              <w:top w:val="single" w:color="000000" w:sz="4" w:space="0"/>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全年预算数</w:t>
            </w:r>
          </w:p>
        </w:tc>
        <w:tc>
          <w:tcPr>
            <w:tcW w:w="1158" w:type="dxa"/>
            <w:vMerge w:val="restart"/>
            <w:tcBorders>
              <w:top w:val="single" w:color="000000" w:sz="4" w:space="0"/>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全年执行数</w:t>
            </w:r>
          </w:p>
        </w:tc>
        <w:tc>
          <w:tcPr>
            <w:tcW w:w="531" w:type="dxa"/>
            <w:vMerge w:val="restart"/>
            <w:tcBorders>
              <w:top w:val="single" w:color="000000" w:sz="4" w:space="0"/>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分值</w:t>
            </w:r>
          </w:p>
        </w:tc>
        <w:tc>
          <w:tcPr>
            <w:tcW w:w="658" w:type="dxa"/>
            <w:gridSpan w:val="2"/>
            <w:vMerge w:val="restart"/>
            <w:tcBorders>
              <w:top w:val="single" w:color="000000" w:sz="4" w:space="0"/>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执行率</w:t>
            </w:r>
          </w:p>
        </w:tc>
        <w:tc>
          <w:tcPr>
            <w:tcW w:w="1424" w:type="dxa"/>
            <w:vMerge w:val="restart"/>
            <w:tcBorders>
              <w:top w:val="single" w:color="000000" w:sz="4" w:space="0"/>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得分</w:t>
            </w:r>
          </w:p>
        </w:tc>
      </w:tr>
      <w:tr>
        <w:tblPrEx>
          <w:tblCellMar>
            <w:top w:w="0" w:type="dxa"/>
            <w:left w:w="108" w:type="dxa"/>
            <w:bottom w:w="0" w:type="dxa"/>
            <w:right w:w="108" w:type="dxa"/>
          </w:tblCellMar>
        </w:tblPrEx>
        <w:trPr>
          <w:trHeight w:val="280" w:hRule="atLeast"/>
        </w:trPr>
        <w:tc>
          <w:tcPr>
            <w:tcW w:w="1273" w:type="dxa"/>
            <w:gridSpan w:val="2"/>
            <w:vMerge w:val="continue"/>
            <w:tcBorders>
              <w:top w:val="single" w:color="000000" w:sz="4" w:space="0"/>
              <w:left w:val="single" w:color="auto" w:sz="4" w:space="0"/>
              <w:bottom w:val="single" w:color="000000" w:sz="4" w:space="0"/>
              <w:right w:val="single" w:color="000000" w:sz="4" w:space="0"/>
            </w:tcBorders>
            <w:vAlign w:val="center"/>
          </w:tcPr>
          <w:p>
            <w:pPr>
              <w:widowControl/>
              <w:jc w:val="left"/>
              <w:rPr>
                <w:rFonts w:ascii="仿宋_GB2312" w:hAnsi="宋体" w:eastAsia="仿宋_GB2312" w:cs="宋体"/>
                <w:color w:val="000000"/>
                <w:kern w:val="0"/>
                <w:szCs w:val="21"/>
              </w:rPr>
            </w:pPr>
          </w:p>
        </w:tc>
        <w:tc>
          <w:tcPr>
            <w:tcW w:w="1460" w:type="dxa"/>
            <w:gridSpan w:val="2"/>
            <w:vMerge w:val="continue"/>
            <w:tcBorders>
              <w:top w:val="single" w:color="000000" w:sz="4" w:space="0"/>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1080" w:type="dxa"/>
            <w:vMerge w:val="continue"/>
            <w:tcBorders>
              <w:top w:val="single" w:color="000000" w:sz="4" w:space="0"/>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1056" w:type="dxa"/>
            <w:vMerge w:val="continue"/>
            <w:tcBorders>
              <w:top w:val="single" w:color="000000" w:sz="4" w:space="0"/>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1158" w:type="dxa"/>
            <w:vMerge w:val="continue"/>
            <w:tcBorders>
              <w:top w:val="single" w:color="000000" w:sz="4" w:space="0"/>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531" w:type="dxa"/>
            <w:vMerge w:val="continue"/>
            <w:tcBorders>
              <w:top w:val="single" w:color="000000" w:sz="4" w:space="0"/>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658" w:type="dxa"/>
            <w:gridSpan w:val="2"/>
            <w:vMerge w:val="continue"/>
            <w:tcBorders>
              <w:top w:val="single" w:color="000000" w:sz="4" w:space="0"/>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1424" w:type="dxa"/>
            <w:vMerge w:val="continue"/>
            <w:tcBorders>
              <w:top w:val="single" w:color="000000" w:sz="4" w:space="0"/>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22" w:type="dxa"/>
            <w:tcBorders>
              <w:top w:val="nil"/>
              <w:left w:val="nil"/>
              <w:bottom w:val="nil"/>
              <w:right w:val="nil"/>
            </w:tcBorders>
            <w:shd w:val="clear" w:color="auto" w:fill="auto"/>
            <w:noWrap/>
            <w:vAlign w:val="center"/>
          </w:tcPr>
          <w:p>
            <w:pPr>
              <w:widowControl/>
              <w:jc w:val="center"/>
              <w:rPr>
                <w:rFonts w:hint="eastAsia" w:ascii="仿宋_GB2312" w:hAnsi="宋体" w:eastAsia="仿宋_GB2312" w:cs="宋体"/>
                <w:color w:val="000000"/>
                <w:kern w:val="0"/>
                <w:szCs w:val="21"/>
              </w:rPr>
            </w:pPr>
          </w:p>
        </w:tc>
      </w:tr>
      <w:tr>
        <w:tblPrEx>
          <w:tblCellMar>
            <w:top w:w="0" w:type="dxa"/>
            <w:left w:w="108" w:type="dxa"/>
            <w:bottom w:w="0" w:type="dxa"/>
            <w:right w:w="108" w:type="dxa"/>
          </w:tblCellMar>
        </w:tblPrEx>
        <w:trPr>
          <w:trHeight w:val="280" w:hRule="atLeast"/>
        </w:trPr>
        <w:tc>
          <w:tcPr>
            <w:tcW w:w="1273" w:type="dxa"/>
            <w:gridSpan w:val="2"/>
            <w:vMerge w:val="continue"/>
            <w:tcBorders>
              <w:top w:val="single" w:color="000000" w:sz="4" w:space="0"/>
              <w:left w:val="single" w:color="auto" w:sz="4" w:space="0"/>
              <w:bottom w:val="single" w:color="000000" w:sz="4" w:space="0"/>
              <w:right w:val="single" w:color="000000" w:sz="4" w:space="0"/>
            </w:tcBorders>
            <w:vAlign w:val="center"/>
          </w:tcPr>
          <w:p>
            <w:pPr>
              <w:widowControl/>
              <w:jc w:val="left"/>
              <w:rPr>
                <w:rFonts w:ascii="仿宋_GB2312" w:hAnsi="宋体" w:eastAsia="仿宋_GB2312" w:cs="宋体"/>
                <w:color w:val="000000"/>
                <w:kern w:val="0"/>
                <w:szCs w:val="21"/>
              </w:rPr>
            </w:pPr>
          </w:p>
        </w:tc>
        <w:tc>
          <w:tcPr>
            <w:tcW w:w="1460" w:type="dxa"/>
            <w:gridSpan w:val="2"/>
            <w:tcBorders>
              <w:top w:val="single" w:color="000000" w:sz="4" w:space="0"/>
              <w:left w:val="nil"/>
              <w:bottom w:val="single" w:color="auto" w:sz="4" w:space="0"/>
              <w:right w:val="single" w:color="auto" w:sz="4" w:space="0"/>
            </w:tcBorders>
            <w:shd w:val="clear" w:color="auto" w:fill="auto"/>
            <w:vAlign w:val="center"/>
          </w:tcPr>
          <w:p>
            <w:pPr>
              <w:widowControl/>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年度资金总额</w:t>
            </w:r>
          </w:p>
        </w:tc>
        <w:tc>
          <w:tcPr>
            <w:tcW w:w="1080" w:type="dxa"/>
            <w:tcBorders>
              <w:top w:val="single" w:color="000000"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378.5095</w:t>
            </w:r>
          </w:p>
        </w:tc>
        <w:tc>
          <w:tcPr>
            <w:tcW w:w="1056" w:type="dxa"/>
            <w:tcBorders>
              <w:top w:val="single" w:color="000000"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378.5095</w:t>
            </w:r>
          </w:p>
        </w:tc>
        <w:tc>
          <w:tcPr>
            <w:tcW w:w="1158" w:type="dxa"/>
            <w:tcBorders>
              <w:top w:val="single" w:color="000000"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378.5095</w:t>
            </w:r>
          </w:p>
        </w:tc>
        <w:tc>
          <w:tcPr>
            <w:tcW w:w="531" w:type="dxa"/>
            <w:tcBorders>
              <w:top w:val="single" w:color="000000"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10</w:t>
            </w:r>
          </w:p>
        </w:tc>
        <w:tc>
          <w:tcPr>
            <w:tcW w:w="658" w:type="dxa"/>
            <w:gridSpan w:val="2"/>
            <w:tcBorders>
              <w:top w:val="single" w:color="000000"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1424" w:type="dxa"/>
            <w:tcBorders>
              <w:top w:val="single" w:color="000000"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10</w:t>
            </w:r>
          </w:p>
        </w:tc>
        <w:tc>
          <w:tcPr>
            <w:tcW w:w="222"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280" w:hRule="atLeast"/>
        </w:trPr>
        <w:tc>
          <w:tcPr>
            <w:tcW w:w="1273"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hAnsi="宋体" w:eastAsia="仿宋_GB2312" w:cs="宋体"/>
                <w:color w:val="000000"/>
                <w:kern w:val="0"/>
                <w:szCs w:val="21"/>
              </w:rPr>
            </w:pPr>
          </w:p>
        </w:tc>
        <w:tc>
          <w:tcPr>
            <w:tcW w:w="146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其中：当年财政拨款</w:t>
            </w: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378.5095</w:t>
            </w:r>
          </w:p>
        </w:tc>
        <w:tc>
          <w:tcPr>
            <w:tcW w:w="10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378.5095</w:t>
            </w:r>
          </w:p>
        </w:tc>
        <w:tc>
          <w:tcPr>
            <w:tcW w:w="115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378.5095</w:t>
            </w:r>
          </w:p>
        </w:tc>
        <w:tc>
          <w:tcPr>
            <w:tcW w:w="53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c>
          <w:tcPr>
            <w:tcW w:w="65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142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c>
          <w:tcPr>
            <w:tcW w:w="222"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280" w:hRule="atLeast"/>
        </w:trPr>
        <w:tc>
          <w:tcPr>
            <w:tcW w:w="1273"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hAnsi="宋体" w:eastAsia="仿宋_GB2312" w:cs="宋体"/>
                <w:color w:val="000000"/>
                <w:kern w:val="0"/>
                <w:szCs w:val="21"/>
              </w:rPr>
            </w:pPr>
          </w:p>
        </w:tc>
        <w:tc>
          <w:tcPr>
            <w:tcW w:w="1460"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hAnsi="宋体" w:eastAsia="仿宋_GB2312" w:cs="宋体"/>
                <w:color w:val="000000"/>
                <w:kern w:val="0"/>
                <w:szCs w:val="21"/>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1056"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1158"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531"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65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1424"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222" w:type="dxa"/>
            <w:tcBorders>
              <w:top w:val="nil"/>
              <w:left w:val="nil"/>
              <w:bottom w:val="nil"/>
              <w:right w:val="nil"/>
            </w:tcBorders>
            <w:shd w:val="clear" w:color="auto" w:fill="auto"/>
            <w:noWrap/>
            <w:vAlign w:val="center"/>
          </w:tcPr>
          <w:p>
            <w:pPr>
              <w:widowControl/>
              <w:jc w:val="center"/>
              <w:rPr>
                <w:rFonts w:hint="eastAsia" w:ascii="仿宋_GB2312" w:hAnsi="宋体" w:eastAsia="仿宋_GB2312" w:cs="宋体"/>
                <w:color w:val="000000"/>
                <w:kern w:val="0"/>
                <w:szCs w:val="21"/>
              </w:rPr>
            </w:pPr>
          </w:p>
        </w:tc>
      </w:tr>
      <w:tr>
        <w:tblPrEx>
          <w:tblCellMar>
            <w:top w:w="0" w:type="dxa"/>
            <w:left w:w="108" w:type="dxa"/>
            <w:bottom w:w="0" w:type="dxa"/>
            <w:right w:w="108" w:type="dxa"/>
          </w:tblCellMar>
        </w:tblPrEx>
        <w:trPr>
          <w:trHeight w:val="280" w:hRule="atLeast"/>
        </w:trPr>
        <w:tc>
          <w:tcPr>
            <w:tcW w:w="1273"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hAnsi="宋体" w:eastAsia="仿宋_GB2312" w:cs="宋体"/>
                <w:color w:val="000000"/>
                <w:kern w:val="0"/>
                <w:szCs w:val="21"/>
              </w:rPr>
            </w:pPr>
          </w:p>
        </w:tc>
        <w:tc>
          <w:tcPr>
            <w:tcW w:w="14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上年结转资金其他资金</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0</w:t>
            </w:r>
          </w:p>
        </w:tc>
        <w:tc>
          <w:tcPr>
            <w:tcW w:w="1056"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0</w:t>
            </w:r>
          </w:p>
        </w:tc>
        <w:tc>
          <w:tcPr>
            <w:tcW w:w="115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0</w:t>
            </w:r>
          </w:p>
        </w:tc>
        <w:tc>
          <w:tcPr>
            <w:tcW w:w="531"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c>
          <w:tcPr>
            <w:tcW w:w="65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1424"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c>
          <w:tcPr>
            <w:tcW w:w="222"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280" w:hRule="atLeast"/>
        </w:trPr>
        <w:tc>
          <w:tcPr>
            <w:tcW w:w="1273"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hAnsi="宋体" w:eastAsia="仿宋_GB2312" w:cs="宋体"/>
                <w:color w:val="000000"/>
                <w:kern w:val="0"/>
                <w:szCs w:val="21"/>
              </w:rPr>
            </w:pPr>
          </w:p>
        </w:tc>
        <w:tc>
          <w:tcPr>
            <w:tcW w:w="14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1056"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115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531"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c>
          <w:tcPr>
            <w:tcW w:w="65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1424"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c>
          <w:tcPr>
            <w:tcW w:w="222"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290" w:hRule="atLeast"/>
        </w:trPr>
        <w:tc>
          <w:tcPr>
            <w:tcW w:w="4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年度总体目标</w:t>
            </w:r>
          </w:p>
        </w:tc>
        <w:tc>
          <w:tcPr>
            <w:tcW w:w="4389"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预期目标</w:t>
            </w:r>
          </w:p>
        </w:tc>
        <w:tc>
          <w:tcPr>
            <w:tcW w:w="3771"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实际完成情况</w:t>
            </w:r>
          </w:p>
        </w:tc>
        <w:tc>
          <w:tcPr>
            <w:tcW w:w="222"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340" w:hRule="atLeast"/>
        </w:trPr>
        <w:tc>
          <w:tcPr>
            <w:tcW w:w="480"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4389" w:type="dxa"/>
            <w:gridSpan w:val="5"/>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结合北京市实际情况，学习借鉴国外足球教练员的先进培训经验，根据北京市足球改革发展的总体需要，依托各区体育、教育行政部门，切实发挥北京市足球运动协会在青少年教练员体系建设方面的龙头和主导作用，以就近学习、就近上岗、就近学习的原则，通过对已经获得E级及以上等级证书的教练员和获得三级及以上等级证书的裁判员进行专业技能提升培训，扩大优质教练资源的受益面，利用多渠道多形式育人的人才培养机制，提高北京市足球专业人才的培训质量，促进新时期北京北京市足球专业人才技能提升。</w:t>
            </w:r>
          </w:p>
        </w:tc>
        <w:tc>
          <w:tcPr>
            <w:tcW w:w="3771" w:type="dxa"/>
            <w:gridSpan w:val="5"/>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(一)教练员技能提升</w:t>
            </w:r>
            <w:r>
              <w:rPr>
                <w:rFonts w:hint="eastAsia" w:ascii="仿宋_GB2312" w:hAnsi="宋体" w:eastAsia="仿宋_GB2312" w:cs="宋体"/>
                <w:color w:val="000000"/>
                <w:kern w:val="0"/>
                <w:szCs w:val="21"/>
              </w:rPr>
              <w:br w:type="textWrapping"/>
            </w:r>
            <w:r>
              <w:rPr>
                <w:rFonts w:hint="eastAsia" w:ascii="仿宋_GB2312" w:hAnsi="宋体" w:eastAsia="仿宋_GB2312" w:cs="宋体"/>
                <w:color w:val="000000"/>
                <w:kern w:val="0"/>
                <w:szCs w:val="21"/>
              </w:rPr>
              <w:t>截止11月19日，2021年教练员继续教育培训按计划完成37期各级各类培训课程，参与培训的各等级教练员达1800余人次。</w:t>
            </w:r>
            <w:r>
              <w:rPr>
                <w:rFonts w:hint="eastAsia" w:ascii="仿宋_GB2312" w:hAnsi="宋体" w:eastAsia="仿宋_GB2312" w:cs="宋体"/>
                <w:color w:val="000000"/>
                <w:kern w:val="0"/>
                <w:szCs w:val="21"/>
              </w:rPr>
              <w:br w:type="textWrapping"/>
            </w:r>
            <w:r>
              <w:rPr>
                <w:rFonts w:hint="eastAsia" w:ascii="仿宋_GB2312" w:hAnsi="宋体" w:eastAsia="仿宋_GB2312" w:cs="宋体"/>
                <w:color w:val="000000"/>
                <w:kern w:val="0"/>
                <w:szCs w:val="21"/>
              </w:rPr>
              <w:t>(二)裁判员技能提升</w:t>
            </w:r>
            <w:r>
              <w:rPr>
                <w:rFonts w:hint="eastAsia" w:ascii="仿宋_GB2312" w:hAnsi="宋体" w:eastAsia="仿宋_GB2312" w:cs="宋体"/>
                <w:color w:val="000000"/>
                <w:kern w:val="0"/>
                <w:szCs w:val="21"/>
              </w:rPr>
              <w:br w:type="textWrapping"/>
            </w:r>
            <w:r>
              <w:rPr>
                <w:rFonts w:hint="eastAsia" w:ascii="仿宋_GB2312" w:hAnsi="宋体" w:eastAsia="仿宋_GB2312" w:cs="宋体"/>
                <w:color w:val="000000"/>
                <w:kern w:val="0"/>
                <w:szCs w:val="21"/>
              </w:rPr>
              <w:t>截至11月底，已经举办了40期继续教育，参与培训的各等级教练员达1200余人次。</w:t>
            </w:r>
          </w:p>
        </w:tc>
        <w:tc>
          <w:tcPr>
            <w:tcW w:w="222"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280" w:hRule="atLeast"/>
        </w:trPr>
        <w:tc>
          <w:tcPr>
            <w:tcW w:w="480" w:type="dxa"/>
            <w:vMerge w:val="restart"/>
            <w:tcBorders>
              <w:top w:val="nil"/>
              <w:left w:val="single" w:color="auto" w:sz="4" w:space="0"/>
              <w:bottom w:val="nil"/>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绩</w:t>
            </w:r>
            <w:r>
              <w:rPr>
                <w:rFonts w:hint="eastAsia" w:ascii="仿宋_GB2312" w:hAnsi="宋体" w:eastAsia="仿宋_GB2312" w:cs="宋体"/>
                <w:color w:val="000000"/>
                <w:kern w:val="0"/>
                <w:szCs w:val="21"/>
              </w:rPr>
              <w:br w:type="textWrapping"/>
            </w:r>
            <w:r>
              <w:rPr>
                <w:rFonts w:hint="eastAsia" w:ascii="仿宋_GB2312" w:hAnsi="宋体" w:eastAsia="仿宋_GB2312" w:cs="宋体"/>
                <w:color w:val="000000"/>
                <w:kern w:val="0"/>
                <w:szCs w:val="21"/>
              </w:rPr>
              <w:t>效</w:t>
            </w:r>
            <w:r>
              <w:rPr>
                <w:rFonts w:hint="eastAsia" w:ascii="仿宋_GB2312" w:hAnsi="宋体" w:eastAsia="仿宋_GB2312" w:cs="宋体"/>
                <w:color w:val="000000"/>
                <w:kern w:val="0"/>
                <w:szCs w:val="21"/>
              </w:rPr>
              <w:br w:type="textWrapping"/>
            </w:r>
            <w:r>
              <w:rPr>
                <w:rFonts w:hint="eastAsia" w:ascii="仿宋_GB2312" w:hAnsi="宋体" w:eastAsia="仿宋_GB2312" w:cs="宋体"/>
                <w:color w:val="000000"/>
                <w:kern w:val="0"/>
                <w:szCs w:val="21"/>
              </w:rPr>
              <w:t>指</w:t>
            </w:r>
            <w:r>
              <w:rPr>
                <w:rFonts w:hint="eastAsia" w:ascii="仿宋_GB2312" w:hAnsi="宋体" w:eastAsia="仿宋_GB2312" w:cs="宋体"/>
                <w:color w:val="000000"/>
                <w:kern w:val="0"/>
                <w:szCs w:val="21"/>
              </w:rPr>
              <w:br w:type="textWrapping"/>
            </w:r>
            <w:r>
              <w:rPr>
                <w:rFonts w:hint="eastAsia" w:ascii="仿宋_GB2312" w:hAnsi="宋体" w:eastAsia="仿宋_GB2312" w:cs="宋体"/>
                <w:color w:val="000000"/>
                <w:kern w:val="0"/>
                <w:szCs w:val="21"/>
              </w:rPr>
              <w:t>标</w:t>
            </w:r>
          </w:p>
        </w:tc>
        <w:tc>
          <w:tcPr>
            <w:tcW w:w="79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一级指标</w:t>
            </w:r>
          </w:p>
        </w:tc>
        <w:tc>
          <w:tcPr>
            <w:tcW w:w="93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二级指标</w:t>
            </w:r>
          </w:p>
        </w:tc>
        <w:tc>
          <w:tcPr>
            <w:tcW w:w="160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三级指标</w:t>
            </w:r>
          </w:p>
        </w:tc>
        <w:tc>
          <w:tcPr>
            <w:tcW w:w="105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年度指标值</w:t>
            </w:r>
          </w:p>
        </w:tc>
        <w:tc>
          <w:tcPr>
            <w:tcW w:w="1158"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实际完成值</w:t>
            </w:r>
          </w:p>
        </w:tc>
        <w:tc>
          <w:tcPr>
            <w:tcW w:w="53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分值</w:t>
            </w:r>
          </w:p>
        </w:tc>
        <w:tc>
          <w:tcPr>
            <w:tcW w:w="47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得分</w:t>
            </w:r>
          </w:p>
        </w:tc>
        <w:tc>
          <w:tcPr>
            <w:tcW w:w="1603"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偏差原因分析及改进</w:t>
            </w:r>
          </w:p>
        </w:tc>
        <w:tc>
          <w:tcPr>
            <w:tcW w:w="222"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280" w:hRule="atLeast"/>
        </w:trPr>
        <w:tc>
          <w:tcPr>
            <w:tcW w:w="480" w:type="dxa"/>
            <w:vMerge w:val="continue"/>
            <w:tcBorders>
              <w:top w:val="nil"/>
              <w:left w:val="single" w:color="auto" w:sz="4" w:space="0"/>
              <w:bottom w:val="nil"/>
              <w:right w:val="single" w:color="auto" w:sz="4" w:space="0"/>
            </w:tcBorders>
            <w:vAlign w:val="center"/>
          </w:tcPr>
          <w:p>
            <w:pPr>
              <w:widowControl/>
              <w:jc w:val="left"/>
              <w:rPr>
                <w:rFonts w:ascii="仿宋_GB2312" w:hAnsi="宋体" w:eastAsia="仿宋_GB2312" w:cs="宋体"/>
                <w:color w:val="000000"/>
                <w:kern w:val="0"/>
                <w:szCs w:val="21"/>
              </w:rPr>
            </w:pPr>
          </w:p>
        </w:tc>
        <w:tc>
          <w:tcPr>
            <w:tcW w:w="793"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931"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160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10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1158"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531"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479"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1603"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hAnsi="宋体" w:eastAsia="仿宋_GB2312" w:cs="宋体"/>
                <w:color w:val="000000"/>
                <w:kern w:val="0"/>
                <w:szCs w:val="21"/>
              </w:rPr>
            </w:pPr>
          </w:p>
        </w:tc>
        <w:tc>
          <w:tcPr>
            <w:tcW w:w="222" w:type="dxa"/>
            <w:tcBorders>
              <w:top w:val="nil"/>
              <w:left w:val="nil"/>
              <w:bottom w:val="nil"/>
              <w:right w:val="nil"/>
            </w:tcBorders>
            <w:shd w:val="clear" w:color="auto" w:fill="auto"/>
            <w:noWrap/>
            <w:vAlign w:val="center"/>
          </w:tcPr>
          <w:p>
            <w:pPr>
              <w:widowControl/>
              <w:jc w:val="center"/>
              <w:rPr>
                <w:rFonts w:hint="eastAsia" w:ascii="仿宋_GB2312" w:hAnsi="宋体" w:eastAsia="仿宋_GB2312" w:cs="宋体"/>
                <w:color w:val="000000"/>
                <w:kern w:val="0"/>
                <w:szCs w:val="21"/>
              </w:rPr>
            </w:pPr>
          </w:p>
        </w:tc>
      </w:tr>
      <w:tr>
        <w:tblPrEx>
          <w:tblCellMar>
            <w:top w:w="0" w:type="dxa"/>
            <w:left w:w="108" w:type="dxa"/>
            <w:bottom w:w="0" w:type="dxa"/>
            <w:right w:w="108" w:type="dxa"/>
          </w:tblCellMar>
        </w:tblPrEx>
        <w:trPr>
          <w:trHeight w:val="280" w:hRule="atLeast"/>
        </w:trPr>
        <w:tc>
          <w:tcPr>
            <w:tcW w:w="480" w:type="dxa"/>
            <w:vMerge w:val="continue"/>
            <w:tcBorders>
              <w:top w:val="nil"/>
              <w:left w:val="single" w:color="auto" w:sz="4" w:space="0"/>
              <w:bottom w:val="nil"/>
              <w:right w:val="single" w:color="auto" w:sz="4" w:space="0"/>
            </w:tcBorders>
            <w:vAlign w:val="center"/>
          </w:tcPr>
          <w:p>
            <w:pPr>
              <w:widowControl/>
              <w:jc w:val="left"/>
              <w:rPr>
                <w:rFonts w:ascii="仿宋_GB2312" w:hAnsi="宋体" w:eastAsia="仿宋_GB2312" w:cs="宋体"/>
                <w:color w:val="000000"/>
                <w:kern w:val="0"/>
                <w:szCs w:val="21"/>
              </w:rPr>
            </w:pPr>
          </w:p>
        </w:tc>
        <w:tc>
          <w:tcPr>
            <w:tcW w:w="79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产出指标</w:t>
            </w:r>
          </w:p>
        </w:tc>
        <w:tc>
          <w:tcPr>
            <w:tcW w:w="93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数量指标</w:t>
            </w:r>
          </w:p>
        </w:tc>
        <w:tc>
          <w:tcPr>
            <w:tcW w:w="16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培训期数</w:t>
            </w:r>
          </w:p>
        </w:tc>
        <w:tc>
          <w:tcPr>
            <w:tcW w:w="1056"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≥61期</w:t>
            </w:r>
          </w:p>
        </w:tc>
        <w:tc>
          <w:tcPr>
            <w:tcW w:w="115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77期</w:t>
            </w:r>
          </w:p>
        </w:tc>
        <w:tc>
          <w:tcPr>
            <w:tcW w:w="531"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20</w:t>
            </w:r>
          </w:p>
        </w:tc>
        <w:tc>
          <w:tcPr>
            <w:tcW w:w="47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20</w:t>
            </w:r>
          </w:p>
        </w:tc>
        <w:tc>
          <w:tcPr>
            <w:tcW w:w="16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222"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280" w:hRule="atLeast"/>
        </w:trPr>
        <w:tc>
          <w:tcPr>
            <w:tcW w:w="480" w:type="dxa"/>
            <w:vMerge w:val="continue"/>
            <w:tcBorders>
              <w:top w:val="nil"/>
              <w:left w:val="single" w:color="auto" w:sz="4" w:space="0"/>
              <w:bottom w:val="nil"/>
              <w:right w:val="single" w:color="auto" w:sz="4" w:space="0"/>
            </w:tcBorders>
            <w:vAlign w:val="center"/>
          </w:tcPr>
          <w:p>
            <w:pPr>
              <w:widowControl/>
              <w:jc w:val="left"/>
              <w:rPr>
                <w:rFonts w:ascii="仿宋_GB2312" w:hAnsi="宋体" w:eastAsia="仿宋_GB2312" w:cs="宋体"/>
                <w:color w:val="000000"/>
                <w:kern w:val="0"/>
                <w:szCs w:val="21"/>
              </w:rPr>
            </w:pPr>
          </w:p>
        </w:tc>
        <w:tc>
          <w:tcPr>
            <w:tcW w:w="793"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93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质量指标</w:t>
            </w:r>
          </w:p>
        </w:tc>
        <w:tc>
          <w:tcPr>
            <w:tcW w:w="16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全年参与培训人数</w:t>
            </w:r>
          </w:p>
        </w:tc>
        <w:tc>
          <w:tcPr>
            <w:tcW w:w="1056"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≥1830人</w:t>
            </w:r>
          </w:p>
        </w:tc>
        <w:tc>
          <w:tcPr>
            <w:tcW w:w="115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3000人次</w:t>
            </w:r>
          </w:p>
        </w:tc>
        <w:tc>
          <w:tcPr>
            <w:tcW w:w="531"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20</w:t>
            </w:r>
          </w:p>
        </w:tc>
        <w:tc>
          <w:tcPr>
            <w:tcW w:w="47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20</w:t>
            </w:r>
          </w:p>
        </w:tc>
        <w:tc>
          <w:tcPr>
            <w:tcW w:w="16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222"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280" w:hRule="atLeast"/>
        </w:trPr>
        <w:tc>
          <w:tcPr>
            <w:tcW w:w="480" w:type="dxa"/>
            <w:vMerge w:val="continue"/>
            <w:tcBorders>
              <w:top w:val="nil"/>
              <w:left w:val="single" w:color="auto" w:sz="4" w:space="0"/>
              <w:bottom w:val="nil"/>
              <w:right w:val="single" w:color="auto" w:sz="4" w:space="0"/>
            </w:tcBorders>
            <w:vAlign w:val="center"/>
          </w:tcPr>
          <w:p>
            <w:pPr>
              <w:widowControl/>
              <w:jc w:val="left"/>
              <w:rPr>
                <w:rFonts w:ascii="仿宋_GB2312" w:hAnsi="宋体" w:eastAsia="仿宋_GB2312" w:cs="宋体"/>
                <w:color w:val="000000"/>
                <w:kern w:val="0"/>
                <w:szCs w:val="21"/>
              </w:rPr>
            </w:pPr>
          </w:p>
        </w:tc>
        <w:tc>
          <w:tcPr>
            <w:tcW w:w="793"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93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进度指标</w:t>
            </w:r>
          </w:p>
        </w:tc>
        <w:tc>
          <w:tcPr>
            <w:tcW w:w="16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培训结束时间</w:t>
            </w:r>
          </w:p>
        </w:tc>
        <w:tc>
          <w:tcPr>
            <w:tcW w:w="1056"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12月前</w:t>
            </w:r>
          </w:p>
        </w:tc>
        <w:tc>
          <w:tcPr>
            <w:tcW w:w="115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12月</w:t>
            </w:r>
          </w:p>
        </w:tc>
        <w:tc>
          <w:tcPr>
            <w:tcW w:w="531"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10</w:t>
            </w:r>
          </w:p>
        </w:tc>
        <w:tc>
          <w:tcPr>
            <w:tcW w:w="47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10</w:t>
            </w:r>
          </w:p>
        </w:tc>
        <w:tc>
          <w:tcPr>
            <w:tcW w:w="16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222"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80" w:hRule="atLeast"/>
        </w:trPr>
        <w:tc>
          <w:tcPr>
            <w:tcW w:w="480" w:type="dxa"/>
            <w:vMerge w:val="continue"/>
            <w:tcBorders>
              <w:top w:val="nil"/>
              <w:left w:val="single" w:color="auto" w:sz="4" w:space="0"/>
              <w:bottom w:val="nil"/>
              <w:right w:val="single" w:color="auto" w:sz="4" w:space="0"/>
            </w:tcBorders>
            <w:vAlign w:val="center"/>
          </w:tcPr>
          <w:p>
            <w:pPr>
              <w:widowControl/>
              <w:jc w:val="left"/>
              <w:rPr>
                <w:rFonts w:ascii="仿宋_GB2312" w:hAnsi="宋体" w:eastAsia="仿宋_GB2312" w:cs="宋体"/>
                <w:color w:val="000000"/>
                <w:kern w:val="0"/>
                <w:szCs w:val="21"/>
              </w:rPr>
            </w:pPr>
          </w:p>
        </w:tc>
        <w:tc>
          <w:tcPr>
            <w:tcW w:w="793"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Cs w:val="21"/>
              </w:rPr>
            </w:pPr>
          </w:p>
        </w:tc>
        <w:tc>
          <w:tcPr>
            <w:tcW w:w="93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成本指标</w:t>
            </w:r>
          </w:p>
        </w:tc>
        <w:tc>
          <w:tcPr>
            <w:tcW w:w="16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项目预算控制数</w:t>
            </w:r>
          </w:p>
        </w:tc>
        <w:tc>
          <w:tcPr>
            <w:tcW w:w="1056"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≤378.5095万元</w:t>
            </w:r>
          </w:p>
        </w:tc>
        <w:tc>
          <w:tcPr>
            <w:tcW w:w="115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378.5095万元</w:t>
            </w:r>
          </w:p>
        </w:tc>
        <w:tc>
          <w:tcPr>
            <w:tcW w:w="531"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10</w:t>
            </w:r>
          </w:p>
        </w:tc>
        <w:tc>
          <w:tcPr>
            <w:tcW w:w="47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10</w:t>
            </w:r>
          </w:p>
        </w:tc>
        <w:tc>
          <w:tcPr>
            <w:tcW w:w="16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222"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3800" w:hRule="atLeast"/>
        </w:trPr>
        <w:tc>
          <w:tcPr>
            <w:tcW w:w="480" w:type="dxa"/>
            <w:vMerge w:val="continue"/>
            <w:tcBorders>
              <w:top w:val="nil"/>
              <w:left w:val="single" w:color="auto" w:sz="4" w:space="0"/>
              <w:bottom w:val="nil"/>
              <w:right w:val="single" w:color="auto" w:sz="4" w:space="0"/>
            </w:tcBorders>
            <w:vAlign w:val="center"/>
          </w:tcPr>
          <w:p>
            <w:pPr>
              <w:widowControl/>
              <w:jc w:val="left"/>
              <w:rPr>
                <w:rFonts w:ascii="仿宋_GB2312" w:hAnsi="宋体" w:eastAsia="仿宋_GB2312" w:cs="宋体"/>
                <w:color w:val="000000"/>
                <w:kern w:val="0"/>
                <w:szCs w:val="21"/>
              </w:rPr>
            </w:pPr>
          </w:p>
        </w:tc>
        <w:tc>
          <w:tcPr>
            <w:tcW w:w="793"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效果指标</w:t>
            </w:r>
          </w:p>
        </w:tc>
        <w:tc>
          <w:tcPr>
            <w:tcW w:w="93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效益指标</w:t>
            </w:r>
          </w:p>
        </w:tc>
        <w:tc>
          <w:tcPr>
            <w:tcW w:w="16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北京市足球人才竞技水平</w:t>
            </w:r>
          </w:p>
        </w:tc>
        <w:tc>
          <w:tcPr>
            <w:tcW w:w="1056"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提升北京市足球人才竞技水平</w:t>
            </w:r>
          </w:p>
        </w:tc>
        <w:tc>
          <w:tcPr>
            <w:tcW w:w="115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得到提升</w:t>
            </w:r>
          </w:p>
        </w:tc>
        <w:tc>
          <w:tcPr>
            <w:tcW w:w="531"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15</w:t>
            </w:r>
          </w:p>
        </w:tc>
        <w:tc>
          <w:tcPr>
            <w:tcW w:w="47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10</w:t>
            </w:r>
          </w:p>
        </w:tc>
        <w:tc>
          <w:tcPr>
            <w:tcW w:w="16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分析：2021受疫情影响，部分课程线上开展，理论课、实践课分开进行，教练员对内容理解程度不一。</w:t>
            </w:r>
            <w:r>
              <w:rPr>
                <w:rFonts w:hint="eastAsia" w:ascii="仿宋_GB2312" w:hAnsi="宋体" w:eastAsia="仿宋_GB2312" w:cs="宋体"/>
                <w:color w:val="000000"/>
                <w:kern w:val="0"/>
                <w:szCs w:val="21"/>
              </w:rPr>
              <w:br w:type="textWrapping"/>
            </w:r>
            <w:r>
              <w:rPr>
                <w:rFonts w:hint="eastAsia" w:ascii="仿宋_GB2312" w:hAnsi="宋体" w:eastAsia="仿宋_GB2312" w:cs="宋体"/>
                <w:color w:val="000000"/>
                <w:kern w:val="0"/>
                <w:szCs w:val="21"/>
              </w:rPr>
              <w:t>改进：2022年在开展线上培训时应选择便于理解的授课内容，对于较难理解的内容进行重点示范。</w:t>
            </w:r>
          </w:p>
        </w:tc>
        <w:tc>
          <w:tcPr>
            <w:tcW w:w="222"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060" w:hRule="atLeast"/>
        </w:trPr>
        <w:tc>
          <w:tcPr>
            <w:tcW w:w="480" w:type="dxa"/>
            <w:vMerge w:val="continue"/>
            <w:tcBorders>
              <w:top w:val="nil"/>
              <w:left w:val="single" w:color="auto" w:sz="4" w:space="0"/>
              <w:bottom w:val="nil"/>
              <w:right w:val="single" w:color="auto" w:sz="4" w:space="0"/>
            </w:tcBorders>
            <w:vAlign w:val="center"/>
          </w:tcPr>
          <w:p>
            <w:pPr>
              <w:widowControl/>
              <w:jc w:val="left"/>
              <w:rPr>
                <w:rFonts w:ascii="仿宋_GB2312" w:hAnsi="宋体" w:eastAsia="仿宋_GB2312" w:cs="宋体"/>
                <w:color w:val="000000"/>
                <w:kern w:val="0"/>
                <w:szCs w:val="21"/>
              </w:rPr>
            </w:pPr>
          </w:p>
        </w:tc>
        <w:tc>
          <w:tcPr>
            <w:tcW w:w="793"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满意度标</w:t>
            </w:r>
          </w:p>
        </w:tc>
        <w:tc>
          <w:tcPr>
            <w:tcW w:w="931" w:type="dxa"/>
            <w:tcBorders>
              <w:top w:val="nil"/>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服务对象满意度指标</w:t>
            </w:r>
          </w:p>
        </w:tc>
        <w:tc>
          <w:tcPr>
            <w:tcW w:w="160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受训学员满意度</w:t>
            </w:r>
          </w:p>
        </w:tc>
        <w:tc>
          <w:tcPr>
            <w:tcW w:w="1056"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≥90%</w:t>
            </w:r>
          </w:p>
        </w:tc>
        <w:tc>
          <w:tcPr>
            <w:tcW w:w="1158"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95%</w:t>
            </w:r>
          </w:p>
        </w:tc>
        <w:tc>
          <w:tcPr>
            <w:tcW w:w="531"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15</w:t>
            </w:r>
          </w:p>
        </w:tc>
        <w:tc>
          <w:tcPr>
            <w:tcW w:w="47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15</w:t>
            </w:r>
          </w:p>
        </w:tc>
        <w:tc>
          <w:tcPr>
            <w:tcW w:w="16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　</w:t>
            </w:r>
          </w:p>
        </w:tc>
        <w:tc>
          <w:tcPr>
            <w:tcW w:w="222" w:type="dxa"/>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280" w:hRule="atLeast"/>
        </w:trPr>
        <w:tc>
          <w:tcPr>
            <w:tcW w:w="6027" w:type="dxa"/>
            <w:gridSpan w:val="7"/>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531"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ascii="仿宋_GB2312" w:hAnsi="宋体" w:eastAsia="仿宋_GB2312" w:cs="宋体"/>
                <w:color w:val="000000"/>
                <w:kern w:val="0"/>
                <w:szCs w:val="21"/>
              </w:rPr>
              <w:t>10</w:t>
            </w:r>
            <w:r>
              <w:rPr>
                <w:rFonts w:hint="eastAsia" w:ascii="仿宋_GB2312" w:hAnsi="宋体" w:eastAsia="仿宋_GB2312" w:cs="宋体"/>
                <w:color w:val="000000"/>
                <w:kern w:val="0"/>
                <w:szCs w:val="21"/>
              </w:rPr>
              <w:t>0</w:t>
            </w:r>
          </w:p>
        </w:tc>
        <w:tc>
          <w:tcPr>
            <w:tcW w:w="479" w:type="dxa"/>
            <w:tcBorders>
              <w:top w:val="nil"/>
              <w:left w:val="nil"/>
              <w:bottom w:val="single" w:color="auto" w:sz="4" w:space="0"/>
              <w:right w:val="single" w:color="auto" w:sz="4" w:space="0"/>
            </w:tcBorders>
            <w:shd w:val="clear" w:color="auto" w:fill="auto"/>
            <w:vAlign w:val="center"/>
          </w:tcPr>
          <w:p>
            <w:pPr>
              <w:widowControl/>
              <w:jc w:val="center"/>
              <w:rPr>
                <w:rFonts w:hint="eastAsia" w:ascii="仿宋_GB2312" w:hAnsi="宋体" w:eastAsia="仿宋_GB2312" w:cs="宋体"/>
                <w:color w:val="000000"/>
                <w:kern w:val="0"/>
                <w:szCs w:val="21"/>
              </w:rPr>
            </w:pPr>
            <w:r>
              <w:rPr>
                <w:rFonts w:ascii="仿宋_GB2312" w:hAnsi="宋体" w:eastAsia="仿宋_GB2312" w:cs="宋体"/>
                <w:color w:val="000000"/>
                <w:kern w:val="0"/>
                <w:szCs w:val="21"/>
              </w:rPr>
              <w:t>9</w:t>
            </w:r>
            <w:r>
              <w:rPr>
                <w:rFonts w:hint="eastAsia" w:ascii="仿宋_GB2312" w:hAnsi="宋体" w:eastAsia="仿宋_GB2312" w:cs="宋体"/>
                <w:color w:val="000000"/>
                <w:kern w:val="0"/>
                <w:szCs w:val="21"/>
              </w:rPr>
              <w:t>5</w:t>
            </w:r>
          </w:p>
        </w:tc>
        <w:tc>
          <w:tcPr>
            <w:tcW w:w="1603"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　</w:t>
            </w:r>
          </w:p>
        </w:tc>
        <w:tc>
          <w:tcPr>
            <w:tcW w:w="222" w:type="dxa"/>
            <w:vAlign w:val="center"/>
          </w:tcPr>
          <w:p>
            <w:pPr>
              <w:widowControl/>
              <w:jc w:val="left"/>
              <w:rPr>
                <w:rFonts w:ascii="Times New Roman" w:hAnsi="Times New Roman" w:eastAsia="Times New Roman" w:cs="Times New Roman"/>
                <w:kern w:val="0"/>
                <w:sz w:val="20"/>
                <w:szCs w:val="20"/>
              </w:rPr>
            </w:pPr>
          </w:p>
        </w:tc>
      </w:tr>
    </w:tbl>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C575B37-537C-47E7-9D37-D340187A184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10022FF" w:usb1="C000E47F" w:usb2="00000029" w:usb3="00000000" w:csb0="200001DF" w:csb1="2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仿宋_GB2312">
    <w:altName w:val="仿宋"/>
    <w:panose1 w:val="00000000000000000000"/>
    <w:charset w:val="86"/>
    <w:family w:val="roman"/>
    <w:pitch w:val="default"/>
    <w:sig w:usb0="00000000" w:usb1="00000000" w:usb2="00000010" w:usb3="00000000" w:csb0="00040000" w:csb1="00000000"/>
    <w:embedRegular r:id="rId2" w:fontKey="{CFE24056-008C-4C80-9C4A-0101A5B8BFB5}"/>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等线">
    <w:altName w:val="微软雅黑"/>
    <w:panose1 w:val="00000000000000000000"/>
    <w:charset w:val="86"/>
    <w:family w:val="auto"/>
    <w:pitch w:val="default"/>
    <w:sig w:usb0="00000000" w:usb1="00000000" w:usb2="00000000" w:usb3="00000000" w:csb0="00000000" w:csb1="00000000"/>
  </w:font>
  <w:font w:name="方正小标宋简体">
    <w:panose1 w:val="02000000000000000000"/>
    <w:charset w:val="86"/>
    <w:family w:val="script"/>
    <w:pitch w:val="default"/>
    <w:sig w:usb0="00000001" w:usb1="08000000" w:usb2="00000000" w:usb3="00000000" w:csb0="00040000" w:csb1="00000000"/>
    <w:embedRegular r:id="rId3" w:fontKey="{58298F3D-7A39-4D31-9B31-29A98EC92093}"/>
  </w:font>
  <w:font w:name="等线">
    <w:altName w:val="微软雅黑"/>
    <w:panose1 w:val="00000000000000000000"/>
    <w:charset w:val="00"/>
    <w:family w:val="auto"/>
    <w:pitch w:val="default"/>
    <w:sig w:usb0="00000000" w:usb1="00000000" w:usb2="00000000" w:usb3="00000000" w:csb0="00000000" w:csb1="00000000"/>
    <w:embedRegular r:id="rId4" w:fontKey="{319D50A9-437B-46C6-A7FF-AF42FB39AD4A}"/>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6B45"/>
    <w:rsid w:val="003B0908"/>
    <w:rsid w:val="008C6B45"/>
    <w:rsid w:val="00BB463E"/>
    <w:rsid w:val="449621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161</Words>
  <Characters>920</Characters>
  <Lines>7</Lines>
  <Paragraphs>2</Paragraphs>
  <TotalTime>0</TotalTime>
  <ScaleCrop>false</ScaleCrop>
  <LinksUpToDate>false</LinksUpToDate>
  <CharactersWithSpaces>1079</CharactersWithSpaces>
  <Application>WPS Office_11.1.0.9929_F1E327BC-269C-435d-A152-05C5408002CA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2022-05-18T03:25:00Z</dcterms:created>
  <dc:creator>侯 绍蒙</dc:creator>
  <cp:lastModifiedBy>左建业</cp:lastModifiedBy>
  <dcterms:modified xsi:type="dcterms:W3CDTF">2022-06-06T07:30:53Z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2052-11.1.0.9929</vt:lpwstr>
  </property>
</Properties>
</file>