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0" w:firstLineChars="0"/>
        <w:jc w:val="center"/>
        <w:rPr>
          <w:rFonts w:eastAsia="方正小标宋简体" w:cs="Times New Roman"/>
          <w:bCs/>
          <w:color w:val="000000"/>
          <w:sz w:val="36"/>
          <w:szCs w:val="36"/>
        </w:rPr>
      </w:pPr>
    </w:p>
    <w:p>
      <w:pPr>
        <w:ind w:firstLine="0" w:firstLineChars="0"/>
        <w:jc w:val="center"/>
        <w:rPr>
          <w:rFonts w:eastAsia="方正小标宋简体" w:cs="Times New Roman"/>
          <w:bCs/>
          <w:color w:val="000000"/>
          <w:sz w:val="36"/>
          <w:szCs w:val="36"/>
        </w:rPr>
      </w:pPr>
      <w:r>
        <w:rPr>
          <w:rFonts w:hint="eastAsia" w:eastAsia="方正小标宋简体" w:cs="Times New Roman"/>
          <w:bCs/>
          <w:color w:val="000000"/>
          <w:sz w:val="36"/>
          <w:szCs w:val="36"/>
          <w:lang w:eastAsia="zh-CN"/>
        </w:rPr>
        <w:t>北京市民政局</w:t>
      </w:r>
      <w:r>
        <w:rPr>
          <w:rFonts w:eastAsia="方正小标宋简体" w:cs="Times New Roman"/>
          <w:bCs/>
          <w:color w:val="000000"/>
          <w:sz w:val="36"/>
          <w:szCs w:val="36"/>
        </w:rPr>
        <w:t>项目</w:t>
      </w:r>
      <w:r>
        <w:rPr>
          <w:rFonts w:hint="eastAsia" w:eastAsia="方正小标宋简体" w:cs="Times New Roman"/>
          <w:bCs/>
          <w:color w:val="000000"/>
          <w:sz w:val="36"/>
          <w:szCs w:val="36"/>
        </w:rPr>
        <w:t>支出</w:t>
      </w:r>
      <w:r>
        <w:rPr>
          <w:rFonts w:eastAsia="方正小标宋简体" w:cs="Times New Roman"/>
          <w:bCs/>
          <w:color w:val="000000"/>
          <w:sz w:val="36"/>
          <w:szCs w:val="36"/>
        </w:rPr>
        <w:t>绩效评价报告</w:t>
      </w:r>
    </w:p>
    <w:p>
      <w:pPr>
        <w:ind w:firstLine="0" w:firstLineChars="0"/>
        <w:jc w:val="center"/>
        <w:rPr>
          <w:rFonts w:eastAsia="宋体" w:cs="Times New Roman"/>
          <w:bCs/>
          <w:color w:val="000000"/>
          <w:sz w:val="36"/>
          <w:szCs w:val="36"/>
        </w:rPr>
      </w:pPr>
    </w:p>
    <w:p>
      <w:pPr>
        <w:pStyle w:val="2"/>
        <w:spacing w:line="560" w:lineRule="exact"/>
        <w:ind w:firstLine="640"/>
        <w:rPr>
          <w:rFonts w:eastAsia="黑体" w:cs="Times New Roman"/>
          <w:b w:val="0"/>
        </w:rPr>
      </w:pPr>
      <w:bookmarkStart w:id="0" w:name="_Toc169183181"/>
      <w:bookmarkStart w:id="1" w:name="_Toc515586344"/>
      <w:bookmarkStart w:id="2" w:name="_Toc103094541"/>
      <w:bookmarkStart w:id="3" w:name="_Toc103096311"/>
      <w:r>
        <w:rPr>
          <w:rFonts w:eastAsia="黑体" w:cs="Times New Roman"/>
          <w:b w:val="0"/>
        </w:rPr>
        <w:t>一、</w:t>
      </w:r>
      <w:bookmarkEnd w:id="0"/>
      <w:bookmarkEnd w:id="1"/>
      <w:r>
        <w:rPr>
          <w:rFonts w:eastAsia="黑体" w:cs="Times New Roman"/>
          <w:b w:val="0"/>
        </w:rPr>
        <w:t>基本情况</w:t>
      </w:r>
      <w:bookmarkEnd w:id="2"/>
      <w:bookmarkEnd w:id="3"/>
    </w:p>
    <w:p>
      <w:pPr>
        <w:pStyle w:val="3"/>
        <w:ind w:firstLine="640"/>
        <w:rPr>
          <w:rFonts w:ascii="Times New Roman" w:hAnsi="Times New Roman" w:cs="Times New Roman"/>
        </w:rPr>
      </w:pPr>
      <w:bookmarkStart w:id="4" w:name="_Toc103094542"/>
      <w:bookmarkStart w:id="5" w:name="_Toc515586345"/>
      <w:bookmarkStart w:id="6" w:name="_Toc103096312"/>
      <w:r>
        <w:rPr>
          <w:rFonts w:ascii="Times New Roman" w:hAnsi="Times New Roman" w:cs="Times New Roman"/>
        </w:rPr>
        <w:t>（一）项目概况</w:t>
      </w:r>
      <w:bookmarkEnd w:id="4"/>
      <w:bookmarkEnd w:id="5"/>
      <w:bookmarkEnd w:id="6"/>
    </w:p>
    <w:p>
      <w:pPr>
        <w:pStyle w:val="4"/>
        <w:ind w:firstLine="640"/>
        <w:rPr>
          <w:rFonts w:cs="Times New Roman"/>
          <w:b w:val="0"/>
          <w:bCs w:val="0"/>
        </w:rPr>
      </w:pPr>
      <w:bookmarkStart w:id="7" w:name="_Toc103094543"/>
      <w:r>
        <w:rPr>
          <w:rFonts w:cs="Times New Roman"/>
          <w:b w:val="0"/>
          <w:bCs w:val="0"/>
        </w:rPr>
        <w:t>1.立项背景</w:t>
      </w:r>
      <w:bookmarkEnd w:id="7"/>
    </w:p>
    <w:p>
      <w:pPr>
        <w:ind w:firstLine="640"/>
        <w:rPr>
          <w:rFonts w:cs="Times New Roman"/>
        </w:rPr>
      </w:pPr>
      <w:r>
        <w:rPr>
          <w:rFonts w:cs="Times New Roman"/>
        </w:rPr>
        <w:t>根据《中华人民共和国网络安全法》（中华人民共和国主席令第五十三号）、《国家信息化领导小组关于加强信息安全保障工作意见》（中办发</w:t>
      </w:r>
      <w:r>
        <w:rPr>
          <w:rFonts w:cs="Times New Roman"/>
          <w:lang w:val="zh-TW"/>
        </w:rPr>
        <w:t>〔20</w:t>
      </w:r>
      <w:r>
        <w:rPr>
          <w:rFonts w:eastAsia="PMingLiU" w:cs="Times New Roman"/>
          <w:lang w:val="zh-TW"/>
        </w:rPr>
        <w:t>03</w:t>
      </w:r>
      <w:r>
        <w:rPr>
          <w:rFonts w:cs="Times New Roman"/>
          <w:lang w:val="zh-TW"/>
        </w:rPr>
        <w:t>〕</w:t>
      </w:r>
      <w:r>
        <w:rPr>
          <w:rFonts w:cs="Times New Roman"/>
        </w:rPr>
        <w:t>27号）、《公安部、国家保密局、国家密码管理局国务院信息化工作办公室关于印发信息安全等级保护管理办法的通知》（公通字〔2007〕43 号）等文件要求，为提高网络信息安全，落实网络安全等级保护制度，</w:t>
      </w:r>
      <w:r>
        <w:rPr>
          <w:rFonts w:hint="eastAsia" w:cs="Times New Roman"/>
        </w:rPr>
        <w:t>北京市委社会工委</w:t>
      </w:r>
      <w:r>
        <w:rPr>
          <w:rFonts w:cs="Times New Roman"/>
        </w:rPr>
        <w:t>市民政局（以下简称“市民政局”）标准与信息化处申请并实施“2021年度民政信息安全工作服务”项目，通过政府购买服务方式，委托社会专业力量提供信息安全服务，确保市民政局主要信息系统安全、可靠地运行，并最大限度地确保信息的机密性、完整性、可用性、可控性和不可否认性，避免各种潜在威胁。</w:t>
      </w:r>
    </w:p>
    <w:p>
      <w:pPr>
        <w:pStyle w:val="4"/>
        <w:ind w:firstLine="640"/>
        <w:rPr>
          <w:rFonts w:cs="Times New Roman"/>
          <w:b w:val="0"/>
          <w:bCs w:val="0"/>
        </w:rPr>
      </w:pPr>
      <w:bookmarkStart w:id="8" w:name="_Toc103094544"/>
      <w:r>
        <w:rPr>
          <w:rFonts w:cs="Times New Roman"/>
          <w:b w:val="0"/>
          <w:bCs w:val="0"/>
        </w:rPr>
        <w:t>2.项目内容</w:t>
      </w:r>
      <w:bookmarkEnd w:id="8"/>
    </w:p>
    <w:p>
      <w:pPr>
        <w:ind w:firstLine="640"/>
        <w:rPr>
          <w:rFonts w:cs="Times New Roman"/>
        </w:rPr>
      </w:pPr>
      <w:r>
        <w:rPr>
          <w:rFonts w:hint="eastAsia" w:cs="Times New Roman"/>
        </w:rPr>
        <w:t>市民政局</w:t>
      </w:r>
      <w:r>
        <w:rPr>
          <w:rFonts w:cs="Times New Roman"/>
        </w:rPr>
        <w:t>2021年度民政信息安全工作服务项目为机构运行保障类延续性项目，主要包括以下三部分内容：</w:t>
      </w:r>
    </w:p>
    <w:p>
      <w:pPr>
        <w:ind w:firstLine="640"/>
        <w:rPr>
          <w:rFonts w:cs="Times New Roman"/>
        </w:rPr>
      </w:pPr>
      <w:r>
        <w:rPr>
          <w:rFonts w:cs="Times New Roman"/>
        </w:rPr>
        <w:t>（1）本地安全服务。本地安全服务包括驻场值守服务、终端安全服务、病毒防护服务、安全产品维护、信息安全通告和数字证书服务。</w:t>
      </w:r>
    </w:p>
    <w:p>
      <w:pPr>
        <w:ind w:firstLine="640"/>
        <w:rPr>
          <w:rFonts w:cs="Times New Roman"/>
        </w:rPr>
      </w:pPr>
      <w:r>
        <w:rPr>
          <w:rFonts w:cs="Times New Roman"/>
        </w:rPr>
        <w:t>（2）云上安全服务。云上安全服务包括系统脆弱性检测、安全加固、渗透测试、安全运营巡检服务、云主机安全运行监测、等级保护制度建设、应急预案、应急演练、应急响应、全流量数据分析服务、云主机可信免疫服务和安全运营可视化服务。</w:t>
      </w:r>
    </w:p>
    <w:p>
      <w:pPr>
        <w:ind w:firstLine="640"/>
        <w:rPr>
          <w:rFonts w:cs="Times New Roman"/>
        </w:rPr>
      </w:pPr>
      <w:r>
        <w:rPr>
          <w:rFonts w:cs="Times New Roman"/>
        </w:rPr>
        <w:t>（3）信息系统等级测评和风险评估。等级保护测评是针对基层社会治理服务管理平台、社会福利服务管理平台、社会救助服务管理平台、数据资源服务管理平台、社会事务运行管理平台和行政与党务管理平台，根据国家信息安全相关政策和要求，由有资质的第三方机构进行等级保护测评，全面评估信息系统现有安全防护水平和相应等级安全要求之间的差距，测评内容包括技术安全测评、管理安全测评和综合测评，并出具测评报告。信息系统风险评估是基于市民政局信息系统现状，参照国家信息安全风险评估规范、等级保护政策和技术要求等，对信息系统存在的脆弱性和面临的威胁进行分析评估，分析系统面临的信息安全风险。</w:t>
      </w:r>
    </w:p>
    <w:p>
      <w:pPr>
        <w:pStyle w:val="4"/>
        <w:ind w:firstLine="640"/>
        <w:rPr>
          <w:rFonts w:cs="Times New Roman"/>
          <w:b w:val="0"/>
          <w:bCs w:val="0"/>
        </w:rPr>
      </w:pPr>
      <w:bookmarkStart w:id="9" w:name="_Toc103094545"/>
      <w:r>
        <w:rPr>
          <w:rFonts w:cs="Times New Roman"/>
          <w:b w:val="0"/>
          <w:bCs w:val="0"/>
        </w:rPr>
        <w:t>3.资金投入和使用情况</w:t>
      </w:r>
      <w:bookmarkEnd w:id="9"/>
      <w:bookmarkStart w:id="10" w:name="_Toc515586347"/>
    </w:p>
    <w:p>
      <w:pPr>
        <w:ind w:firstLine="640"/>
        <w:rPr>
          <w:rFonts w:cs="Times New Roman"/>
        </w:rPr>
      </w:pPr>
      <w:r>
        <w:rPr>
          <w:rFonts w:cs="Times New Roman"/>
        </w:rPr>
        <w:t>该项目为跨年度项目，总预算为484.40万元，其中2021年度预算339.08万元，2022年度预算145.32万元。截至2021年12月，2021年度预算支出338.80万元，2021年度预算执行率为99.92%。</w:t>
      </w:r>
    </w:p>
    <w:p>
      <w:pPr>
        <w:pStyle w:val="3"/>
        <w:ind w:firstLine="640"/>
        <w:rPr>
          <w:rFonts w:ascii="Times New Roman" w:hAnsi="Times New Roman" w:cs="Times New Roman"/>
        </w:rPr>
      </w:pPr>
      <w:bookmarkStart w:id="11" w:name="_Toc103094546"/>
      <w:bookmarkStart w:id="12" w:name="_Toc103096313"/>
      <w:r>
        <w:rPr>
          <w:rFonts w:ascii="Times New Roman" w:hAnsi="Times New Roman" w:cs="Times New Roman"/>
        </w:rPr>
        <w:t>（二）项目绩效目标</w:t>
      </w:r>
      <w:bookmarkEnd w:id="10"/>
      <w:bookmarkEnd w:id="11"/>
      <w:bookmarkEnd w:id="12"/>
    </w:p>
    <w:p>
      <w:pPr>
        <w:pStyle w:val="4"/>
        <w:ind w:firstLine="640"/>
        <w:rPr>
          <w:rFonts w:cs="Times New Roman"/>
          <w:b w:val="0"/>
          <w:bCs w:val="0"/>
        </w:rPr>
      </w:pPr>
      <w:bookmarkStart w:id="13" w:name="_Toc103094547"/>
      <w:bookmarkStart w:id="14" w:name="_Toc26850"/>
      <w:bookmarkStart w:id="15" w:name="_Toc515586348"/>
      <w:bookmarkStart w:id="16" w:name="_Toc169183188"/>
      <w:r>
        <w:rPr>
          <w:rFonts w:cs="Times New Roman"/>
          <w:b w:val="0"/>
          <w:bCs w:val="0"/>
        </w:rPr>
        <w:t>1.总体目标</w:t>
      </w:r>
      <w:bookmarkEnd w:id="13"/>
    </w:p>
    <w:p>
      <w:pPr>
        <w:ind w:firstLine="640"/>
        <w:rPr>
          <w:rFonts w:cs="Times New Roman"/>
        </w:rPr>
      </w:pPr>
      <w:r>
        <w:rPr>
          <w:rFonts w:cs="Times New Roman"/>
        </w:rPr>
        <w:t>依托安全服务机构所提供的专业化信息安全服务，建立和完善信息安全保障体系，增强系统安全防护能力、隐患检测能力、应急响应能力和系统恢复能力，并确保系统安全建设满足国家及北京市相关政策要求，满足“事前可预防、事中可控制、事后可恢复”的信息安全保障需求，确保市民政局信息系统持续安全稳定运行，为业务的高效、顺利开展提供有力支撑。</w:t>
      </w:r>
    </w:p>
    <w:p>
      <w:pPr>
        <w:pStyle w:val="4"/>
        <w:ind w:firstLine="640"/>
        <w:rPr>
          <w:rFonts w:cs="Times New Roman"/>
          <w:b w:val="0"/>
          <w:bCs w:val="0"/>
        </w:rPr>
      </w:pPr>
      <w:bookmarkStart w:id="17" w:name="_Toc103094548"/>
      <w:r>
        <w:rPr>
          <w:rFonts w:cs="Times New Roman"/>
          <w:b w:val="0"/>
          <w:bCs w:val="0"/>
        </w:rPr>
        <w:t>2.绩效指标</w:t>
      </w:r>
      <w:bookmarkEnd w:id="17"/>
    </w:p>
    <w:p>
      <w:pPr>
        <w:ind w:firstLine="640"/>
        <w:rPr>
          <w:rFonts w:cs="Times New Roman"/>
        </w:rPr>
      </w:pPr>
      <w:r>
        <w:rPr>
          <w:rFonts w:cs="Times New Roman"/>
        </w:rPr>
        <w:t>市民政局根据项目年度总体目标细化了产出数量、产出质量、产出进度、产出成本和效益指标，并设置了服务对象满意度指标。具体项目绩效指标设定情况如下：</w:t>
      </w:r>
    </w:p>
    <w:p>
      <w:pPr>
        <w:ind w:firstLine="640"/>
        <w:rPr>
          <w:rFonts w:cs="Times New Roman"/>
        </w:rPr>
      </w:pPr>
      <w:r>
        <w:rPr>
          <w:rFonts w:cs="Times New Roman"/>
        </w:rPr>
        <w:t>（1）数量指标：风险评估系统数量6个</w:t>
      </w:r>
      <w:r>
        <w:rPr>
          <w:rFonts w:cs="Times New Roman"/>
        </w:rPr>
        <w:tab/>
      </w:r>
      <w:r>
        <w:rPr>
          <w:rFonts w:cs="Times New Roman"/>
        </w:rPr>
        <w:t>；等保三级测评系统数量5个；等保二级测评系统数量1个；脆弱性检测云主机数量183台；数字证书服务/电子印章制作数量，个人签章不少于150个，法人公章不少于50个；数字证书服务覆盖智能密码钥匙数量90个；数字证书服务覆盖个人数字证书数量60个；密码云服务覆盖系统数量3个；签名验证服务覆盖用户数6000个；强身份认证服务覆盖系统数量3个；个人云签名服务覆盖用户数16000个；渗透测试站点数量</w:t>
      </w:r>
      <w:r>
        <w:rPr>
          <w:rFonts w:cs="Times New Roman"/>
        </w:rPr>
        <w:tab/>
      </w:r>
      <w:r>
        <w:rPr>
          <w:rFonts w:cs="Times New Roman"/>
        </w:rPr>
        <w:t>8个；非涉密终端安全保密检查次数1次。</w:t>
      </w:r>
    </w:p>
    <w:p>
      <w:pPr>
        <w:ind w:firstLine="640"/>
        <w:rPr>
          <w:rFonts w:cs="Times New Roman"/>
        </w:rPr>
      </w:pPr>
      <w:r>
        <w:rPr>
          <w:rFonts w:cs="Times New Roman"/>
        </w:rPr>
        <w:t>（2）质量指标：故障响应率≥99%；故障排除率≥99%；常规检查率≥99%；系统运行稳定≥99%；安全事件及时处理率≥99%。</w:t>
      </w:r>
    </w:p>
    <w:p>
      <w:pPr>
        <w:ind w:firstLine="640"/>
        <w:rPr>
          <w:rFonts w:cs="Times New Roman"/>
        </w:rPr>
      </w:pPr>
      <w:r>
        <w:rPr>
          <w:rFonts w:cs="Times New Roman"/>
        </w:rPr>
        <w:t>（3）进度指标：安全事件响应时间≤2小时；</w:t>
      </w:r>
      <w:r>
        <w:rPr>
          <w:rFonts w:cs="Times New Roman"/>
        </w:rPr>
        <w:tab/>
      </w:r>
      <w:r>
        <w:rPr>
          <w:rFonts w:cs="Times New Roman"/>
        </w:rPr>
        <w:t>系统运维响应时间≤10分钟；项目招投标完成时间不晚于2021年7月；经费支出不晚于2021年8月支出完毕。</w:t>
      </w:r>
    </w:p>
    <w:p>
      <w:pPr>
        <w:ind w:firstLine="640"/>
        <w:rPr>
          <w:rFonts w:cs="Times New Roman"/>
        </w:rPr>
      </w:pPr>
      <w:r>
        <w:rPr>
          <w:rFonts w:cs="Times New Roman"/>
        </w:rPr>
        <w:t>（4）成本指标：项目预算控制数≤354.20万元。</w:t>
      </w:r>
    </w:p>
    <w:p>
      <w:pPr>
        <w:ind w:firstLine="640"/>
        <w:rPr>
          <w:rFonts w:cs="Times New Roman"/>
        </w:rPr>
      </w:pPr>
      <w:r>
        <w:rPr>
          <w:rFonts w:cs="Times New Roman"/>
        </w:rPr>
        <w:t>（5）效益指标：社会公众、办事人员访问北京市民政局相关系统的安全程度提升率达到10%以上；办理各类民政业务的灵活性有所增强；信息安全设备正常使用年限不少于6年。</w:t>
      </w:r>
    </w:p>
    <w:p>
      <w:pPr>
        <w:ind w:firstLine="640"/>
        <w:rPr>
          <w:rFonts w:cs="Times New Roman"/>
        </w:rPr>
      </w:pPr>
      <w:r>
        <w:rPr>
          <w:rFonts w:cs="Times New Roman"/>
        </w:rPr>
        <w:t>（6）服务对象满意度指标：使用人员满意度≥95%。</w:t>
      </w:r>
    </w:p>
    <w:p>
      <w:pPr>
        <w:pStyle w:val="2"/>
        <w:spacing w:line="560" w:lineRule="exact"/>
        <w:ind w:firstLine="640"/>
        <w:rPr>
          <w:rFonts w:eastAsia="黑体" w:cs="Times New Roman"/>
          <w:b w:val="0"/>
          <w:bCs w:val="0"/>
          <w:szCs w:val="32"/>
        </w:rPr>
      </w:pPr>
      <w:bookmarkStart w:id="18" w:name="_Toc103094549"/>
      <w:bookmarkStart w:id="19" w:name="_Toc103096314"/>
      <w:r>
        <w:rPr>
          <w:rFonts w:eastAsia="黑体" w:cs="Times New Roman"/>
          <w:b w:val="0"/>
          <w:bCs w:val="0"/>
          <w:szCs w:val="32"/>
        </w:rPr>
        <w:t>二、绩效评价工作</w:t>
      </w:r>
      <w:bookmarkEnd w:id="14"/>
      <w:bookmarkEnd w:id="15"/>
      <w:r>
        <w:rPr>
          <w:rFonts w:eastAsia="黑体" w:cs="Times New Roman"/>
          <w:b w:val="0"/>
          <w:bCs w:val="0"/>
          <w:szCs w:val="32"/>
        </w:rPr>
        <w:t>开展情况</w:t>
      </w:r>
      <w:bookmarkEnd w:id="18"/>
      <w:bookmarkEnd w:id="19"/>
    </w:p>
    <w:p>
      <w:pPr>
        <w:pStyle w:val="3"/>
        <w:ind w:firstLine="640"/>
        <w:rPr>
          <w:rFonts w:ascii="Times New Roman" w:hAnsi="Times New Roman" w:cs="Times New Roman"/>
        </w:rPr>
      </w:pPr>
      <w:bookmarkStart w:id="20" w:name="_Toc12250"/>
      <w:bookmarkStart w:id="21" w:name="_Toc515586349"/>
      <w:bookmarkStart w:id="22" w:name="_Toc103096315"/>
      <w:bookmarkStart w:id="23" w:name="_Toc103094550"/>
      <w:r>
        <w:rPr>
          <w:rFonts w:ascii="Times New Roman" w:hAnsi="Times New Roman" w:cs="Times New Roman"/>
        </w:rPr>
        <w:t>（一）</w:t>
      </w:r>
      <w:bookmarkEnd w:id="20"/>
      <w:bookmarkEnd w:id="21"/>
      <w:r>
        <w:rPr>
          <w:rFonts w:ascii="Times New Roman" w:hAnsi="Times New Roman" w:cs="Times New Roman"/>
        </w:rPr>
        <w:t>绩效评价目的、对象和范围</w:t>
      </w:r>
      <w:bookmarkEnd w:id="16"/>
      <w:bookmarkEnd w:id="22"/>
      <w:bookmarkEnd w:id="23"/>
    </w:p>
    <w:p>
      <w:pPr>
        <w:pStyle w:val="4"/>
        <w:ind w:firstLine="640"/>
        <w:rPr>
          <w:rFonts w:cs="Times New Roman"/>
          <w:b w:val="0"/>
          <w:bCs w:val="0"/>
        </w:rPr>
      </w:pPr>
      <w:bookmarkStart w:id="24" w:name="_Toc103094551"/>
      <w:r>
        <w:rPr>
          <w:rFonts w:cs="Times New Roman"/>
          <w:b w:val="0"/>
          <w:bCs w:val="0"/>
        </w:rPr>
        <w:t>1.评价目的</w:t>
      </w:r>
      <w:bookmarkEnd w:id="24"/>
    </w:p>
    <w:p>
      <w:pPr>
        <w:ind w:firstLine="640"/>
        <w:rPr>
          <w:rFonts w:cs="Times New Roman"/>
        </w:rPr>
      </w:pPr>
      <w:r>
        <w:rPr>
          <w:rFonts w:cs="Times New Roman"/>
        </w:rPr>
        <w:t>通过对项目经济性、效率性和效果性的分析，梳理总结项目决策、过程、产出、效益中存在的问题，为主管部门改进工作提供建议和依据，提高科学决策水平，促进市民政局树立以结果为导向的绩效管理理念，规范项目管理，保障项目资金使用的规范性、安全性，提高财政资金投入的有效性。</w:t>
      </w:r>
    </w:p>
    <w:p>
      <w:pPr>
        <w:pStyle w:val="4"/>
        <w:ind w:firstLine="640"/>
        <w:rPr>
          <w:rFonts w:cs="Times New Roman"/>
          <w:b w:val="0"/>
          <w:bCs w:val="0"/>
        </w:rPr>
      </w:pPr>
      <w:bookmarkStart w:id="25" w:name="_Toc103094552"/>
      <w:r>
        <w:rPr>
          <w:rFonts w:cs="Times New Roman"/>
          <w:b w:val="0"/>
          <w:bCs w:val="0"/>
        </w:rPr>
        <w:t>2.评价依据</w:t>
      </w:r>
      <w:bookmarkEnd w:id="25"/>
    </w:p>
    <w:p>
      <w:pPr>
        <w:ind w:firstLine="640"/>
        <w:rPr>
          <w:rFonts w:cs="Times New Roman"/>
          <w:lang w:val="zh-TW"/>
        </w:rPr>
      </w:pPr>
      <w:r>
        <w:rPr>
          <w:rFonts w:cs="Times New Roman"/>
          <w:kern w:val="44"/>
          <w:szCs w:val="32"/>
        </w:rPr>
        <w:t>（1）</w:t>
      </w:r>
      <w:r>
        <w:rPr>
          <w:rFonts w:cs="Times New Roman"/>
          <w:lang w:val="zh-TW"/>
        </w:rPr>
        <w:t>《北京市财政局</w:t>
      </w:r>
      <w:r>
        <w:rPr>
          <w:rFonts w:cs="Times New Roman"/>
          <w:color w:val="000000"/>
          <w:kern w:val="0"/>
          <w:szCs w:val="32"/>
        </w:rPr>
        <w:t>关于开展2022年全面预算绩效管理工作的通知</w:t>
      </w:r>
      <w:r>
        <w:rPr>
          <w:rFonts w:cs="Times New Roman"/>
          <w:lang w:val="zh-TW"/>
        </w:rPr>
        <w:t>》（京财绩效〔202</w:t>
      </w:r>
      <w:r>
        <w:rPr>
          <w:rFonts w:eastAsia="PMingLiU" w:cs="Times New Roman"/>
          <w:lang w:val="zh-TW"/>
        </w:rPr>
        <w:t>2</w:t>
      </w:r>
      <w:r>
        <w:rPr>
          <w:rFonts w:cs="Times New Roman"/>
          <w:lang w:val="zh-TW"/>
        </w:rPr>
        <w:t>〕</w:t>
      </w:r>
      <w:r>
        <w:rPr>
          <w:rFonts w:eastAsia="PMingLiU" w:cs="Times New Roman"/>
          <w:lang w:val="zh-TW"/>
        </w:rPr>
        <w:t>669</w:t>
      </w:r>
      <w:r>
        <w:rPr>
          <w:rFonts w:cs="Times New Roman"/>
          <w:lang w:val="zh-TW"/>
        </w:rPr>
        <w:t>号）、《北京市项目支出绩效评价管理办法》（京财绩效发〔2020〕2146号）以及北京市202</w:t>
      </w:r>
      <w:r>
        <w:rPr>
          <w:rFonts w:eastAsia="PMingLiU" w:cs="Times New Roman"/>
          <w:lang w:val="zh-TW"/>
        </w:rPr>
        <w:t>1</w:t>
      </w:r>
      <w:r>
        <w:rPr>
          <w:rFonts w:cs="Times New Roman"/>
          <w:lang w:val="zh-TW"/>
        </w:rPr>
        <w:t>年度市级财政支出绩效评价的相关要求；</w:t>
      </w:r>
    </w:p>
    <w:p>
      <w:pPr>
        <w:ind w:firstLine="640"/>
        <w:rPr>
          <w:rFonts w:cs="Times New Roman"/>
        </w:rPr>
      </w:pPr>
      <w:r>
        <w:rPr>
          <w:rFonts w:cs="Times New Roman"/>
          <w:lang w:val="zh-TW"/>
        </w:rPr>
        <w:t>（2）相关行业政策、行业标准及专业技术规范；</w:t>
      </w:r>
    </w:p>
    <w:p>
      <w:pPr>
        <w:ind w:firstLine="640"/>
        <w:rPr>
          <w:rFonts w:cs="Times New Roman"/>
          <w:kern w:val="44"/>
          <w:szCs w:val="32"/>
        </w:rPr>
      </w:pPr>
      <w:r>
        <w:rPr>
          <w:rFonts w:cs="Times New Roman"/>
          <w:lang w:val="zh-TW"/>
        </w:rPr>
        <w:t>（3）市民政局提供的项目资料。</w:t>
      </w:r>
    </w:p>
    <w:p>
      <w:pPr>
        <w:pStyle w:val="4"/>
        <w:ind w:firstLine="640"/>
        <w:rPr>
          <w:rFonts w:cs="Times New Roman"/>
          <w:b w:val="0"/>
          <w:bCs w:val="0"/>
        </w:rPr>
      </w:pPr>
      <w:bookmarkStart w:id="26" w:name="_Toc103094553"/>
      <w:r>
        <w:rPr>
          <w:rFonts w:cs="Times New Roman"/>
          <w:b w:val="0"/>
          <w:bCs w:val="0"/>
        </w:rPr>
        <w:t>3.评价对象和范围</w:t>
      </w:r>
      <w:bookmarkEnd w:id="26"/>
    </w:p>
    <w:p>
      <w:pPr>
        <w:ind w:firstLine="640"/>
        <w:rPr>
          <w:rFonts w:cs="Times New Roman"/>
        </w:rPr>
      </w:pPr>
      <w:r>
        <w:rPr>
          <w:rFonts w:cs="Times New Roman"/>
        </w:rPr>
        <w:t>本次评价对象为“</w:t>
      </w:r>
      <w:bookmarkStart w:id="27" w:name="_Hlk103008309"/>
      <w:r>
        <w:rPr>
          <w:rFonts w:cs="Times New Roman"/>
        </w:rPr>
        <w:t>2021年度民政信息安全工作服务</w:t>
      </w:r>
      <w:bookmarkEnd w:id="27"/>
      <w:r>
        <w:rPr>
          <w:rFonts w:cs="Times New Roman"/>
        </w:rPr>
        <w:t>”项目，该项目为跨年度项目，实施周期为2021年7月至2022年7月，本次评价范围为2021年度预算资金339.08万元。</w:t>
      </w:r>
    </w:p>
    <w:p>
      <w:pPr>
        <w:ind w:firstLine="640"/>
        <w:rPr>
          <w:rFonts w:cs="Times New Roman"/>
        </w:rPr>
      </w:pPr>
      <w:r>
        <w:rPr>
          <w:rFonts w:cs="Times New Roman"/>
        </w:rPr>
        <w:t>本次评价从现实需求的必要性和项目实施的规范性出发，以结果为导向，重点关注项目实施的预期产出和效果的实现程度，同时关注项目决策和项目实施过程的规范性和合理性。</w:t>
      </w:r>
    </w:p>
    <w:p>
      <w:pPr>
        <w:pStyle w:val="3"/>
        <w:ind w:firstLine="640"/>
        <w:rPr>
          <w:rFonts w:ascii="Times New Roman" w:hAnsi="Times New Roman" w:cs="Times New Roman"/>
          <w:b/>
        </w:rPr>
      </w:pPr>
      <w:bookmarkStart w:id="28" w:name="_Toc103094554"/>
      <w:bookmarkStart w:id="29" w:name="_Toc103096316"/>
      <w:r>
        <w:rPr>
          <w:rFonts w:ascii="Times New Roman" w:hAnsi="Times New Roman" w:cs="Times New Roman"/>
        </w:rPr>
        <w:t>（二）绩效评价原则方法</w:t>
      </w:r>
      <w:bookmarkEnd w:id="28"/>
      <w:bookmarkEnd w:id="29"/>
    </w:p>
    <w:p>
      <w:pPr>
        <w:pStyle w:val="4"/>
        <w:ind w:firstLine="640"/>
        <w:rPr>
          <w:rFonts w:cs="Times New Roman"/>
          <w:b w:val="0"/>
          <w:bCs w:val="0"/>
        </w:rPr>
      </w:pPr>
      <w:bookmarkStart w:id="30" w:name="_Toc103094555"/>
      <w:r>
        <w:rPr>
          <w:rFonts w:cs="Times New Roman"/>
          <w:b w:val="0"/>
          <w:bCs w:val="0"/>
        </w:rPr>
        <w:t>1.评价原则及方法</w:t>
      </w:r>
      <w:bookmarkEnd w:id="30"/>
    </w:p>
    <w:p>
      <w:pPr>
        <w:ind w:firstLine="640"/>
        <w:rPr>
          <w:rFonts w:cs="Times New Roman"/>
        </w:rPr>
      </w:pPr>
      <w:r>
        <w:rPr>
          <w:rFonts w:cs="Times New Roman"/>
        </w:rPr>
        <w:t>评价工作遵循“客观、公正、科学、规范”的原则，综合采用案卷分析、统计分析、因素分析、对比分析、专家评价等方法，对反映项目决策、过程、产出和效益等内容的资料和数据进行分析，梳理项目问题并分析成因，根据专家评价结果形成评价结论并提出建设性意见。</w:t>
      </w:r>
    </w:p>
    <w:p>
      <w:pPr>
        <w:pStyle w:val="4"/>
        <w:ind w:firstLine="640"/>
        <w:rPr>
          <w:rFonts w:cs="Times New Roman"/>
          <w:b w:val="0"/>
          <w:bCs w:val="0"/>
        </w:rPr>
      </w:pPr>
      <w:bookmarkStart w:id="31" w:name="_Toc103094556"/>
      <w:r>
        <w:rPr>
          <w:rFonts w:cs="Times New Roman"/>
          <w:b w:val="0"/>
          <w:bCs w:val="0"/>
        </w:rPr>
        <w:t>2.指标体系与评分标准</w:t>
      </w:r>
      <w:bookmarkEnd w:id="31"/>
    </w:p>
    <w:p>
      <w:pPr>
        <w:ind w:firstLine="640"/>
        <w:rPr>
          <w:rFonts w:cs="Times New Roman"/>
        </w:rPr>
      </w:pPr>
      <w:r>
        <w:rPr>
          <w:rFonts w:cs="Times New Roman"/>
        </w:rPr>
        <w:t>评价工作组根据</w:t>
      </w:r>
      <w:r>
        <w:rPr>
          <w:rFonts w:cs="Times New Roman"/>
          <w:lang w:val="zh-TW"/>
        </w:rPr>
        <w:t>《北京市项目支出绩效评价管理办法》（京财绩效发〔2020〕2146号）</w:t>
      </w:r>
      <w:r>
        <w:rPr>
          <w:rFonts w:cs="Times New Roman"/>
        </w:rPr>
        <w:t>中的绩效评价指标体系框架制定该项目绩效评价指标体系，并根据指标的重要性与相关性确定权重，参考历史数据及绩效评价等级要求确定评分标准。</w:t>
      </w:r>
    </w:p>
    <w:p>
      <w:pPr>
        <w:pStyle w:val="3"/>
        <w:ind w:firstLine="640"/>
        <w:rPr>
          <w:rFonts w:ascii="Times New Roman" w:hAnsi="Times New Roman" w:cs="Times New Roman"/>
        </w:rPr>
      </w:pPr>
      <w:bookmarkStart w:id="32" w:name="_Toc103094557"/>
      <w:bookmarkStart w:id="33" w:name="_Toc103096317"/>
      <w:r>
        <w:rPr>
          <w:rFonts w:ascii="Times New Roman" w:hAnsi="Times New Roman" w:cs="Times New Roman"/>
        </w:rPr>
        <w:t>（三）绩效评价工作过程</w:t>
      </w:r>
      <w:bookmarkEnd w:id="32"/>
      <w:bookmarkEnd w:id="33"/>
    </w:p>
    <w:p>
      <w:pPr>
        <w:pStyle w:val="4"/>
        <w:ind w:firstLine="640"/>
        <w:rPr>
          <w:rFonts w:cs="Times New Roman"/>
          <w:b w:val="0"/>
          <w:bCs w:val="0"/>
        </w:rPr>
      </w:pPr>
      <w:bookmarkStart w:id="34" w:name="_Toc103094558"/>
      <w:r>
        <w:rPr>
          <w:rFonts w:cs="Times New Roman"/>
          <w:b w:val="0"/>
          <w:bCs w:val="0"/>
        </w:rPr>
        <w:t>1.前期准备情况</w:t>
      </w:r>
      <w:bookmarkEnd w:id="34"/>
    </w:p>
    <w:p>
      <w:pPr>
        <w:ind w:firstLine="640"/>
        <w:rPr>
          <w:rFonts w:cs="Times New Roman"/>
          <w:kern w:val="44"/>
          <w:szCs w:val="32"/>
        </w:rPr>
      </w:pPr>
      <w:r>
        <w:rPr>
          <w:rFonts w:cs="Times New Roman"/>
          <w:kern w:val="44"/>
          <w:szCs w:val="32"/>
        </w:rPr>
        <w:t>参与评价机构受市民政局委托组建评价工作组，对该项目进行绩效评价。工作组进行了内部培训，邀请绩效管理专家作为全程专家，对评价工作进行全过程指导，与市民政局建立沟通协调工作机制、了解项目情况并进行针对性培训。</w:t>
      </w:r>
    </w:p>
    <w:p>
      <w:pPr>
        <w:pStyle w:val="4"/>
        <w:ind w:firstLine="640"/>
        <w:rPr>
          <w:rFonts w:cs="Times New Roman"/>
          <w:b w:val="0"/>
          <w:bCs w:val="0"/>
        </w:rPr>
      </w:pPr>
      <w:bookmarkStart w:id="35" w:name="_Toc103094559"/>
      <w:r>
        <w:rPr>
          <w:rFonts w:cs="Times New Roman"/>
          <w:b w:val="0"/>
          <w:bCs w:val="0"/>
        </w:rPr>
        <w:t>2.资料信息汇总</w:t>
      </w:r>
      <w:bookmarkEnd w:id="35"/>
    </w:p>
    <w:p>
      <w:pPr>
        <w:ind w:firstLine="640"/>
        <w:rPr>
          <w:rFonts w:cs="Times New Roman"/>
        </w:rPr>
      </w:pPr>
      <w:r>
        <w:rPr>
          <w:rFonts w:cs="Times New Roman"/>
        </w:rPr>
        <w:t>根据绩效评价要求收集相应资料，围绕项目决策、过程、产出和效益进行资料梳理，对资料真实性进行审核，对存疑情况与市民政局进行沟通确认。</w:t>
      </w:r>
    </w:p>
    <w:p>
      <w:pPr>
        <w:pStyle w:val="4"/>
        <w:ind w:firstLine="640"/>
        <w:rPr>
          <w:rFonts w:cs="Times New Roman"/>
          <w:b w:val="0"/>
          <w:bCs w:val="0"/>
        </w:rPr>
      </w:pPr>
      <w:bookmarkStart w:id="36" w:name="_Toc103094560"/>
      <w:r>
        <w:rPr>
          <w:rFonts w:cs="Times New Roman"/>
          <w:b w:val="0"/>
          <w:bCs w:val="0"/>
        </w:rPr>
        <w:t>3.评价分析</w:t>
      </w:r>
      <w:bookmarkEnd w:id="36"/>
    </w:p>
    <w:p>
      <w:pPr>
        <w:ind w:firstLine="640"/>
        <w:rPr>
          <w:rFonts w:cs="Times New Roman"/>
        </w:rPr>
      </w:pPr>
      <w:r>
        <w:rPr>
          <w:rFonts w:cs="Times New Roman"/>
        </w:rPr>
        <w:t>评价工作组综合采用案卷分析、统计分析、因素分析、对比分析、专家评价等方法，围绕项目决策、过程、产出和效益进行初步分析，梳理项目存在问题。</w:t>
      </w:r>
    </w:p>
    <w:p>
      <w:pPr>
        <w:pStyle w:val="4"/>
        <w:ind w:firstLine="640"/>
        <w:rPr>
          <w:rFonts w:cs="Times New Roman"/>
          <w:b w:val="0"/>
          <w:bCs w:val="0"/>
        </w:rPr>
      </w:pPr>
      <w:bookmarkStart w:id="37" w:name="_Toc103094561"/>
      <w:r>
        <w:rPr>
          <w:rFonts w:cs="Times New Roman"/>
          <w:b w:val="0"/>
          <w:bCs w:val="0"/>
        </w:rPr>
        <w:t>4.专家评</w:t>
      </w:r>
      <w:bookmarkEnd w:id="37"/>
      <w:r>
        <w:rPr>
          <w:rFonts w:cs="Times New Roman"/>
          <w:b w:val="0"/>
          <w:bCs w:val="0"/>
        </w:rPr>
        <w:t>价</w:t>
      </w:r>
    </w:p>
    <w:p>
      <w:pPr>
        <w:ind w:firstLine="640"/>
        <w:rPr>
          <w:rFonts w:cs="Times New Roman"/>
        </w:rPr>
      </w:pPr>
      <w:r>
        <w:rPr>
          <w:rFonts w:cs="Times New Roman"/>
        </w:rPr>
        <w:t>组织召开专家预备会，形成《专家预评价意见反馈暨补充资料清单》；根据项目实际情况，细化调整评价指标体系，明确指标权重和评分标准；组织召开专家评价会，听取市民政局绩效汇报，由专家组就项目存在的问题与项目负责人进行沟通，形成绩效评价结论。</w:t>
      </w:r>
    </w:p>
    <w:p>
      <w:pPr>
        <w:pStyle w:val="4"/>
        <w:ind w:firstLine="640"/>
        <w:rPr>
          <w:rFonts w:cs="Times New Roman"/>
          <w:b w:val="0"/>
          <w:bCs w:val="0"/>
        </w:rPr>
      </w:pPr>
      <w:bookmarkStart w:id="38" w:name="_Toc103094562"/>
      <w:r>
        <w:rPr>
          <w:rFonts w:cs="Times New Roman"/>
          <w:b w:val="0"/>
          <w:bCs w:val="0"/>
        </w:rPr>
        <w:t>5.出具报告</w:t>
      </w:r>
      <w:bookmarkEnd w:id="38"/>
      <w:bookmarkStart w:id="39" w:name="_Toc515586351"/>
    </w:p>
    <w:p>
      <w:pPr>
        <w:ind w:firstLine="640"/>
        <w:rPr>
          <w:rFonts w:cs="Times New Roman"/>
        </w:rPr>
      </w:pPr>
      <w:r>
        <w:rPr>
          <w:rFonts w:cs="Times New Roman"/>
        </w:rPr>
        <w:t>结合评价工作组审核结果和专家评价意见，对项目决策、过程、产出和效益情况进行综合分析，形成绩效评价初稿，在与市民政局反馈意见的基础上，对报告内容进行完善，形成正式绩效评价报告。</w:t>
      </w:r>
    </w:p>
    <w:p>
      <w:pPr>
        <w:pStyle w:val="2"/>
        <w:spacing w:line="560" w:lineRule="exact"/>
        <w:ind w:firstLine="640"/>
        <w:rPr>
          <w:rFonts w:eastAsia="黑体" w:cs="Times New Roman"/>
          <w:b w:val="0"/>
          <w:bCs w:val="0"/>
          <w:szCs w:val="32"/>
        </w:rPr>
      </w:pPr>
      <w:bookmarkStart w:id="40" w:name="_Toc103096318"/>
      <w:bookmarkStart w:id="41" w:name="_Toc103094563"/>
      <w:r>
        <w:rPr>
          <w:rFonts w:eastAsia="黑体" w:cs="Times New Roman"/>
          <w:b w:val="0"/>
          <w:bCs w:val="0"/>
          <w:szCs w:val="32"/>
        </w:rPr>
        <w:t>三、</w:t>
      </w:r>
      <w:bookmarkEnd w:id="39"/>
      <w:r>
        <w:rPr>
          <w:rFonts w:eastAsia="黑体" w:cs="Times New Roman"/>
          <w:b w:val="0"/>
          <w:bCs w:val="0"/>
          <w:szCs w:val="32"/>
        </w:rPr>
        <w:t>综合评价情况及评价结论</w:t>
      </w:r>
      <w:bookmarkEnd w:id="40"/>
      <w:bookmarkEnd w:id="41"/>
    </w:p>
    <w:p>
      <w:pPr>
        <w:ind w:firstLine="640"/>
        <w:rPr>
          <w:rFonts w:cs="Times New Roman"/>
        </w:rPr>
      </w:pPr>
      <w:r>
        <w:rPr>
          <w:rFonts w:cs="Times New Roman"/>
        </w:rPr>
        <w:t>经综合评价，市民政局标准与信息化处“2021年度民政信息安全工作服务”项目得分87.44分，综合绩效级别为“良”。该项目各指标得分和综合评价结论具体如下：</w:t>
      </w:r>
    </w:p>
    <w:p>
      <w:pPr>
        <w:ind w:firstLine="640"/>
        <w:rPr>
          <w:rFonts w:cs="Times New Roman"/>
        </w:rPr>
      </w:pPr>
      <w:r>
        <w:rPr>
          <w:rFonts w:cs="Times New Roman"/>
        </w:rPr>
        <w:t>项目决策。该指标分值10分，评价得分8.32分。</w:t>
      </w:r>
      <w:r>
        <w:rPr>
          <w:rFonts w:cs="Times New Roman"/>
          <w:bCs/>
        </w:rPr>
        <w:t>该项目整体层面立项依据较为充分，立项程序较为规范，但在绩效目标设置和资金投入方面仍有待完善。</w:t>
      </w:r>
    </w:p>
    <w:p>
      <w:pPr>
        <w:ind w:firstLine="640"/>
        <w:rPr>
          <w:rFonts w:cs="Times New Roman"/>
          <w:bCs/>
        </w:rPr>
      </w:pPr>
      <w:r>
        <w:rPr>
          <w:rFonts w:cs="Times New Roman"/>
        </w:rPr>
        <w:t>项目过程。该指标分值20分，评价得分18.02分。该项目</w:t>
      </w:r>
      <w:r>
        <w:rPr>
          <w:rFonts w:cs="Times New Roman"/>
          <w:bCs/>
        </w:rPr>
        <w:t>资金管理基本规范、组织实施基本有序，但在过程管理、内部控制等方面仍有待完善。</w:t>
      </w:r>
    </w:p>
    <w:p>
      <w:pPr>
        <w:ind w:firstLine="640"/>
        <w:rPr>
          <w:rFonts w:cs="Times New Roman"/>
          <w:highlight w:val="yellow"/>
        </w:rPr>
      </w:pPr>
      <w:r>
        <w:rPr>
          <w:rFonts w:cs="Times New Roman"/>
        </w:rPr>
        <w:t>项目产出。该指标分值40分，评价得分35分。</w:t>
      </w:r>
      <w:r>
        <w:rPr>
          <w:rFonts w:cs="Times New Roman"/>
          <w:bCs/>
        </w:rPr>
        <w:t>该项目产出较为明确，预期任务目标基本达成，但在产出质量、时效和成本控制方面仍有待完善。</w:t>
      </w:r>
    </w:p>
    <w:p>
      <w:pPr>
        <w:ind w:firstLine="640"/>
        <w:rPr>
          <w:rFonts w:cs="Times New Roman"/>
        </w:rPr>
      </w:pPr>
      <w:r>
        <w:rPr>
          <w:rFonts w:cs="Times New Roman"/>
        </w:rPr>
        <w:t>项目效益。该指标分值30分，评价得分26.10分。</w:t>
      </w:r>
      <w:r>
        <w:rPr>
          <w:rFonts w:cs="Times New Roman"/>
          <w:bCs/>
        </w:rPr>
        <w:t>该项目整体效益实现程度较显著</w:t>
      </w:r>
      <w:r>
        <w:rPr>
          <w:rFonts w:cs="Times New Roman"/>
        </w:rPr>
        <w:t>，但由于项目仍在实施周期内，市民政局尚未针对该项目实施情况开展满意度调查，满意度实现情况缺乏有力支撑。</w:t>
      </w:r>
    </w:p>
    <w:p>
      <w:pPr>
        <w:pStyle w:val="11"/>
        <w:snapToGrid w:val="0"/>
        <w:spacing w:after="156" w:afterLines="50" w:line="560" w:lineRule="exact"/>
        <w:ind w:left="0" w:leftChars="0" w:firstLine="0" w:firstLineChars="0"/>
        <w:jc w:val="center"/>
        <w:rPr>
          <w:rFonts w:eastAsia="黑体" w:cs="Times New Roman"/>
          <w:sz w:val="28"/>
          <w:szCs w:val="28"/>
        </w:rPr>
      </w:pPr>
      <w:r>
        <w:rPr>
          <w:rFonts w:eastAsia="黑体" w:cs="Times New Roman"/>
          <w:sz w:val="28"/>
          <w:szCs w:val="28"/>
        </w:rPr>
        <w:t>表1</w:t>
      </w:r>
      <w:bookmarkStart w:id="42" w:name="_Hlk102942714"/>
      <w:r>
        <w:rPr>
          <w:rFonts w:eastAsia="黑体" w:cs="Times New Roman"/>
          <w:sz w:val="28"/>
          <w:szCs w:val="28"/>
        </w:rPr>
        <w:t xml:space="preserve"> 2021年度民政信息安全工作服务项目</w:t>
      </w:r>
      <w:bookmarkEnd w:id="42"/>
      <w:r>
        <w:rPr>
          <w:rFonts w:eastAsia="黑体" w:cs="Times New Roman"/>
          <w:sz w:val="28"/>
          <w:szCs w:val="28"/>
        </w:rPr>
        <w:t>总体评价得分</w:t>
      </w:r>
    </w:p>
    <w:tbl>
      <w:tblPr>
        <w:tblStyle w:val="26"/>
        <w:tblW w:w="8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376"/>
        <w:gridCol w:w="3420"/>
        <w:gridCol w:w="3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blHeader/>
        </w:trPr>
        <w:tc>
          <w:tcPr>
            <w:tcW w:w="2376" w:type="dxa"/>
            <w:shd w:val="clear" w:color="auto" w:fill="BFBFBF"/>
            <w:vAlign w:val="center"/>
          </w:tcPr>
          <w:p>
            <w:pPr>
              <w:spacing w:line="240" w:lineRule="auto"/>
              <w:ind w:firstLine="0" w:firstLineChars="0"/>
              <w:jc w:val="center"/>
              <w:rPr>
                <w:rFonts w:eastAsia="宋体" w:cs="Times New Roman"/>
                <w:b/>
                <w:sz w:val="24"/>
              </w:rPr>
            </w:pPr>
            <w:r>
              <w:rPr>
                <w:rFonts w:eastAsia="宋体" w:cs="Times New Roman"/>
                <w:b/>
                <w:sz w:val="24"/>
              </w:rPr>
              <w:t>评价内容</w:t>
            </w:r>
          </w:p>
        </w:tc>
        <w:tc>
          <w:tcPr>
            <w:tcW w:w="3420" w:type="dxa"/>
            <w:shd w:val="clear" w:color="auto" w:fill="BFBFBF"/>
            <w:vAlign w:val="center"/>
          </w:tcPr>
          <w:p>
            <w:pPr>
              <w:spacing w:line="240" w:lineRule="auto"/>
              <w:ind w:firstLine="0" w:firstLineChars="0"/>
              <w:jc w:val="center"/>
              <w:rPr>
                <w:rFonts w:eastAsia="宋体" w:cs="Times New Roman"/>
                <w:b/>
                <w:sz w:val="24"/>
              </w:rPr>
            </w:pPr>
            <w:r>
              <w:rPr>
                <w:rFonts w:eastAsia="宋体" w:cs="Times New Roman"/>
                <w:b/>
                <w:sz w:val="24"/>
              </w:rPr>
              <w:t>分值</w:t>
            </w:r>
          </w:p>
        </w:tc>
        <w:tc>
          <w:tcPr>
            <w:tcW w:w="3162" w:type="dxa"/>
            <w:shd w:val="clear" w:color="auto" w:fill="BFBFBF"/>
            <w:vAlign w:val="center"/>
          </w:tcPr>
          <w:p>
            <w:pPr>
              <w:spacing w:line="240" w:lineRule="auto"/>
              <w:ind w:firstLine="0" w:firstLineChars="0"/>
              <w:jc w:val="center"/>
              <w:rPr>
                <w:rFonts w:eastAsia="宋体" w:cs="Times New Roman"/>
                <w:b/>
                <w:sz w:val="24"/>
              </w:rPr>
            </w:pPr>
            <w:r>
              <w:rPr>
                <w:rFonts w:eastAsia="宋体" w:cs="Times New Roman"/>
                <w:b/>
                <w:sz w:val="24"/>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45" w:hRule="atLeast"/>
        </w:trPr>
        <w:tc>
          <w:tcPr>
            <w:tcW w:w="2376" w:type="dxa"/>
            <w:vAlign w:val="center"/>
          </w:tcPr>
          <w:p>
            <w:pPr>
              <w:spacing w:line="240" w:lineRule="auto"/>
              <w:ind w:firstLine="0" w:firstLineChars="0"/>
              <w:jc w:val="center"/>
              <w:rPr>
                <w:rFonts w:eastAsia="宋体" w:cs="Times New Roman"/>
                <w:b/>
                <w:sz w:val="24"/>
              </w:rPr>
            </w:pPr>
            <w:r>
              <w:rPr>
                <w:rFonts w:eastAsia="宋体" w:cs="Times New Roman"/>
                <w:b/>
                <w:sz w:val="24"/>
              </w:rPr>
              <w:t>项目决策</w:t>
            </w:r>
          </w:p>
        </w:tc>
        <w:tc>
          <w:tcPr>
            <w:tcW w:w="3420" w:type="dxa"/>
            <w:vAlign w:val="center"/>
          </w:tcPr>
          <w:p>
            <w:pPr>
              <w:spacing w:line="240" w:lineRule="auto"/>
              <w:ind w:firstLine="0" w:firstLineChars="0"/>
              <w:jc w:val="center"/>
              <w:rPr>
                <w:rFonts w:eastAsia="宋体" w:cs="Times New Roman"/>
                <w:bCs/>
                <w:sz w:val="24"/>
              </w:rPr>
            </w:pPr>
            <w:r>
              <w:rPr>
                <w:rFonts w:eastAsia="宋体" w:cs="Times New Roman"/>
                <w:bCs/>
                <w:sz w:val="24"/>
              </w:rPr>
              <w:t>10.00</w:t>
            </w:r>
          </w:p>
        </w:tc>
        <w:tc>
          <w:tcPr>
            <w:tcW w:w="3162" w:type="dxa"/>
            <w:vAlign w:val="center"/>
          </w:tcPr>
          <w:p>
            <w:pPr>
              <w:spacing w:line="240" w:lineRule="auto"/>
              <w:ind w:firstLine="0" w:firstLineChars="0"/>
              <w:jc w:val="center"/>
              <w:rPr>
                <w:rFonts w:eastAsia="宋体" w:cs="Times New Roman"/>
                <w:bCs/>
                <w:sz w:val="24"/>
              </w:rPr>
            </w:pPr>
            <w:bookmarkStart w:id="43" w:name="_Hlk102942764"/>
            <w:r>
              <w:rPr>
                <w:rFonts w:eastAsia="宋体" w:cs="Times New Roman"/>
                <w:bCs/>
                <w:sz w:val="24"/>
              </w:rPr>
              <w:t>8.32</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376" w:type="dxa"/>
            <w:vAlign w:val="center"/>
          </w:tcPr>
          <w:p>
            <w:pPr>
              <w:spacing w:line="240" w:lineRule="auto"/>
              <w:ind w:firstLine="0" w:firstLineChars="0"/>
              <w:jc w:val="center"/>
              <w:rPr>
                <w:rFonts w:eastAsia="宋体" w:cs="Times New Roman"/>
                <w:b/>
                <w:sz w:val="24"/>
              </w:rPr>
            </w:pPr>
            <w:r>
              <w:rPr>
                <w:rFonts w:eastAsia="宋体" w:cs="Times New Roman"/>
                <w:b/>
                <w:sz w:val="24"/>
              </w:rPr>
              <w:t>项目过程</w:t>
            </w:r>
          </w:p>
        </w:tc>
        <w:tc>
          <w:tcPr>
            <w:tcW w:w="3420" w:type="dxa"/>
            <w:vAlign w:val="center"/>
          </w:tcPr>
          <w:p>
            <w:pPr>
              <w:spacing w:line="240" w:lineRule="auto"/>
              <w:ind w:firstLine="0" w:firstLineChars="0"/>
              <w:jc w:val="center"/>
              <w:rPr>
                <w:rFonts w:eastAsia="宋体" w:cs="Times New Roman"/>
                <w:bCs/>
                <w:sz w:val="24"/>
              </w:rPr>
            </w:pPr>
            <w:r>
              <w:rPr>
                <w:rFonts w:eastAsia="宋体" w:cs="Times New Roman"/>
                <w:bCs/>
                <w:sz w:val="24"/>
              </w:rPr>
              <w:t>20.00</w:t>
            </w:r>
          </w:p>
        </w:tc>
        <w:tc>
          <w:tcPr>
            <w:tcW w:w="3162" w:type="dxa"/>
            <w:vAlign w:val="center"/>
          </w:tcPr>
          <w:p>
            <w:pPr>
              <w:spacing w:line="240" w:lineRule="auto"/>
              <w:ind w:firstLine="0" w:firstLineChars="0"/>
              <w:jc w:val="center"/>
              <w:rPr>
                <w:rFonts w:eastAsia="宋体" w:cs="Times New Roman"/>
                <w:bCs/>
                <w:sz w:val="24"/>
              </w:rPr>
            </w:pPr>
            <w:r>
              <w:rPr>
                <w:rFonts w:eastAsia="宋体" w:cs="Times New Roman"/>
                <w:bCs/>
                <w:sz w:val="24"/>
              </w:rPr>
              <w:t>18.02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376" w:type="dxa"/>
            <w:vAlign w:val="center"/>
          </w:tcPr>
          <w:p>
            <w:pPr>
              <w:spacing w:line="240" w:lineRule="auto"/>
              <w:ind w:firstLine="0" w:firstLineChars="0"/>
              <w:jc w:val="center"/>
              <w:rPr>
                <w:rFonts w:eastAsia="宋体" w:cs="Times New Roman"/>
                <w:b/>
                <w:sz w:val="24"/>
              </w:rPr>
            </w:pPr>
            <w:r>
              <w:rPr>
                <w:rFonts w:eastAsia="宋体" w:cs="Times New Roman"/>
                <w:b/>
                <w:sz w:val="24"/>
              </w:rPr>
              <w:t>项目产出</w:t>
            </w:r>
          </w:p>
        </w:tc>
        <w:tc>
          <w:tcPr>
            <w:tcW w:w="3420" w:type="dxa"/>
            <w:vAlign w:val="center"/>
          </w:tcPr>
          <w:p>
            <w:pPr>
              <w:spacing w:line="240" w:lineRule="auto"/>
              <w:ind w:firstLine="0" w:firstLineChars="0"/>
              <w:jc w:val="center"/>
              <w:rPr>
                <w:rFonts w:eastAsia="宋体" w:cs="Times New Roman"/>
                <w:bCs/>
                <w:sz w:val="24"/>
              </w:rPr>
            </w:pPr>
            <w:r>
              <w:rPr>
                <w:rFonts w:eastAsia="宋体" w:cs="Times New Roman"/>
                <w:bCs/>
                <w:sz w:val="24"/>
              </w:rPr>
              <w:t>40.00</w:t>
            </w:r>
          </w:p>
        </w:tc>
        <w:tc>
          <w:tcPr>
            <w:tcW w:w="3162" w:type="dxa"/>
            <w:vAlign w:val="center"/>
          </w:tcPr>
          <w:p>
            <w:pPr>
              <w:spacing w:line="240" w:lineRule="auto"/>
              <w:ind w:firstLine="0" w:firstLineChars="0"/>
              <w:jc w:val="center"/>
              <w:rPr>
                <w:rFonts w:eastAsia="宋体" w:cs="Times New Roman"/>
                <w:bCs/>
                <w:sz w:val="24"/>
              </w:rPr>
            </w:pPr>
            <w:r>
              <w:rPr>
                <w:rFonts w:eastAsia="宋体" w:cs="Times New Roman"/>
                <w:bCs/>
                <w:sz w:val="24"/>
              </w:rPr>
              <w:t>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376" w:type="dxa"/>
            <w:vAlign w:val="center"/>
          </w:tcPr>
          <w:p>
            <w:pPr>
              <w:spacing w:line="240" w:lineRule="auto"/>
              <w:ind w:firstLine="0" w:firstLineChars="0"/>
              <w:jc w:val="center"/>
              <w:rPr>
                <w:rFonts w:eastAsia="宋体" w:cs="Times New Roman"/>
                <w:b/>
                <w:sz w:val="24"/>
              </w:rPr>
            </w:pPr>
            <w:r>
              <w:rPr>
                <w:rFonts w:eastAsia="宋体" w:cs="Times New Roman"/>
                <w:b/>
                <w:sz w:val="24"/>
              </w:rPr>
              <w:t>项目效益</w:t>
            </w:r>
          </w:p>
        </w:tc>
        <w:tc>
          <w:tcPr>
            <w:tcW w:w="3420" w:type="dxa"/>
            <w:vAlign w:val="center"/>
          </w:tcPr>
          <w:p>
            <w:pPr>
              <w:spacing w:line="240" w:lineRule="auto"/>
              <w:ind w:firstLine="0" w:firstLineChars="0"/>
              <w:jc w:val="center"/>
              <w:rPr>
                <w:rFonts w:eastAsia="宋体" w:cs="Times New Roman"/>
                <w:bCs/>
                <w:sz w:val="24"/>
              </w:rPr>
            </w:pPr>
            <w:r>
              <w:rPr>
                <w:rFonts w:eastAsia="宋体" w:cs="Times New Roman"/>
                <w:bCs/>
                <w:sz w:val="24"/>
              </w:rPr>
              <w:t>30.00</w:t>
            </w:r>
          </w:p>
        </w:tc>
        <w:tc>
          <w:tcPr>
            <w:tcW w:w="3162" w:type="dxa"/>
            <w:vAlign w:val="center"/>
          </w:tcPr>
          <w:p>
            <w:pPr>
              <w:spacing w:line="240" w:lineRule="auto"/>
              <w:ind w:firstLine="0" w:firstLineChars="0"/>
              <w:jc w:val="center"/>
              <w:rPr>
                <w:rFonts w:eastAsia="宋体" w:cs="Times New Roman"/>
                <w:bCs/>
                <w:sz w:val="24"/>
              </w:rPr>
            </w:pPr>
            <w:r>
              <w:rPr>
                <w:rFonts w:eastAsia="宋体" w:cs="Times New Roman"/>
                <w:bCs/>
                <w:sz w:val="24"/>
              </w:rPr>
              <w:t>26.10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376" w:type="dxa"/>
            <w:vAlign w:val="center"/>
          </w:tcPr>
          <w:p>
            <w:pPr>
              <w:spacing w:line="240" w:lineRule="auto"/>
              <w:ind w:firstLine="0" w:firstLineChars="0"/>
              <w:jc w:val="center"/>
              <w:rPr>
                <w:rFonts w:eastAsia="宋体" w:cs="Times New Roman"/>
                <w:b/>
                <w:sz w:val="24"/>
              </w:rPr>
            </w:pPr>
            <w:r>
              <w:rPr>
                <w:rFonts w:eastAsia="宋体" w:cs="Times New Roman"/>
                <w:b/>
                <w:sz w:val="24"/>
              </w:rPr>
              <w:t>综合得分</w:t>
            </w:r>
          </w:p>
        </w:tc>
        <w:tc>
          <w:tcPr>
            <w:tcW w:w="3420" w:type="dxa"/>
            <w:vAlign w:val="center"/>
          </w:tcPr>
          <w:p>
            <w:pPr>
              <w:spacing w:line="240" w:lineRule="auto"/>
              <w:ind w:firstLine="0" w:firstLineChars="0"/>
              <w:jc w:val="center"/>
              <w:rPr>
                <w:rFonts w:eastAsia="宋体" w:cs="Times New Roman"/>
                <w:b/>
                <w:sz w:val="24"/>
              </w:rPr>
            </w:pPr>
            <w:r>
              <w:rPr>
                <w:rFonts w:eastAsia="宋体" w:cs="Times New Roman"/>
                <w:b/>
                <w:sz w:val="24"/>
              </w:rPr>
              <w:t>100.00</w:t>
            </w:r>
          </w:p>
        </w:tc>
        <w:tc>
          <w:tcPr>
            <w:tcW w:w="3162" w:type="dxa"/>
            <w:vAlign w:val="center"/>
          </w:tcPr>
          <w:p>
            <w:pPr>
              <w:spacing w:line="240" w:lineRule="auto"/>
              <w:ind w:firstLine="0" w:firstLineChars="0"/>
              <w:jc w:val="center"/>
              <w:rPr>
                <w:rFonts w:eastAsia="宋体" w:cs="Times New Roman"/>
                <w:b/>
                <w:sz w:val="24"/>
              </w:rPr>
            </w:pPr>
            <w:r>
              <w:rPr>
                <w:rFonts w:eastAsia="宋体" w:cs="Times New Roman"/>
                <w:b/>
                <w:sz w:val="24"/>
              </w:rPr>
              <w:t>87.44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376" w:type="dxa"/>
            <w:vAlign w:val="center"/>
          </w:tcPr>
          <w:p>
            <w:pPr>
              <w:spacing w:line="240" w:lineRule="auto"/>
              <w:ind w:firstLine="0" w:firstLineChars="0"/>
              <w:jc w:val="center"/>
              <w:rPr>
                <w:rFonts w:eastAsia="宋体" w:cs="Times New Roman"/>
                <w:b/>
                <w:sz w:val="24"/>
              </w:rPr>
            </w:pPr>
            <w:r>
              <w:rPr>
                <w:rFonts w:eastAsia="宋体" w:cs="Times New Roman"/>
                <w:b/>
                <w:sz w:val="24"/>
              </w:rPr>
              <w:t>绩效级别评价</w:t>
            </w:r>
          </w:p>
        </w:tc>
        <w:tc>
          <w:tcPr>
            <w:tcW w:w="6582" w:type="dxa"/>
            <w:gridSpan w:val="2"/>
            <w:vAlign w:val="center"/>
          </w:tcPr>
          <w:p>
            <w:pPr>
              <w:spacing w:line="240" w:lineRule="auto"/>
              <w:ind w:firstLine="0" w:firstLineChars="0"/>
              <w:jc w:val="center"/>
              <w:rPr>
                <w:rFonts w:eastAsia="宋体" w:cs="Times New Roman"/>
                <w:b/>
                <w:sz w:val="24"/>
              </w:rPr>
            </w:pPr>
            <w:r>
              <w:rPr>
                <w:rFonts w:eastAsia="宋体" w:cs="Times New Roman"/>
                <w:b/>
                <w:sz w:val="24"/>
              </w:rPr>
              <w:t>良</w:t>
            </w:r>
          </w:p>
        </w:tc>
      </w:tr>
    </w:tbl>
    <w:p>
      <w:pPr>
        <w:pStyle w:val="2"/>
        <w:spacing w:before="156" w:beforeLines="50" w:line="560" w:lineRule="exact"/>
        <w:ind w:firstLine="640"/>
        <w:rPr>
          <w:rFonts w:eastAsia="黑体" w:cs="Times New Roman"/>
          <w:b w:val="0"/>
          <w:bCs w:val="0"/>
          <w:szCs w:val="32"/>
        </w:rPr>
      </w:pPr>
      <w:bookmarkStart w:id="44" w:name="_Toc103094564"/>
      <w:bookmarkStart w:id="45" w:name="_Toc103096319"/>
      <w:r>
        <w:rPr>
          <w:rFonts w:eastAsia="黑体" w:cs="Times New Roman"/>
          <w:b w:val="0"/>
          <w:bCs w:val="0"/>
          <w:szCs w:val="32"/>
        </w:rPr>
        <w:t>四、绩效评价指标分析</w:t>
      </w:r>
      <w:bookmarkEnd w:id="44"/>
      <w:bookmarkEnd w:id="45"/>
    </w:p>
    <w:p>
      <w:pPr>
        <w:pStyle w:val="3"/>
        <w:ind w:firstLine="640"/>
        <w:rPr>
          <w:rFonts w:ascii="Times New Roman" w:hAnsi="Times New Roman" w:cs="Times New Roman"/>
          <w:bCs/>
        </w:rPr>
      </w:pPr>
      <w:bookmarkStart w:id="46" w:name="_Toc515586352"/>
      <w:bookmarkStart w:id="47" w:name="_Toc103094565"/>
      <w:bookmarkStart w:id="48" w:name="_Toc103096320"/>
      <w:r>
        <w:rPr>
          <w:rFonts w:ascii="Times New Roman" w:hAnsi="Times New Roman" w:cs="Times New Roman"/>
          <w:bCs/>
        </w:rPr>
        <w:t>（一）项目</w:t>
      </w:r>
      <w:bookmarkEnd w:id="46"/>
      <w:r>
        <w:rPr>
          <w:rFonts w:ascii="Times New Roman" w:hAnsi="Times New Roman" w:cs="Times New Roman"/>
          <w:bCs/>
        </w:rPr>
        <w:t>决策情况</w:t>
      </w:r>
      <w:bookmarkEnd w:id="47"/>
      <w:bookmarkEnd w:id="48"/>
    </w:p>
    <w:p>
      <w:pPr>
        <w:pStyle w:val="4"/>
        <w:ind w:firstLine="640"/>
        <w:rPr>
          <w:rFonts w:cs="Times New Roman"/>
          <w:b w:val="0"/>
        </w:rPr>
      </w:pPr>
      <w:bookmarkStart w:id="49" w:name="_Toc103094566"/>
      <w:r>
        <w:rPr>
          <w:rFonts w:cs="Times New Roman"/>
          <w:b w:val="0"/>
        </w:rPr>
        <w:t>1.项目立项</w:t>
      </w:r>
      <w:bookmarkEnd w:id="49"/>
    </w:p>
    <w:p>
      <w:pPr>
        <w:ind w:firstLine="640"/>
        <w:rPr>
          <w:rFonts w:cs="Times New Roman"/>
          <w:bCs/>
          <w:kern w:val="44"/>
        </w:rPr>
      </w:pPr>
      <w:r>
        <w:rPr>
          <w:rFonts w:cs="Times New Roman"/>
          <w:bCs/>
          <w:kern w:val="44"/>
        </w:rPr>
        <w:t>（1）立项依据充分性分析</w:t>
      </w:r>
    </w:p>
    <w:p>
      <w:pPr>
        <w:ind w:firstLine="640"/>
        <w:rPr>
          <w:rFonts w:cs="Times New Roman"/>
          <w:bCs/>
          <w:kern w:val="44"/>
        </w:rPr>
      </w:pPr>
      <w:r>
        <w:rPr>
          <w:rFonts w:cs="Times New Roman"/>
          <w:bCs/>
          <w:kern w:val="44"/>
        </w:rPr>
        <w:t>该项目依据</w:t>
      </w:r>
      <w:r>
        <w:rPr>
          <w:rFonts w:cs="Times New Roman"/>
          <w:bCs/>
        </w:rPr>
        <w:t>《中华人民共和国网络安全法》、《国家信息化领导小组关于加强信息安全保障工作意见》（中办发</w:t>
      </w:r>
      <w:r>
        <w:rPr>
          <w:rFonts w:cs="Times New Roman"/>
          <w:bCs/>
          <w:lang w:val="zh-TW"/>
        </w:rPr>
        <w:t>〔20</w:t>
      </w:r>
      <w:r>
        <w:rPr>
          <w:rFonts w:eastAsia="PMingLiU" w:cs="Times New Roman"/>
          <w:bCs/>
          <w:lang w:val="zh-TW"/>
        </w:rPr>
        <w:t>03</w:t>
      </w:r>
      <w:r>
        <w:rPr>
          <w:rFonts w:cs="Times New Roman"/>
          <w:bCs/>
          <w:lang w:val="zh-TW"/>
        </w:rPr>
        <w:t>〕</w:t>
      </w:r>
      <w:r>
        <w:rPr>
          <w:rFonts w:cs="Times New Roman"/>
          <w:bCs/>
        </w:rPr>
        <w:t>27号）、《公安部国家保密局国家密码管理局国务院信息化工作办公室关于印发信息安全等级保护管理办法的通知》（公通字〔2007〕43 号）等</w:t>
      </w:r>
      <w:r>
        <w:rPr>
          <w:rFonts w:cs="Times New Roman"/>
          <w:bCs/>
          <w:kern w:val="44"/>
        </w:rPr>
        <w:t>有关网络信息安全的工作要求设立，以</w:t>
      </w:r>
      <w:r>
        <w:rPr>
          <w:rFonts w:cs="Times New Roman"/>
          <w:bCs/>
        </w:rPr>
        <w:t>确保市民政局信息系统持续安全稳定运行为目标，为民政业务的高效、顺利开展提供支撑，具备现实需求，</w:t>
      </w:r>
      <w:r>
        <w:rPr>
          <w:rFonts w:cs="Times New Roman"/>
          <w:bCs/>
          <w:kern w:val="44"/>
        </w:rPr>
        <w:t>符合《北京市民政局网络信息安全规划（2021-2023年）》，与市民政局“负责统筹社会建设和民政系统信息与数据资源建设、管理”的职能相符，属于公共财政投入范围。</w:t>
      </w:r>
      <w:r>
        <w:rPr>
          <w:rFonts w:cs="Times New Roman"/>
          <w:bCs/>
        </w:rPr>
        <w:t>评价认为，项目立项依据充分。</w:t>
      </w:r>
    </w:p>
    <w:p>
      <w:pPr>
        <w:ind w:firstLine="640"/>
        <w:rPr>
          <w:rFonts w:cs="Times New Roman"/>
          <w:bCs/>
          <w:kern w:val="44"/>
        </w:rPr>
      </w:pPr>
      <w:r>
        <w:rPr>
          <w:rFonts w:cs="Times New Roman"/>
          <w:bCs/>
          <w:kern w:val="44"/>
        </w:rPr>
        <w:t>（2）立项程序规范性分析</w:t>
      </w:r>
    </w:p>
    <w:p>
      <w:pPr>
        <w:ind w:firstLine="640"/>
        <w:rPr>
          <w:rFonts w:cs="Times New Roman"/>
          <w:bCs/>
          <w:kern w:val="44"/>
        </w:rPr>
      </w:pPr>
      <w:r>
        <w:rPr>
          <w:rFonts w:cs="Times New Roman"/>
          <w:bCs/>
          <w:kern w:val="44"/>
        </w:rPr>
        <w:t>市民政局针对该项目开展了可行性研究分析以及专家论证工作，</w:t>
      </w:r>
      <w:r>
        <w:rPr>
          <w:rFonts w:cs="Times New Roman"/>
          <w:bCs/>
        </w:rPr>
        <w:t>经内部讨论后，形成项目申报书、绩效目标申报表和项目预算明细表等申报文本报财政部门申请立项。该项目经财政部门事前绩效评估后确定立项并取得预算批复。评价认为，项目立项程序较为规范，但未充分应用事前评估结果完善项目决策及管理。</w:t>
      </w:r>
    </w:p>
    <w:p>
      <w:pPr>
        <w:pStyle w:val="4"/>
        <w:ind w:firstLine="640"/>
        <w:rPr>
          <w:rFonts w:cs="Times New Roman"/>
          <w:b w:val="0"/>
        </w:rPr>
      </w:pPr>
      <w:bookmarkStart w:id="50" w:name="_Toc103094567"/>
      <w:r>
        <w:rPr>
          <w:rFonts w:cs="Times New Roman"/>
          <w:b w:val="0"/>
        </w:rPr>
        <w:t>2.绩效目标</w:t>
      </w:r>
      <w:bookmarkEnd w:id="50"/>
    </w:p>
    <w:p>
      <w:pPr>
        <w:ind w:firstLine="640"/>
        <w:rPr>
          <w:rFonts w:cs="Times New Roman"/>
          <w:bCs/>
          <w:kern w:val="44"/>
        </w:rPr>
      </w:pPr>
      <w:r>
        <w:rPr>
          <w:rFonts w:cs="Times New Roman"/>
          <w:bCs/>
          <w:kern w:val="44"/>
        </w:rPr>
        <w:t>该项目绩效目标基本明确，与项目预计解决的问题相关，与现实需求基本匹配。评价认为，该项目绩效目标设置较为规范，但个别绩效指标的明确性及合理性存在以下不足：</w:t>
      </w:r>
    </w:p>
    <w:p>
      <w:pPr>
        <w:ind w:firstLine="640"/>
        <w:rPr>
          <w:rFonts w:cs="Times New Roman"/>
          <w:bCs/>
          <w:kern w:val="44"/>
        </w:rPr>
      </w:pPr>
      <w:r>
        <w:rPr>
          <w:rFonts w:cs="Times New Roman"/>
          <w:bCs/>
          <w:kern w:val="44"/>
        </w:rPr>
        <w:t>一是个别指标表述不够细致，如产出指标未细致呈现其与项目各项实施内容的对应关系，服务对象满意度指标的“使用人员”未细化为局内工作人员和社会公众。二是个别指标的可衡量性不足，指标的实现程度无法得到有效验证，如社会效益指标“</w:t>
      </w:r>
      <w:r>
        <w:rPr>
          <w:rFonts w:cs="Times New Roman"/>
          <w:bCs/>
        </w:rPr>
        <w:t>相关系统的安全程度提升率达到10%以上”“办理各类民政业务的灵活性有所增强”。三是个别指标的指标值设置不够合理，</w:t>
      </w:r>
      <w:r>
        <w:rPr>
          <w:rFonts w:cs="Times New Roman"/>
          <w:bCs/>
          <w:kern w:val="44"/>
        </w:rPr>
        <w:t>如质量指标“</w:t>
      </w:r>
      <w:r>
        <w:rPr>
          <w:rFonts w:cs="Times New Roman"/>
          <w:bCs/>
        </w:rPr>
        <w:t>故障响应率”和“故障排除率</w:t>
      </w:r>
      <w:r>
        <w:rPr>
          <w:rFonts w:cs="Times New Roman"/>
          <w:bCs/>
          <w:kern w:val="44"/>
        </w:rPr>
        <w:t>”的指标值均设置为“</w:t>
      </w:r>
      <w:r>
        <w:rPr>
          <w:rFonts w:cs="Times New Roman"/>
          <w:bCs/>
        </w:rPr>
        <w:t>≥99%”，未按100%设置以充分保障系统安全稳定运行</w:t>
      </w:r>
      <w:r>
        <w:rPr>
          <w:rFonts w:cs="Times New Roman"/>
          <w:bCs/>
          <w:kern w:val="44"/>
        </w:rPr>
        <w:t>；成本指标设置为“</w:t>
      </w:r>
      <w:r>
        <w:rPr>
          <w:rFonts w:cs="Times New Roman"/>
          <w:bCs/>
        </w:rPr>
        <w:t>项目预算控制数≤354.20万元”，未按照预算评审后确定的预算规模339.08万元调整预算控制数。</w:t>
      </w:r>
    </w:p>
    <w:p>
      <w:pPr>
        <w:pStyle w:val="4"/>
        <w:ind w:firstLine="640"/>
        <w:rPr>
          <w:rFonts w:cs="Times New Roman"/>
          <w:b w:val="0"/>
        </w:rPr>
      </w:pPr>
      <w:bookmarkStart w:id="51" w:name="_Toc103094568"/>
      <w:r>
        <w:rPr>
          <w:rFonts w:cs="Times New Roman"/>
          <w:b w:val="0"/>
        </w:rPr>
        <w:t>3.资金投入</w:t>
      </w:r>
      <w:bookmarkEnd w:id="51"/>
    </w:p>
    <w:p>
      <w:pPr>
        <w:ind w:firstLine="640"/>
        <w:rPr>
          <w:rFonts w:cs="Times New Roman"/>
          <w:bCs/>
          <w:kern w:val="44"/>
        </w:rPr>
      </w:pPr>
      <w:r>
        <w:rPr>
          <w:rFonts w:cs="Times New Roman"/>
          <w:bCs/>
          <w:kern w:val="44"/>
        </w:rPr>
        <w:t>（1）预算编制科学性分析</w:t>
      </w:r>
    </w:p>
    <w:p>
      <w:pPr>
        <w:ind w:firstLine="640"/>
        <w:rPr>
          <w:rFonts w:cs="Times New Roman"/>
          <w:bCs/>
        </w:rPr>
      </w:pPr>
      <w:r>
        <w:rPr>
          <w:rFonts w:cs="Times New Roman"/>
          <w:bCs/>
        </w:rPr>
        <w:t>该项目属于延续性项目，市民政局根据以前年度项目服务内容及2021年服务需求，预估项目工作内容并确定购买服务量，按照2017年相关技术人员工资指导价位的平均数计算资金投入规模。评价认为，项目预算编制过程较为清晰，具有明确的预算测算依据和测算标准，但部分工作内容的工时、工资标准偏高，预算评审阶段存在审减。</w:t>
      </w:r>
    </w:p>
    <w:p>
      <w:pPr>
        <w:ind w:firstLine="640"/>
        <w:rPr>
          <w:rFonts w:cs="Times New Roman"/>
          <w:bCs/>
          <w:kern w:val="44"/>
        </w:rPr>
      </w:pPr>
      <w:r>
        <w:rPr>
          <w:rFonts w:cs="Times New Roman"/>
          <w:bCs/>
          <w:kern w:val="44"/>
        </w:rPr>
        <w:t>（2）资金分配合理性分析</w:t>
      </w:r>
    </w:p>
    <w:p>
      <w:pPr>
        <w:ind w:firstLine="640"/>
        <w:rPr>
          <w:rFonts w:cs="Times New Roman"/>
          <w:bCs/>
          <w:kern w:val="44"/>
        </w:rPr>
      </w:pPr>
      <w:r>
        <w:rPr>
          <w:rFonts w:cs="Times New Roman"/>
          <w:bCs/>
          <w:kern w:val="44"/>
        </w:rPr>
        <w:t>该项目预算总额484.40万元，</w:t>
      </w:r>
      <w:r>
        <w:rPr>
          <w:rFonts w:cs="Times New Roman"/>
          <w:bCs/>
        </w:rPr>
        <w:t>其中，本地安全服务162.60万元，云上安全服务224.40万元，信息系统等级测评和风险评估97.40万元，2021年度按照预算总额的70%申请预算。评价认为，项目资金分配方向与项目任务内容相符，但本地安全服务与云上安全服务</w:t>
      </w:r>
      <w:r>
        <w:rPr>
          <w:rFonts w:cs="Times New Roman"/>
          <w:bCs/>
          <w:kern w:val="44"/>
        </w:rPr>
        <w:t>的年度服务量变化及</w:t>
      </w:r>
      <w:r>
        <w:rPr>
          <w:rFonts w:cs="Times New Roman"/>
          <w:bCs/>
        </w:rPr>
        <w:t>资金需求变化不清晰，资金分配合理性有待进一步提升。</w:t>
      </w:r>
    </w:p>
    <w:p>
      <w:pPr>
        <w:pStyle w:val="3"/>
        <w:ind w:firstLine="640"/>
        <w:rPr>
          <w:rFonts w:ascii="Times New Roman" w:hAnsi="Times New Roman" w:cs="Times New Roman"/>
          <w:bCs/>
        </w:rPr>
      </w:pPr>
      <w:bookmarkStart w:id="52" w:name="_Toc515586353"/>
      <w:bookmarkStart w:id="53" w:name="_Toc103094569"/>
      <w:bookmarkStart w:id="54" w:name="_Toc103096321"/>
      <w:r>
        <w:rPr>
          <w:rFonts w:ascii="Times New Roman" w:hAnsi="Times New Roman" w:cs="Times New Roman"/>
          <w:bCs/>
        </w:rPr>
        <w:t>（二）项目</w:t>
      </w:r>
      <w:bookmarkEnd w:id="52"/>
      <w:r>
        <w:rPr>
          <w:rFonts w:ascii="Times New Roman" w:hAnsi="Times New Roman" w:cs="Times New Roman"/>
          <w:bCs/>
        </w:rPr>
        <w:t>过程情况</w:t>
      </w:r>
      <w:bookmarkEnd w:id="53"/>
      <w:bookmarkEnd w:id="54"/>
    </w:p>
    <w:p>
      <w:pPr>
        <w:pStyle w:val="4"/>
        <w:ind w:firstLine="640"/>
        <w:rPr>
          <w:rFonts w:cs="Times New Roman"/>
          <w:b w:val="0"/>
        </w:rPr>
      </w:pPr>
      <w:bookmarkStart w:id="55" w:name="_Toc103094570"/>
      <w:r>
        <w:rPr>
          <w:rFonts w:cs="Times New Roman"/>
          <w:b w:val="0"/>
        </w:rPr>
        <w:t>1.资金管理</w:t>
      </w:r>
      <w:bookmarkEnd w:id="55"/>
    </w:p>
    <w:p>
      <w:pPr>
        <w:ind w:firstLine="640"/>
        <w:rPr>
          <w:rFonts w:cs="Times New Roman"/>
          <w:bCs/>
        </w:rPr>
      </w:pPr>
      <w:r>
        <w:rPr>
          <w:rFonts w:cs="Times New Roman"/>
          <w:bCs/>
        </w:rPr>
        <w:t>2021年，该项目年初预算为354.20万元，经局内预算评审审减15.12万元，调整后预算为339.08万元。截至2021年12月31日，预算资金已经全部到位，实际资金支出338.80万元，资金执行率为99.92%，结余原因为政府采购节约。资金使用过程中，依托市民政局财务集成平台，做到了按流程审批、专款专用，未发现截留、挤占、挪用等违规违纪行为。评价认为，项目整体资金支出管理较为规范，但合同约定“甲方收到履约保函后7个工作日内向乙方支付合同金额的70%”，项目实施之初先行支付大部分合同费用存在一定风险。</w:t>
      </w:r>
    </w:p>
    <w:p>
      <w:pPr>
        <w:pStyle w:val="4"/>
        <w:ind w:firstLine="640"/>
        <w:rPr>
          <w:rFonts w:cs="Times New Roman"/>
          <w:b w:val="0"/>
        </w:rPr>
      </w:pPr>
      <w:bookmarkStart w:id="56" w:name="_Toc103094571"/>
      <w:r>
        <w:rPr>
          <w:rFonts w:cs="Times New Roman"/>
          <w:b w:val="0"/>
        </w:rPr>
        <w:t>2.组织实施</w:t>
      </w:r>
      <w:bookmarkEnd w:id="56"/>
    </w:p>
    <w:p>
      <w:pPr>
        <w:ind w:firstLine="640"/>
        <w:rPr>
          <w:rFonts w:cs="Times New Roman"/>
          <w:bCs/>
        </w:rPr>
      </w:pPr>
      <w:r>
        <w:rPr>
          <w:rFonts w:cs="Times New Roman"/>
          <w:bCs/>
          <w:szCs w:val="32"/>
        </w:rPr>
        <w:t>为确保项目完成质量</w:t>
      </w:r>
      <w:r>
        <w:rPr>
          <w:rFonts w:cs="Times New Roman"/>
          <w:bCs/>
        </w:rPr>
        <w:t>，市民政局成立了项目领导小组，由</w:t>
      </w:r>
      <w:r>
        <w:rPr>
          <w:rFonts w:cs="Times New Roman"/>
          <w:bCs/>
          <w:szCs w:val="32"/>
        </w:rPr>
        <w:t>标准与信息化处负责领导和统筹协调信息系统信息安全工作、建立健全信息安全工作机制、落实人员和工作经费及制定具体实施方案，由信息中心负责制定信息化管理和信息化技术运维的具体服务目标和服务内容、组织政府采购并具体执行。</w:t>
      </w:r>
      <w:r>
        <w:rPr>
          <w:rFonts w:cs="Times New Roman"/>
          <w:bCs/>
        </w:rPr>
        <w:t>为指导项目顺利实施，市民政局制定了项目实施方案，明确了项目总体实施计划、实施内容、质量要求及风险控制等内容。评价认为，项目组织机构健全、职责分工明确，但在组织实施方面仍存在以下不足:</w:t>
      </w:r>
    </w:p>
    <w:p>
      <w:pPr>
        <w:ind w:firstLine="640"/>
        <w:rPr>
          <w:rFonts w:cs="Times New Roman"/>
          <w:bCs/>
        </w:rPr>
      </w:pPr>
      <w:r>
        <w:rPr>
          <w:rFonts w:cs="Times New Roman"/>
          <w:bCs/>
        </w:rPr>
        <w:t>一是项目实施方案不够完整和细化。该项目的实施方案缺少项目整体层面的应急预案；缺少监督检查、验收流程，项目管理未能形成闭环；项目实施计划不够细化，未区分常规性安全服务和阶段性安全服务的验收标准，如数字证书服务属于全项目期的常规性任务，系统等级保护测试、风险评估等属于阶段性任务，实施计划和验收标准理应不同，但实施方案中未见区分。</w:t>
      </w:r>
    </w:p>
    <w:p>
      <w:pPr>
        <w:ind w:firstLine="640"/>
        <w:rPr>
          <w:rFonts w:cs="Times New Roman"/>
          <w:bCs/>
        </w:rPr>
      </w:pPr>
      <w:r>
        <w:rPr>
          <w:rFonts w:cs="Times New Roman"/>
          <w:bCs/>
        </w:rPr>
        <w:t>二是项目关键工作内容的内部控制不够严谨。项目总体计划中，政府采购、项目实施和项目验收均由</w:t>
      </w:r>
      <w:bookmarkStart w:id="96" w:name="_GoBack"/>
      <w:r>
        <w:rPr>
          <w:rFonts w:hint="eastAsia" w:cs="Times New Roman"/>
          <w:bCs/>
        </w:rPr>
        <w:t>同</w:t>
      </w:r>
      <w:r>
        <w:rPr>
          <w:rFonts w:cs="Times New Roman"/>
          <w:bCs/>
        </w:rPr>
        <w:t>一人</w:t>
      </w:r>
      <w:bookmarkEnd w:id="96"/>
      <w:r>
        <w:rPr>
          <w:rFonts w:cs="Times New Roman"/>
          <w:bCs/>
        </w:rPr>
        <w:t>主要负责，关键工作内容未体现不相容岗位相互分离的内控管理要求。</w:t>
      </w:r>
    </w:p>
    <w:p>
      <w:pPr>
        <w:ind w:firstLine="640"/>
        <w:rPr>
          <w:rFonts w:cs="Times New Roman"/>
          <w:bCs/>
        </w:rPr>
      </w:pPr>
      <w:r>
        <w:rPr>
          <w:rFonts w:cs="Times New Roman"/>
          <w:bCs/>
        </w:rPr>
        <w:t>三是项目合同管理有待加强。</w:t>
      </w:r>
      <w:bookmarkStart w:id="57" w:name="_Hlk103090914"/>
      <w:r>
        <w:rPr>
          <w:rFonts w:cs="Times New Roman"/>
          <w:bCs/>
        </w:rPr>
        <w:t>合同约定的个别服务内容不够合理，如本地安全服务-驻守服务内容值守时间为“5*8小时”，与政务大厅开放办公时间“7*8小时”不</w:t>
      </w:r>
      <w:r>
        <w:rPr>
          <w:rFonts w:hint="eastAsia" w:cs="Times New Roman"/>
          <w:bCs/>
        </w:rPr>
        <w:t>够</w:t>
      </w:r>
      <w:r>
        <w:rPr>
          <w:rFonts w:cs="Times New Roman"/>
          <w:bCs/>
        </w:rPr>
        <w:t>匹配，与市民政局信息系统安全运行“7*24小时”的运维需求不</w:t>
      </w:r>
      <w:r>
        <w:rPr>
          <w:rFonts w:hint="eastAsia" w:cs="Times New Roman"/>
          <w:bCs/>
        </w:rPr>
        <w:t>够</w:t>
      </w:r>
      <w:r>
        <w:rPr>
          <w:rFonts w:cs="Times New Roman"/>
          <w:bCs/>
        </w:rPr>
        <w:t>匹配。</w:t>
      </w:r>
      <w:bookmarkStart w:id="58" w:name="_Toc515586354"/>
    </w:p>
    <w:bookmarkEnd w:id="57"/>
    <w:p>
      <w:pPr>
        <w:ind w:firstLine="640"/>
        <w:rPr>
          <w:rFonts w:cs="Times New Roman"/>
          <w:bCs/>
        </w:rPr>
      </w:pPr>
      <w:r>
        <w:rPr>
          <w:rFonts w:cs="Times New Roman"/>
          <w:bCs/>
        </w:rPr>
        <w:t>四是过程管理资料归集有待完善。该项目所归集的过程管理资料主要为第三方服务过程记录单、驻场人员出勤记录及工作记录单等，缺少市民政局过程监督记录单、阶段性验收单</w:t>
      </w:r>
      <w:r>
        <w:rPr>
          <w:rFonts w:hint="eastAsia" w:cs="Times New Roman"/>
          <w:bCs/>
        </w:rPr>
        <w:t>及日常巡检记录单等资料</w:t>
      </w:r>
      <w:r>
        <w:rPr>
          <w:rFonts w:cs="Times New Roman"/>
          <w:bCs/>
        </w:rPr>
        <w:t>，管理职责及管理制度落实情况无法充分</w:t>
      </w:r>
      <w:r>
        <w:rPr>
          <w:rFonts w:hint="eastAsia" w:cs="Times New Roman"/>
          <w:bCs/>
        </w:rPr>
        <w:t>得到</w:t>
      </w:r>
      <w:r>
        <w:rPr>
          <w:rFonts w:cs="Times New Roman"/>
          <w:bCs/>
        </w:rPr>
        <w:t>验证。</w:t>
      </w:r>
    </w:p>
    <w:p>
      <w:pPr>
        <w:pStyle w:val="3"/>
        <w:ind w:firstLine="640"/>
        <w:rPr>
          <w:rFonts w:ascii="Times New Roman" w:hAnsi="Times New Roman" w:cs="Times New Roman"/>
          <w:bCs/>
        </w:rPr>
      </w:pPr>
      <w:bookmarkStart w:id="59" w:name="_Toc103094572"/>
      <w:bookmarkStart w:id="60" w:name="_Toc103096322"/>
      <w:r>
        <w:rPr>
          <w:rFonts w:ascii="Times New Roman" w:hAnsi="Times New Roman" w:cs="Times New Roman"/>
          <w:bCs/>
        </w:rPr>
        <w:t>（三）项目产出</w:t>
      </w:r>
      <w:bookmarkEnd w:id="58"/>
      <w:r>
        <w:rPr>
          <w:rFonts w:ascii="Times New Roman" w:hAnsi="Times New Roman" w:cs="Times New Roman"/>
          <w:bCs/>
        </w:rPr>
        <w:t>情况</w:t>
      </w:r>
      <w:bookmarkEnd w:id="59"/>
      <w:bookmarkEnd w:id="60"/>
    </w:p>
    <w:p>
      <w:pPr>
        <w:pStyle w:val="4"/>
        <w:ind w:firstLine="640"/>
        <w:rPr>
          <w:rFonts w:cs="Times New Roman"/>
          <w:b w:val="0"/>
        </w:rPr>
      </w:pPr>
      <w:bookmarkStart w:id="61" w:name="_Toc103094573"/>
      <w:r>
        <w:rPr>
          <w:rFonts w:cs="Times New Roman"/>
          <w:b w:val="0"/>
        </w:rPr>
        <w:t>1.产出数量</w:t>
      </w:r>
      <w:bookmarkEnd w:id="61"/>
    </w:p>
    <w:p>
      <w:pPr>
        <w:ind w:firstLine="640"/>
        <w:rPr>
          <w:rFonts w:cs="Times New Roman"/>
          <w:bCs/>
        </w:rPr>
      </w:pPr>
      <w:r>
        <w:rPr>
          <w:rFonts w:cs="Times New Roman"/>
          <w:bCs/>
        </w:rPr>
        <w:t>项目数量指标完成情况为：</w:t>
      </w:r>
      <w:bookmarkStart w:id="62" w:name="_Hlk103077028"/>
      <w:r>
        <w:rPr>
          <w:rFonts w:cs="Times New Roman"/>
          <w:bCs/>
        </w:rPr>
        <w:t>2021年度系统（主机）运维数量282个；风险评估系统数量</w:t>
      </w:r>
      <w:bookmarkEnd w:id="62"/>
      <w:r>
        <w:rPr>
          <w:rFonts w:cs="Times New Roman"/>
          <w:bCs/>
        </w:rPr>
        <w:t>5个；等保三级测评系统数量5个；等保二级测评系统数量1个；脆弱性检测云主机数量188台；数字证书服务/电子印章制作数量中，个人签章不少于2600个，法人公章不少于77个；数字证书服务覆盖智能密码钥匙数量53个；数字证书服务覆盖个人数字证书数量53个；密码云服务覆盖系统数量3个；签名验证服务覆盖用户数34000个；强身份认证服务覆盖系统数量26个；个人云签名服务覆盖用户数34000个；渗透测试站点数量28个；非涉密终端安全保密检查次数1次。评价认为，除个别指标由于客观原因未能达成外，项目绝大部分产出数量指标完成情况较好。个别指标未完成原因如下：由于行政与党务管理平台迁入市级办公云，市级办公云于2021年下半年进行等保测评，无法进行风险评估，风险评估系统数量未达到年度目标值；由于市民政局采用个人云签名方式登录系统，智能密码钥匙使用数量降低，数字证书服务覆盖智能密码钥匙数量、数字证书服务覆盖个人数字证书数量未达成年度目标值。</w:t>
      </w:r>
    </w:p>
    <w:p>
      <w:pPr>
        <w:pStyle w:val="4"/>
        <w:ind w:firstLine="640"/>
        <w:rPr>
          <w:rFonts w:cs="Times New Roman"/>
          <w:b w:val="0"/>
        </w:rPr>
      </w:pPr>
      <w:bookmarkStart w:id="63" w:name="_Toc103094574"/>
      <w:r>
        <w:rPr>
          <w:rFonts w:cs="Times New Roman"/>
          <w:b w:val="0"/>
        </w:rPr>
        <w:t>2.产出质量</w:t>
      </w:r>
      <w:bookmarkEnd w:id="63"/>
    </w:p>
    <w:p>
      <w:pPr>
        <w:ind w:firstLine="640"/>
        <w:rPr>
          <w:rFonts w:cs="Times New Roman"/>
          <w:bCs/>
        </w:rPr>
      </w:pPr>
      <w:r>
        <w:rPr>
          <w:rFonts w:cs="Times New Roman"/>
          <w:bCs/>
        </w:rPr>
        <w:t>该项目仍在实施周期内，尚未进行履约验收，未见阶段性验收和年度产出质量评价报告，各质量指标实际完成值暂无统计数据，但截至目前未发生系统安全事故，系统安全稳定运行情况良好。评价认为，截至目前产出质量良好，但产出质量控制措施有待完善。</w:t>
      </w:r>
    </w:p>
    <w:p>
      <w:pPr>
        <w:pStyle w:val="4"/>
        <w:ind w:firstLine="640"/>
        <w:rPr>
          <w:rFonts w:cs="Times New Roman"/>
          <w:b w:val="0"/>
        </w:rPr>
      </w:pPr>
      <w:bookmarkStart w:id="64" w:name="_Toc103094575"/>
      <w:r>
        <w:rPr>
          <w:rFonts w:cs="Times New Roman"/>
          <w:b w:val="0"/>
        </w:rPr>
        <w:t>3.产出时效</w:t>
      </w:r>
      <w:bookmarkEnd w:id="64"/>
    </w:p>
    <w:p>
      <w:pPr>
        <w:ind w:firstLine="640"/>
        <w:rPr>
          <w:rFonts w:cs="Times New Roman"/>
          <w:bCs/>
        </w:rPr>
      </w:pPr>
      <w:r>
        <w:rPr>
          <w:rFonts w:cs="Times New Roman"/>
          <w:bCs/>
        </w:rPr>
        <w:t>项目招投标完成之间为2021年6月、经费支出时间为2021年7月，均达到年度指标值。经查看故障攻击处理情况工单、信息安全通告、月报等资料，未见安全事件响应时间、系统运维响应时间的统计数据。评价认为，个别产出时效指标的完成情况缺乏有效支撑，但项目总体实施进度良好。</w:t>
      </w:r>
    </w:p>
    <w:p>
      <w:pPr>
        <w:pStyle w:val="4"/>
        <w:ind w:firstLine="640"/>
        <w:rPr>
          <w:rFonts w:cs="Times New Roman"/>
          <w:b w:val="0"/>
        </w:rPr>
      </w:pPr>
      <w:bookmarkStart w:id="65" w:name="_Toc103094576"/>
      <w:r>
        <w:rPr>
          <w:rFonts w:cs="Times New Roman"/>
          <w:b w:val="0"/>
        </w:rPr>
        <w:t>4.产出成本</w:t>
      </w:r>
      <w:bookmarkEnd w:id="65"/>
    </w:p>
    <w:p>
      <w:pPr>
        <w:ind w:firstLine="640"/>
        <w:rPr>
          <w:rFonts w:cs="Times New Roman"/>
          <w:bCs/>
        </w:rPr>
      </w:pPr>
      <w:r>
        <w:rPr>
          <w:rFonts w:cs="Times New Roman"/>
          <w:bCs/>
        </w:rPr>
        <w:t>2021年项目共支出338.80万元，未超出预算控制数。评价认为，市民政局通过预算评审、政府采购等方式节约了项目成本，达成了既定成本指标，但从完善项目成本控制措施的角度，建议进行项目成本绩效分析，不断实现降本增效。</w:t>
      </w:r>
    </w:p>
    <w:p>
      <w:pPr>
        <w:pStyle w:val="3"/>
        <w:ind w:firstLine="640"/>
        <w:rPr>
          <w:rFonts w:ascii="Times New Roman" w:hAnsi="Times New Roman" w:cs="Times New Roman"/>
          <w:bCs/>
        </w:rPr>
      </w:pPr>
      <w:bookmarkStart w:id="66" w:name="_Toc103096323"/>
      <w:bookmarkStart w:id="67" w:name="_Toc103094577"/>
      <w:r>
        <w:rPr>
          <w:rFonts w:ascii="Times New Roman" w:hAnsi="Times New Roman" w:cs="Times New Roman"/>
          <w:bCs/>
        </w:rPr>
        <w:t>（四）项目效益情况</w:t>
      </w:r>
      <w:bookmarkEnd w:id="66"/>
      <w:bookmarkEnd w:id="67"/>
    </w:p>
    <w:p>
      <w:pPr>
        <w:pStyle w:val="4"/>
        <w:ind w:firstLine="640"/>
        <w:rPr>
          <w:rFonts w:cs="Times New Roman"/>
          <w:b w:val="0"/>
          <w:color w:val="000000"/>
        </w:rPr>
      </w:pPr>
      <w:bookmarkStart w:id="68" w:name="_Toc103094578"/>
      <w:r>
        <w:rPr>
          <w:rFonts w:cs="Times New Roman"/>
          <w:b w:val="0"/>
          <w:color w:val="000000"/>
        </w:rPr>
        <w:t>1.</w:t>
      </w:r>
      <w:r>
        <w:rPr>
          <w:rFonts w:cs="Times New Roman"/>
          <w:b w:val="0"/>
        </w:rPr>
        <w:t>社会效益及可持续影响分析</w:t>
      </w:r>
      <w:bookmarkEnd w:id="68"/>
    </w:p>
    <w:p>
      <w:pPr>
        <w:ind w:firstLine="640"/>
        <w:rPr>
          <w:rFonts w:cs="Times New Roman"/>
          <w:bCs/>
          <w:color w:val="000000"/>
        </w:rPr>
      </w:pPr>
      <w:r>
        <w:rPr>
          <w:rFonts w:cs="Times New Roman"/>
          <w:bCs/>
          <w:color w:val="000000"/>
        </w:rPr>
        <w:t>市民政局信息系统承载和传输着大量重要的业务数据，市民政局委托第三方专业机构提供本地安全服务、云上安全服务及</w:t>
      </w:r>
      <w:r>
        <w:rPr>
          <w:rFonts w:cs="Times New Roman"/>
          <w:bCs/>
        </w:rPr>
        <w:t>信息系统等级测评和风险评估</w:t>
      </w:r>
      <w:r>
        <w:rPr>
          <w:rFonts w:cs="Times New Roman"/>
          <w:bCs/>
          <w:color w:val="000000"/>
        </w:rPr>
        <w:t>，为信息系统的安全稳定运行提供了保障，为业务高效顺利开展提供了支撑。项目实施设计了《北京市民政局婚姻登记系统专项应急预案》等信息安全管理方案，对提高市民政局信息安全管理能力具有促进作用。评价认为，项目社会效益及可持续影响良好。</w:t>
      </w:r>
    </w:p>
    <w:p>
      <w:pPr>
        <w:pStyle w:val="4"/>
        <w:ind w:firstLine="640"/>
        <w:rPr>
          <w:rFonts w:cs="Times New Roman"/>
          <w:b w:val="0"/>
        </w:rPr>
      </w:pPr>
      <w:bookmarkStart w:id="69" w:name="_Toc103094579"/>
      <w:r>
        <w:rPr>
          <w:rFonts w:cs="Times New Roman"/>
          <w:b w:val="0"/>
        </w:rPr>
        <w:t>2.服务对象满意度分析</w:t>
      </w:r>
      <w:bookmarkEnd w:id="69"/>
      <w:bookmarkStart w:id="70" w:name="_Hlk103088464"/>
    </w:p>
    <w:p>
      <w:pPr>
        <w:ind w:firstLine="640"/>
        <w:rPr>
          <w:rFonts w:cs="Times New Roman"/>
          <w:bCs/>
        </w:rPr>
      </w:pPr>
      <w:r>
        <w:rPr>
          <w:rFonts w:cs="Times New Roman"/>
          <w:bCs/>
        </w:rPr>
        <w:t>目前项目仍在实施过程中，市民政局尚未进行满意度调查。为</w:t>
      </w:r>
      <w:r>
        <w:rPr>
          <w:rFonts w:cs="Times New Roman"/>
          <w:bCs/>
          <w:szCs w:val="32"/>
        </w:rPr>
        <w:t>提升信息安全服务效率及服务水平，服务单位从信息系统安全服务、单项服务、总体服务质量三个方面进行了满意度调查，共发放问卷7份，收回有效问卷7份，综合满意度为97.30%。评价认为，当前资料显示满意度较高，但该满意度调查样本量偏小，建议市民政局自行开展满意度调查，扩大样本量，丰富调查内容，及时发现问题并督促整改，不断提高项目支出绩效水平。</w:t>
      </w:r>
    </w:p>
    <w:bookmarkEnd w:id="70"/>
    <w:p>
      <w:pPr>
        <w:pStyle w:val="2"/>
        <w:spacing w:line="560" w:lineRule="exact"/>
        <w:ind w:firstLine="640"/>
        <w:rPr>
          <w:rFonts w:eastAsia="黑体" w:cs="Times New Roman"/>
          <w:b w:val="0"/>
          <w:bCs w:val="0"/>
          <w:szCs w:val="32"/>
        </w:rPr>
      </w:pPr>
      <w:bookmarkStart w:id="71" w:name="_Toc515586356"/>
      <w:bookmarkStart w:id="72" w:name="_Toc103094580"/>
      <w:bookmarkStart w:id="73" w:name="_Toc103096324"/>
      <w:r>
        <w:rPr>
          <w:rFonts w:eastAsia="黑体" w:cs="Times New Roman"/>
          <w:b w:val="0"/>
          <w:bCs w:val="0"/>
          <w:szCs w:val="32"/>
        </w:rPr>
        <w:t>五、</w:t>
      </w:r>
      <w:bookmarkEnd w:id="71"/>
      <w:r>
        <w:rPr>
          <w:rFonts w:eastAsia="黑体" w:cs="Times New Roman"/>
          <w:b w:val="0"/>
          <w:bCs w:val="0"/>
          <w:szCs w:val="32"/>
        </w:rPr>
        <w:t>主要经验及做法、存在的问题及原因分析</w:t>
      </w:r>
      <w:bookmarkEnd w:id="72"/>
      <w:bookmarkEnd w:id="73"/>
    </w:p>
    <w:p>
      <w:pPr>
        <w:pStyle w:val="3"/>
        <w:ind w:firstLine="640"/>
        <w:rPr>
          <w:rFonts w:ascii="Times New Roman" w:hAnsi="Times New Roman" w:cs="Times New Roman"/>
          <w:bCs/>
        </w:rPr>
      </w:pPr>
      <w:bookmarkStart w:id="74" w:name="_Toc103094581"/>
      <w:bookmarkStart w:id="75" w:name="_Toc103096325"/>
      <w:r>
        <w:rPr>
          <w:rFonts w:ascii="Times New Roman" w:hAnsi="Times New Roman" w:cs="Times New Roman"/>
          <w:bCs/>
        </w:rPr>
        <w:t>（一）主要经验及做法</w:t>
      </w:r>
      <w:bookmarkEnd w:id="74"/>
      <w:bookmarkEnd w:id="75"/>
    </w:p>
    <w:p>
      <w:pPr>
        <w:ind w:firstLine="640"/>
        <w:rPr>
          <w:rFonts w:cs="Times New Roman"/>
          <w:bCs/>
        </w:rPr>
      </w:pPr>
      <w:bookmarkStart w:id="76" w:name="_Toc74305490"/>
      <w:r>
        <w:rPr>
          <w:rFonts w:cs="Times New Roman"/>
          <w:bCs/>
        </w:rPr>
        <w:t>项目立项前，市民政局委托专业咨询机构对该项目进行论证，一定程度上保障了项目实施内容的必要性和可行性；项目立项后，委托第三方机构对项目预算进行评审，对申报预算的合理性进行论证，一定程度上保障了资金投入的经济性。</w:t>
      </w:r>
      <w:bookmarkEnd w:id="76"/>
    </w:p>
    <w:p>
      <w:pPr>
        <w:pStyle w:val="3"/>
        <w:ind w:firstLine="640"/>
        <w:rPr>
          <w:rFonts w:ascii="Times New Roman" w:hAnsi="Times New Roman" w:cs="Times New Roman"/>
          <w:bCs/>
        </w:rPr>
      </w:pPr>
      <w:bookmarkStart w:id="77" w:name="_Toc103096326"/>
      <w:bookmarkStart w:id="78" w:name="_Toc103094582"/>
      <w:r>
        <w:rPr>
          <w:rFonts w:ascii="Times New Roman" w:hAnsi="Times New Roman" w:cs="Times New Roman"/>
          <w:bCs/>
        </w:rPr>
        <w:t>（二）存在的问题及原因分析</w:t>
      </w:r>
      <w:bookmarkEnd w:id="77"/>
      <w:bookmarkEnd w:id="78"/>
      <w:bookmarkStart w:id="79" w:name="_Hlk103092622"/>
    </w:p>
    <w:p>
      <w:pPr>
        <w:ind w:firstLine="640"/>
        <w:rPr>
          <w:rFonts w:cs="Times New Roman"/>
          <w:bCs/>
          <w:color w:val="000000"/>
        </w:rPr>
      </w:pPr>
      <w:r>
        <w:rPr>
          <w:rFonts w:cs="Times New Roman"/>
          <w:bCs/>
          <w:kern w:val="44"/>
        </w:rPr>
        <w:t>1.实施方案不够完整和细化，</w:t>
      </w:r>
      <w:r>
        <w:rPr>
          <w:rFonts w:cs="Times New Roman"/>
          <w:bCs/>
        </w:rPr>
        <w:t>过程管理水平有待提高</w:t>
      </w:r>
    </w:p>
    <w:p>
      <w:pPr>
        <w:ind w:firstLine="640"/>
        <w:rPr>
          <w:rFonts w:cs="Times New Roman"/>
          <w:bCs/>
          <w:color w:val="000000"/>
        </w:rPr>
      </w:pPr>
      <w:r>
        <w:rPr>
          <w:rFonts w:cs="Times New Roman"/>
          <w:bCs/>
          <w:color w:val="000000"/>
        </w:rPr>
        <w:t>一是项目实施方案不够完整和细化</w:t>
      </w:r>
      <w:r>
        <w:rPr>
          <w:rFonts w:cs="Times New Roman"/>
          <w:bCs/>
        </w:rPr>
        <w:t>，表现为整体层面的应急预案、监督检查及验收流程缺失，验收标准不够细化。二是项目关键工作内容内部控制不足</w:t>
      </w:r>
      <w:r>
        <w:rPr>
          <w:rFonts w:cs="Times New Roman"/>
          <w:bCs/>
          <w:color w:val="000000"/>
        </w:rPr>
        <w:t>，不符合</w:t>
      </w:r>
      <w:r>
        <w:rPr>
          <w:rFonts w:cs="Times New Roman"/>
          <w:bCs/>
        </w:rPr>
        <w:t>不相容岗位相互分离的内控管理要求。</w:t>
      </w:r>
      <w:r>
        <w:rPr>
          <w:rFonts w:cs="Times New Roman"/>
          <w:bCs/>
          <w:color w:val="000000"/>
        </w:rPr>
        <w:t>三是项目合同管理有待加强，个别服务内容约定不够合理，未就服务内容调整签订补充协议。</w:t>
      </w:r>
    </w:p>
    <w:p>
      <w:pPr>
        <w:ind w:firstLine="640"/>
        <w:rPr>
          <w:rFonts w:cs="Times New Roman"/>
          <w:bCs/>
          <w:kern w:val="44"/>
        </w:rPr>
      </w:pPr>
      <w:r>
        <w:rPr>
          <w:rFonts w:cs="Times New Roman"/>
          <w:bCs/>
          <w:kern w:val="44"/>
        </w:rPr>
        <w:t>2.</w:t>
      </w:r>
      <w:r>
        <w:rPr>
          <w:rFonts w:cs="Times New Roman"/>
          <w:bCs/>
        </w:rPr>
        <w:t>绩效目标设置有待完善，</w:t>
      </w:r>
      <w:r>
        <w:rPr>
          <w:rFonts w:cs="Times New Roman"/>
          <w:bCs/>
          <w:color w:val="000000"/>
        </w:rPr>
        <w:t>绩效资料归集不够完整</w:t>
      </w:r>
    </w:p>
    <w:p>
      <w:pPr>
        <w:ind w:firstLine="640"/>
        <w:rPr>
          <w:rFonts w:cs="Times New Roman"/>
          <w:bCs/>
          <w:kern w:val="44"/>
        </w:rPr>
      </w:pPr>
      <w:r>
        <w:rPr>
          <w:rFonts w:cs="Times New Roman"/>
          <w:bCs/>
          <w:kern w:val="44"/>
        </w:rPr>
        <w:t>目标设置方面，个别产出指标及满意度指标表述不够细化，个别质量指标和成本指标的指标值略显保守，个别效益指标可衡量性不足。绩效资料归集方面，</w:t>
      </w:r>
      <w:r>
        <w:rPr>
          <w:rFonts w:cs="Times New Roman"/>
          <w:bCs/>
          <w:color w:val="000000"/>
        </w:rPr>
        <w:t>缺少市民政局对项目实施过程的监督管理资料，反映项目在预算年度内完成质量、时效和效果的佐证资料不够完整</w:t>
      </w:r>
      <w:r>
        <w:rPr>
          <w:rFonts w:cs="Times New Roman"/>
          <w:bCs/>
          <w:kern w:val="44"/>
        </w:rPr>
        <w:t>。</w:t>
      </w:r>
    </w:p>
    <w:p>
      <w:pPr>
        <w:ind w:firstLine="640"/>
        <w:rPr>
          <w:rFonts w:cs="Times New Roman"/>
          <w:bCs/>
          <w:kern w:val="44"/>
        </w:rPr>
      </w:pPr>
      <w:r>
        <w:rPr>
          <w:rFonts w:cs="Times New Roman"/>
          <w:bCs/>
          <w:kern w:val="44"/>
        </w:rPr>
        <w:t>3.预算管理有待进一步完善</w:t>
      </w:r>
    </w:p>
    <w:p>
      <w:pPr>
        <w:ind w:firstLine="640"/>
        <w:rPr>
          <w:rFonts w:cs="Times New Roman"/>
          <w:bCs/>
          <w:kern w:val="44"/>
        </w:rPr>
      </w:pPr>
      <w:r>
        <w:rPr>
          <w:rFonts w:cs="Times New Roman"/>
          <w:bCs/>
          <w:kern w:val="44"/>
        </w:rPr>
        <w:t>预算编制方面，部分工作内容的工时、工资标准偏高，预算评审阶段存在审减。资金分配方面，本地安全服务与云上安全服务的年度服务量变化及资金需求变化不清晰，资金分配合理性有待进一步提升。资金管理方面，项目实施之初先行支付70%的合同费用存在一定风险。</w:t>
      </w:r>
    </w:p>
    <w:bookmarkEnd w:id="79"/>
    <w:p>
      <w:pPr>
        <w:pStyle w:val="2"/>
        <w:spacing w:line="560" w:lineRule="exact"/>
        <w:ind w:firstLine="640"/>
        <w:rPr>
          <w:rFonts w:eastAsia="黑体" w:cs="Times New Roman"/>
          <w:b w:val="0"/>
          <w:bCs w:val="0"/>
          <w:szCs w:val="32"/>
        </w:rPr>
      </w:pPr>
      <w:bookmarkStart w:id="80" w:name="_Toc21478"/>
      <w:bookmarkStart w:id="81" w:name="_Toc22688"/>
      <w:bookmarkStart w:id="82" w:name="_Toc515586361"/>
      <w:bookmarkStart w:id="83" w:name="_Toc12426"/>
      <w:bookmarkStart w:id="84" w:name="_Toc15164"/>
      <w:bookmarkStart w:id="85" w:name="_Toc103096327"/>
      <w:bookmarkStart w:id="86" w:name="_Toc103094583"/>
      <w:r>
        <w:rPr>
          <w:rFonts w:eastAsia="黑体" w:cs="Times New Roman"/>
          <w:b w:val="0"/>
          <w:bCs w:val="0"/>
          <w:szCs w:val="32"/>
        </w:rPr>
        <w:t>六、有关建议</w:t>
      </w:r>
      <w:bookmarkEnd w:id="80"/>
      <w:bookmarkEnd w:id="81"/>
      <w:bookmarkEnd w:id="82"/>
      <w:bookmarkEnd w:id="83"/>
      <w:bookmarkEnd w:id="84"/>
      <w:bookmarkEnd w:id="85"/>
      <w:bookmarkEnd w:id="86"/>
    </w:p>
    <w:p>
      <w:pPr>
        <w:pStyle w:val="3"/>
        <w:ind w:firstLine="640"/>
        <w:rPr>
          <w:rFonts w:ascii="Times New Roman" w:hAnsi="Times New Roman" w:cs="Times New Roman"/>
        </w:rPr>
      </w:pPr>
      <w:bookmarkStart w:id="87" w:name="_Toc72425329"/>
      <w:bookmarkStart w:id="88" w:name="_Toc103094584"/>
      <w:bookmarkStart w:id="89" w:name="_Toc103096328"/>
      <w:r>
        <w:rPr>
          <w:rFonts w:ascii="Times New Roman" w:hAnsi="Times New Roman" w:cs="Times New Roman"/>
          <w:bCs/>
        </w:rPr>
        <w:t>（一）</w:t>
      </w:r>
      <w:bookmarkEnd w:id="87"/>
      <w:r>
        <w:rPr>
          <w:rFonts w:ascii="Times New Roman" w:hAnsi="Times New Roman" w:cs="Times New Roman"/>
        </w:rPr>
        <w:t>加强项目组织管理，提升过程管理水平</w:t>
      </w:r>
      <w:bookmarkEnd w:id="88"/>
      <w:bookmarkEnd w:id="89"/>
    </w:p>
    <w:p>
      <w:pPr>
        <w:ind w:firstLine="640"/>
        <w:rPr>
          <w:rFonts w:cs="Times New Roman"/>
          <w:bCs/>
        </w:rPr>
      </w:pPr>
      <w:bookmarkStart w:id="90" w:name="_Toc72425331"/>
      <w:r>
        <w:rPr>
          <w:rFonts w:cs="Times New Roman"/>
          <w:bCs/>
        </w:rPr>
        <w:t>一是建议重视实施方案的指导作用，在项目实施前编制更为详细具体的方案计划，明确各项工作质量要求、风险防控措施等内容。二是建议落实内部控制要求，关键工作内容由不同人员负责，完善制衡关系。三是建议加强合同管理，关注合同约定服务事项与现实需求的匹配度、合同约定付款进度与资金管理需求的匹配度。</w:t>
      </w:r>
    </w:p>
    <w:p>
      <w:pPr>
        <w:pStyle w:val="3"/>
        <w:ind w:firstLine="640"/>
        <w:rPr>
          <w:rFonts w:ascii="Times New Roman" w:hAnsi="Times New Roman" w:cs="Times New Roman"/>
          <w:b/>
          <w:bCs/>
        </w:rPr>
      </w:pPr>
      <w:bookmarkStart w:id="91" w:name="_Toc103096329"/>
      <w:bookmarkStart w:id="92" w:name="_Toc103094585"/>
      <w:r>
        <w:rPr>
          <w:rFonts w:ascii="Times New Roman" w:hAnsi="Times New Roman" w:cs="Times New Roman"/>
        </w:rPr>
        <w:t>（二）</w:t>
      </w:r>
      <w:r>
        <w:rPr>
          <w:rFonts w:ascii="Times New Roman" w:hAnsi="Times New Roman" w:cs="Times New Roman"/>
          <w:bCs/>
        </w:rPr>
        <w:t>强化立项论证，提高资金投入科学性</w:t>
      </w:r>
      <w:bookmarkEnd w:id="91"/>
      <w:bookmarkEnd w:id="92"/>
    </w:p>
    <w:p>
      <w:pPr>
        <w:ind w:firstLine="640"/>
        <w:rPr>
          <w:rFonts w:cs="Times New Roman"/>
        </w:rPr>
      </w:pPr>
      <w:r>
        <w:rPr>
          <w:rFonts w:cs="Times New Roman"/>
          <w:bCs/>
        </w:rPr>
        <w:t>为提高预算编制合理性、资金分配合理性，</w:t>
      </w:r>
      <w:r>
        <w:rPr>
          <w:rFonts w:cs="Times New Roman"/>
        </w:rPr>
        <w:t>建议进一步梳理计划开展各项服务内容的保障条件，合理预估工作量，明确工作量与资金投入的匹配关系，保证预算测算的准确性。同时，明确预算编制所依据的政策文件，结合项目实际服务内容，科学编制项目预算。</w:t>
      </w:r>
    </w:p>
    <w:p>
      <w:pPr>
        <w:pStyle w:val="3"/>
        <w:ind w:firstLine="640"/>
        <w:rPr>
          <w:rFonts w:ascii="Times New Roman" w:hAnsi="Times New Roman" w:cs="Times New Roman"/>
          <w:b/>
        </w:rPr>
      </w:pPr>
      <w:bookmarkStart w:id="93" w:name="_Toc103096330"/>
      <w:r>
        <w:rPr>
          <w:rFonts w:ascii="Times New Roman" w:hAnsi="Times New Roman" w:cs="Times New Roman"/>
        </w:rPr>
        <w:t>（三）</w:t>
      </w:r>
      <w:bookmarkEnd w:id="90"/>
      <w:bookmarkEnd w:id="93"/>
      <w:r>
        <w:rPr>
          <w:rFonts w:ascii="Times New Roman" w:hAnsi="Times New Roman" w:cs="Times New Roman"/>
        </w:rPr>
        <w:t>提升绩效管理意识，加强绩效资料归集工作</w:t>
      </w:r>
    </w:p>
    <w:p>
      <w:pPr>
        <w:ind w:firstLine="640"/>
        <w:rPr>
          <w:rFonts w:cs="Times New Roman"/>
          <w:bCs/>
        </w:rPr>
      </w:pPr>
      <w:r>
        <w:rPr>
          <w:rFonts w:cs="Times New Roman"/>
          <w:bCs/>
        </w:rPr>
        <w:t>一是建议持续提升预算绩效管理水平，深入分析业务特点和工作重点，依据相关规划、计划，聚焦年度重点任务，有针对性地设置与年度任务、总体目标及预算额度契合度高的指标，为开展项目绩效目标管理和后续绩效评价夯实基础。二是建议认真总结项目绩效成果，做好统计分析，明确项目的效益实现情况，并做好相关佐证材料的归集。三是建议重视满意度调查，明确服务对象和受益群体，依据项目内容和管理要求，科学设计调查问卷，并加强对问卷的统计分析和结果应用，持续推进项目绩效的改进和提升。</w:t>
      </w:r>
    </w:p>
    <w:p>
      <w:pPr>
        <w:pStyle w:val="2"/>
        <w:spacing w:line="560" w:lineRule="exact"/>
        <w:ind w:firstLine="640"/>
        <w:rPr>
          <w:rFonts w:eastAsia="黑体" w:cs="Times New Roman"/>
          <w:b w:val="0"/>
          <w:bCs w:val="0"/>
          <w:szCs w:val="32"/>
        </w:rPr>
      </w:pPr>
      <w:bookmarkStart w:id="94" w:name="_Toc103094586"/>
      <w:bookmarkStart w:id="95" w:name="_Toc103096331"/>
      <w:r>
        <w:rPr>
          <w:rFonts w:eastAsia="黑体" w:cs="Times New Roman"/>
          <w:b w:val="0"/>
          <w:bCs w:val="0"/>
          <w:szCs w:val="32"/>
        </w:rPr>
        <w:t>七、其他需要说明的问题</w:t>
      </w:r>
      <w:bookmarkEnd w:id="94"/>
      <w:bookmarkEnd w:id="95"/>
    </w:p>
    <w:p>
      <w:pPr>
        <w:ind w:firstLine="640"/>
        <w:rPr>
          <w:rFonts w:cs="Times New Roman"/>
        </w:rPr>
      </w:pPr>
      <w:r>
        <w:rPr>
          <w:rFonts w:cs="Times New Roman"/>
        </w:rPr>
        <w:t>本次评价对项目决策、过程、产出、效益进行评价，评价工作组以市民政局提供的评价材料为基础，通过资料审核、电话沟通等方式核实评价材料完整性、真实性，邀请专家组成评价专家组对项目材料进行综合分析和专业评价，在此基础上形成专家意见汇总书，完成“2021年度民政信息安全工作服务”项目绩效评价报告。</w:t>
      </w:r>
    </w:p>
    <w:p>
      <w:pPr>
        <w:ind w:firstLine="0" w:firstLineChars="0"/>
        <w:rPr>
          <w:rFonts w:eastAsia="仿宋_GB2312" w:cs="Times New Roman"/>
          <w:snapToGrid w:val="0"/>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ind w:firstLine="560"/>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p>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60"/>
  <w:drawingGridVerticalSpacing w:val="435"/>
  <w:displayHorizontalDrawingGridEvery w:val="2"/>
  <w:displayVerticalDrawingGridEvery w:val="1"/>
  <w:noPunctuationKerning w:val="1"/>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E43F1"/>
    <w:rsid w:val="00000383"/>
    <w:rsid w:val="0000045D"/>
    <w:rsid w:val="00001157"/>
    <w:rsid w:val="000012B4"/>
    <w:rsid w:val="0000261B"/>
    <w:rsid w:val="00002BA5"/>
    <w:rsid w:val="00002E80"/>
    <w:rsid w:val="00003A73"/>
    <w:rsid w:val="00003BD8"/>
    <w:rsid w:val="0000413E"/>
    <w:rsid w:val="00004D7C"/>
    <w:rsid w:val="00005487"/>
    <w:rsid w:val="000055D1"/>
    <w:rsid w:val="00006E34"/>
    <w:rsid w:val="0000749F"/>
    <w:rsid w:val="000103DE"/>
    <w:rsid w:val="00013539"/>
    <w:rsid w:val="000138A0"/>
    <w:rsid w:val="00013FD4"/>
    <w:rsid w:val="00017051"/>
    <w:rsid w:val="000174BD"/>
    <w:rsid w:val="00020166"/>
    <w:rsid w:val="0002078D"/>
    <w:rsid w:val="00021326"/>
    <w:rsid w:val="000222D6"/>
    <w:rsid w:val="00025CCB"/>
    <w:rsid w:val="00026934"/>
    <w:rsid w:val="00026942"/>
    <w:rsid w:val="00027CD3"/>
    <w:rsid w:val="000304E4"/>
    <w:rsid w:val="0003074C"/>
    <w:rsid w:val="0003101E"/>
    <w:rsid w:val="00031B4A"/>
    <w:rsid w:val="00031D1E"/>
    <w:rsid w:val="0003242F"/>
    <w:rsid w:val="000327BF"/>
    <w:rsid w:val="00032CEF"/>
    <w:rsid w:val="00033BAD"/>
    <w:rsid w:val="00033D31"/>
    <w:rsid w:val="00034A66"/>
    <w:rsid w:val="00034F18"/>
    <w:rsid w:val="00035081"/>
    <w:rsid w:val="00036816"/>
    <w:rsid w:val="00036A1B"/>
    <w:rsid w:val="00037966"/>
    <w:rsid w:val="0004005E"/>
    <w:rsid w:val="00041CD6"/>
    <w:rsid w:val="0004241D"/>
    <w:rsid w:val="00043CB0"/>
    <w:rsid w:val="00044676"/>
    <w:rsid w:val="00045DE6"/>
    <w:rsid w:val="00046AE6"/>
    <w:rsid w:val="000471F7"/>
    <w:rsid w:val="000500BD"/>
    <w:rsid w:val="00051A79"/>
    <w:rsid w:val="00051C27"/>
    <w:rsid w:val="00051DAC"/>
    <w:rsid w:val="00052697"/>
    <w:rsid w:val="0005351E"/>
    <w:rsid w:val="0005401B"/>
    <w:rsid w:val="00055F3D"/>
    <w:rsid w:val="0005623A"/>
    <w:rsid w:val="00057955"/>
    <w:rsid w:val="00060014"/>
    <w:rsid w:val="0006112F"/>
    <w:rsid w:val="00062969"/>
    <w:rsid w:val="00063073"/>
    <w:rsid w:val="00063113"/>
    <w:rsid w:val="0006347C"/>
    <w:rsid w:val="000643FB"/>
    <w:rsid w:val="000702DE"/>
    <w:rsid w:val="000720A7"/>
    <w:rsid w:val="00072914"/>
    <w:rsid w:val="00072972"/>
    <w:rsid w:val="00075AFF"/>
    <w:rsid w:val="000763E4"/>
    <w:rsid w:val="000769B1"/>
    <w:rsid w:val="0007702E"/>
    <w:rsid w:val="000776D2"/>
    <w:rsid w:val="000819BF"/>
    <w:rsid w:val="0008223C"/>
    <w:rsid w:val="00082264"/>
    <w:rsid w:val="000828F0"/>
    <w:rsid w:val="000832D3"/>
    <w:rsid w:val="00083B56"/>
    <w:rsid w:val="00083B87"/>
    <w:rsid w:val="00084011"/>
    <w:rsid w:val="00084403"/>
    <w:rsid w:val="00085227"/>
    <w:rsid w:val="000859A5"/>
    <w:rsid w:val="000869E4"/>
    <w:rsid w:val="000874B7"/>
    <w:rsid w:val="00092441"/>
    <w:rsid w:val="000932D9"/>
    <w:rsid w:val="000933DD"/>
    <w:rsid w:val="000934A7"/>
    <w:rsid w:val="000955A1"/>
    <w:rsid w:val="0009731C"/>
    <w:rsid w:val="00097CC5"/>
    <w:rsid w:val="000A0C37"/>
    <w:rsid w:val="000A1629"/>
    <w:rsid w:val="000A1A62"/>
    <w:rsid w:val="000A28CF"/>
    <w:rsid w:val="000A29D5"/>
    <w:rsid w:val="000A4868"/>
    <w:rsid w:val="000A5E2D"/>
    <w:rsid w:val="000A67AE"/>
    <w:rsid w:val="000B031C"/>
    <w:rsid w:val="000B102A"/>
    <w:rsid w:val="000B12D3"/>
    <w:rsid w:val="000B1D3A"/>
    <w:rsid w:val="000B314E"/>
    <w:rsid w:val="000B3C00"/>
    <w:rsid w:val="000B632F"/>
    <w:rsid w:val="000B66BB"/>
    <w:rsid w:val="000B6734"/>
    <w:rsid w:val="000C137A"/>
    <w:rsid w:val="000C1997"/>
    <w:rsid w:val="000C1D2A"/>
    <w:rsid w:val="000C1E31"/>
    <w:rsid w:val="000C21C0"/>
    <w:rsid w:val="000C2C41"/>
    <w:rsid w:val="000C2F7D"/>
    <w:rsid w:val="000C44D4"/>
    <w:rsid w:val="000C558E"/>
    <w:rsid w:val="000C5B33"/>
    <w:rsid w:val="000C5CF9"/>
    <w:rsid w:val="000C6B83"/>
    <w:rsid w:val="000C6C9F"/>
    <w:rsid w:val="000C7BAE"/>
    <w:rsid w:val="000D0A98"/>
    <w:rsid w:val="000D0CAA"/>
    <w:rsid w:val="000D1F1C"/>
    <w:rsid w:val="000D29D4"/>
    <w:rsid w:val="000D343B"/>
    <w:rsid w:val="000D3AC6"/>
    <w:rsid w:val="000D3F28"/>
    <w:rsid w:val="000D42D6"/>
    <w:rsid w:val="000D5F28"/>
    <w:rsid w:val="000D6760"/>
    <w:rsid w:val="000D69E2"/>
    <w:rsid w:val="000D6CD2"/>
    <w:rsid w:val="000D7B75"/>
    <w:rsid w:val="000E0848"/>
    <w:rsid w:val="000E0DA6"/>
    <w:rsid w:val="000E1056"/>
    <w:rsid w:val="000E166E"/>
    <w:rsid w:val="000E299D"/>
    <w:rsid w:val="000E31F0"/>
    <w:rsid w:val="000E3672"/>
    <w:rsid w:val="000E3853"/>
    <w:rsid w:val="000E4182"/>
    <w:rsid w:val="000E582A"/>
    <w:rsid w:val="000E5832"/>
    <w:rsid w:val="000E7122"/>
    <w:rsid w:val="000F080C"/>
    <w:rsid w:val="000F21C9"/>
    <w:rsid w:val="000F2999"/>
    <w:rsid w:val="000F3368"/>
    <w:rsid w:val="000F4412"/>
    <w:rsid w:val="000F527C"/>
    <w:rsid w:val="000F7365"/>
    <w:rsid w:val="0010055A"/>
    <w:rsid w:val="00101300"/>
    <w:rsid w:val="00102645"/>
    <w:rsid w:val="00104158"/>
    <w:rsid w:val="00105F28"/>
    <w:rsid w:val="00106360"/>
    <w:rsid w:val="0010665C"/>
    <w:rsid w:val="001066C0"/>
    <w:rsid w:val="001066C9"/>
    <w:rsid w:val="00106872"/>
    <w:rsid w:val="00110B29"/>
    <w:rsid w:val="001119DB"/>
    <w:rsid w:val="001122EF"/>
    <w:rsid w:val="0011301A"/>
    <w:rsid w:val="00113428"/>
    <w:rsid w:val="00113587"/>
    <w:rsid w:val="001137B4"/>
    <w:rsid w:val="00113BFF"/>
    <w:rsid w:val="0011451B"/>
    <w:rsid w:val="00114673"/>
    <w:rsid w:val="00116517"/>
    <w:rsid w:val="00116834"/>
    <w:rsid w:val="001176BA"/>
    <w:rsid w:val="00122AE3"/>
    <w:rsid w:val="0012543B"/>
    <w:rsid w:val="00125D31"/>
    <w:rsid w:val="00125E1D"/>
    <w:rsid w:val="0012694A"/>
    <w:rsid w:val="00127737"/>
    <w:rsid w:val="00127941"/>
    <w:rsid w:val="001303A6"/>
    <w:rsid w:val="0013099A"/>
    <w:rsid w:val="00131E69"/>
    <w:rsid w:val="0013216E"/>
    <w:rsid w:val="001329D1"/>
    <w:rsid w:val="001345BA"/>
    <w:rsid w:val="00136571"/>
    <w:rsid w:val="001369EE"/>
    <w:rsid w:val="0013711B"/>
    <w:rsid w:val="00140147"/>
    <w:rsid w:val="00141270"/>
    <w:rsid w:val="00141460"/>
    <w:rsid w:val="0014284A"/>
    <w:rsid w:val="00142DB5"/>
    <w:rsid w:val="00145022"/>
    <w:rsid w:val="0014523D"/>
    <w:rsid w:val="0014594A"/>
    <w:rsid w:val="00145C23"/>
    <w:rsid w:val="00147110"/>
    <w:rsid w:val="0014794A"/>
    <w:rsid w:val="0015022D"/>
    <w:rsid w:val="00150A23"/>
    <w:rsid w:val="00150DC5"/>
    <w:rsid w:val="00151462"/>
    <w:rsid w:val="0015399D"/>
    <w:rsid w:val="00153AF8"/>
    <w:rsid w:val="001541AA"/>
    <w:rsid w:val="00155F83"/>
    <w:rsid w:val="001602CF"/>
    <w:rsid w:val="00160484"/>
    <w:rsid w:val="00161E15"/>
    <w:rsid w:val="00162CE5"/>
    <w:rsid w:val="00163513"/>
    <w:rsid w:val="00164065"/>
    <w:rsid w:val="0016486A"/>
    <w:rsid w:val="001648C3"/>
    <w:rsid w:val="0016639C"/>
    <w:rsid w:val="00167346"/>
    <w:rsid w:val="001678BC"/>
    <w:rsid w:val="00167BC1"/>
    <w:rsid w:val="00172951"/>
    <w:rsid w:val="00174135"/>
    <w:rsid w:val="0017438E"/>
    <w:rsid w:val="00174A0C"/>
    <w:rsid w:val="001750EE"/>
    <w:rsid w:val="00176881"/>
    <w:rsid w:val="0017732C"/>
    <w:rsid w:val="001773B4"/>
    <w:rsid w:val="00180BB4"/>
    <w:rsid w:val="001817DA"/>
    <w:rsid w:val="00181E8E"/>
    <w:rsid w:val="00182D8A"/>
    <w:rsid w:val="0018353D"/>
    <w:rsid w:val="00183B97"/>
    <w:rsid w:val="001841AC"/>
    <w:rsid w:val="00185753"/>
    <w:rsid w:val="00185DCA"/>
    <w:rsid w:val="00186425"/>
    <w:rsid w:val="00186426"/>
    <w:rsid w:val="001866A9"/>
    <w:rsid w:val="00186D02"/>
    <w:rsid w:val="0018700C"/>
    <w:rsid w:val="00187767"/>
    <w:rsid w:val="00187C0F"/>
    <w:rsid w:val="00191E19"/>
    <w:rsid w:val="0019294F"/>
    <w:rsid w:val="00192EBA"/>
    <w:rsid w:val="00194C87"/>
    <w:rsid w:val="0019579E"/>
    <w:rsid w:val="001A0210"/>
    <w:rsid w:val="001A0F8F"/>
    <w:rsid w:val="001A37A6"/>
    <w:rsid w:val="001A3883"/>
    <w:rsid w:val="001A3C22"/>
    <w:rsid w:val="001A503A"/>
    <w:rsid w:val="001A7AD7"/>
    <w:rsid w:val="001B0228"/>
    <w:rsid w:val="001B0DBB"/>
    <w:rsid w:val="001B20CF"/>
    <w:rsid w:val="001B26E6"/>
    <w:rsid w:val="001B2AF9"/>
    <w:rsid w:val="001B2CB4"/>
    <w:rsid w:val="001B3EFF"/>
    <w:rsid w:val="001B4380"/>
    <w:rsid w:val="001B47A9"/>
    <w:rsid w:val="001B4CDE"/>
    <w:rsid w:val="001B54EA"/>
    <w:rsid w:val="001B7617"/>
    <w:rsid w:val="001C1AE1"/>
    <w:rsid w:val="001C3D9B"/>
    <w:rsid w:val="001C4050"/>
    <w:rsid w:val="001C44BB"/>
    <w:rsid w:val="001C4E1C"/>
    <w:rsid w:val="001C52E8"/>
    <w:rsid w:val="001C5375"/>
    <w:rsid w:val="001C746E"/>
    <w:rsid w:val="001D1500"/>
    <w:rsid w:val="001D2BCA"/>
    <w:rsid w:val="001D33B1"/>
    <w:rsid w:val="001D5480"/>
    <w:rsid w:val="001D64B0"/>
    <w:rsid w:val="001D7F4B"/>
    <w:rsid w:val="001E0047"/>
    <w:rsid w:val="001E0C21"/>
    <w:rsid w:val="001E1DA0"/>
    <w:rsid w:val="001E32AD"/>
    <w:rsid w:val="001E3729"/>
    <w:rsid w:val="001E43F1"/>
    <w:rsid w:val="001E510A"/>
    <w:rsid w:val="001E5398"/>
    <w:rsid w:val="001E54C0"/>
    <w:rsid w:val="001F0C36"/>
    <w:rsid w:val="001F0C7F"/>
    <w:rsid w:val="001F1F19"/>
    <w:rsid w:val="001F1FC9"/>
    <w:rsid w:val="001F2376"/>
    <w:rsid w:val="001F3814"/>
    <w:rsid w:val="001F3CC8"/>
    <w:rsid w:val="001F4288"/>
    <w:rsid w:val="001F521F"/>
    <w:rsid w:val="001F6087"/>
    <w:rsid w:val="002000C0"/>
    <w:rsid w:val="00203B11"/>
    <w:rsid w:val="002045CB"/>
    <w:rsid w:val="00206147"/>
    <w:rsid w:val="00206D2E"/>
    <w:rsid w:val="0020789A"/>
    <w:rsid w:val="00210421"/>
    <w:rsid w:val="0021202A"/>
    <w:rsid w:val="00212398"/>
    <w:rsid w:val="0021240B"/>
    <w:rsid w:val="002127FE"/>
    <w:rsid w:val="0021310B"/>
    <w:rsid w:val="00214027"/>
    <w:rsid w:val="00214D16"/>
    <w:rsid w:val="00215C92"/>
    <w:rsid w:val="00215D0C"/>
    <w:rsid w:val="002168EC"/>
    <w:rsid w:val="00217396"/>
    <w:rsid w:val="0021772D"/>
    <w:rsid w:val="00217DEC"/>
    <w:rsid w:val="00220BE3"/>
    <w:rsid w:val="0022193E"/>
    <w:rsid w:val="00222728"/>
    <w:rsid w:val="00223E8A"/>
    <w:rsid w:val="0022565D"/>
    <w:rsid w:val="002266E4"/>
    <w:rsid w:val="00226B58"/>
    <w:rsid w:val="00226F97"/>
    <w:rsid w:val="002270D3"/>
    <w:rsid w:val="00227867"/>
    <w:rsid w:val="00230EAD"/>
    <w:rsid w:val="00232B39"/>
    <w:rsid w:val="002330FC"/>
    <w:rsid w:val="00233EF4"/>
    <w:rsid w:val="00235AAC"/>
    <w:rsid w:val="00236523"/>
    <w:rsid w:val="0023671F"/>
    <w:rsid w:val="00236E0F"/>
    <w:rsid w:val="00240C3D"/>
    <w:rsid w:val="0024199A"/>
    <w:rsid w:val="00242F2B"/>
    <w:rsid w:val="002434CE"/>
    <w:rsid w:val="00243FB7"/>
    <w:rsid w:val="00244EE3"/>
    <w:rsid w:val="0024585B"/>
    <w:rsid w:val="002461DA"/>
    <w:rsid w:val="002471DD"/>
    <w:rsid w:val="00250DC6"/>
    <w:rsid w:val="00251086"/>
    <w:rsid w:val="0025133C"/>
    <w:rsid w:val="0025176E"/>
    <w:rsid w:val="002523C1"/>
    <w:rsid w:val="002529AF"/>
    <w:rsid w:val="002536CC"/>
    <w:rsid w:val="0025373C"/>
    <w:rsid w:val="00253A4B"/>
    <w:rsid w:val="00254306"/>
    <w:rsid w:val="00256218"/>
    <w:rsid w:val="00260964"/>
    <w:rsid w:val="0026260E"/>
    <w:rsid w:val="0026339A"/>
    <w:rsid w:val="00263513"/>
    <w:rsid w:val="00264238"/>
    <w:rsid w:val="00264FF7"/>
    <w:rsid w:val="00265EA4"/>
    <w:rsid w:val="002671A7"/>
    <w:rsid w:val="00267463"/>
    <w:rsid w:val="00267B44"/>
    <w:rsid w:val="00270EAF"/>
    <w:rsid w:val="00270F1B"/>
    <w:rsid w:val="002714F5"/>
    <w:rsid w:val="002719B2"/>
    <w:rsid w:val="002729B7"/>
    <w:rsid w:val="00272B97"/>
    <w:rsid w:val="00274DB9"/>
    <w:rsid w:val="00275045"/>
    <w:rsid w:val="00276CBF"/>
    <w:rsid w:val="00276F67"/>
    <w:rsid w:val="0027765C"/>
    <w:rsid w:val="00277688"/>
    <w:rsid w:val="002807FE"/>
    <w:rsid w:val="00281041"/>
    <w:rsid w:val="00281E4F"/>
    <w:rsid w:val="00281F48"/>
    <w:rsid w:val="00282687"/>
    <w:rsid w:val="002831F1"/>
    <w:rsid w:val="00283D78"/>
    <w:rsid w:val="00284339"/>
    <w:rsid w:val="00284C45"/>
    <w:rsid w:val="00286201"/>
    <w:rsid w:val="002866F3"/>
    <w:rsid w:val="00286C79"/>
    <w:rsid w:val="0028730C"/>
    <w:rsid w:val="0028753B"/>
    <w:rsid w:val="002905DA"/>
    <w:rsid w:val="002908AA"/>
    <w:rsid w:val="00290967"/>
    <w:rsid w:val="0029300C"/>
    <w:rsid w:val="00297372"/>
    <w:rsid w:val="002A0104"/>
    <w:rsid w:val="002A1A5D"/>
    <w:rsid w:val="002A2D38"/>
    <w:rsid w:val="002A3EB9"/>
    <w:rsid w:val="002A44F5"/>
    <w:rsid w:val="002A45F9"/>
    <w:rsid w:val="002A5780"/>
    <w:rsid w:val="002A6FA1"/>
    <w:rsid w:val="002A7D36"/>
    <w:rsid w:val="002A7F43"/>
    <w:rsid w:val="002B1E90"/>
    <w:rsid w:val="002B1F85"/>
    <w:rsid w:val="002B2E98"/>
    <w:rsid w:val="002B32DA"/>
    <w:rsid w:val="002B470A"/>
    <w:rsid w:val="002B486D"/>
    <w:rsid w:val="002B495A"/>
    <w:rsid w:val="002B57CB"/>
    <w:rsid w:val="002B583E"/>
    <w:rsid w:val="002B5F89"/>
    <w:rsid w:val="002B62F2"/>
    <w:rsid w:val="002B6353"/>
    <w:rsid w:val="002B6F99"/>
    <w:rsid w:val="002C09F1"/>
    <w:rsid w:val="002C1933"/>
    <w:rsid w:val="002C1BA8"/>
    <w:rsid w:val="002C1D6D"/>
    <w:rsid w:val="002C2AC0"/>
    <w:rsid w:val="002C35D3"/>
    <w:rsid w:val="002C5877"/>
    <w:rsid w:val="002C6066"/>
    <w:rsid w:val="002C6446"/>
    <w:rsid w:val="002C71D2"/>
    <w:rsid w:val="002C77AB"/>
    <w:rsid w:val="002C7C06"/>
    <w:rsid w:val="002D00AD"/>
    <w:rsid w:val="002D01E5"/>
    <w:rsid w:val="002D2EEC"/>
    <w:rsid w:val="002D36E0"/>
    <w:rsid w:val="002D4032"/>
    <w:rsid w:val="002D44F8"/>
    <w:rsid w:val="002D5267"/>
    <w:rsid w:val="002D6BE2"/>
    <w:rsid w:val="002D6F58"/>
    <w:rsid w:val="002D70B4"/>
    <w:rsid w:val="002D7389"/>
    <w:rsid w:val="002E02F7"/>
    <w:rsid w:val="002E1078"/>
    <w:rsid w:val="002E1F78"/>
    <w:rsid w:val="002E2A7F"/>
    <w:rsid w:val="002E3164"/>
    <w:rsid w:val="002E3620"/>
    <w:rsid w:val="002E3A78"/>
    <w:rsid w:val="002E3CF6"/>
    <w:rsid w:val="002E4B44"/>
    <w:rsid w:val="002E550B"/>
    <w:rsid w:val="002E6FC6"/>
    <w:rsid w:val="002F227A"/>
    <w:rsid w:val="002F3520"/>
    <w:rsid w:val="002F383F"/>
    <w:rsid w:val="002F4F46"/>
    <w:rsid w:val="003001E2"/>
    <w:rsid w:val="00300D50"/>
    <w:rsid w:val="003026DC"/>
    <w:rsid w:val="00303B20"/>
    <w:rsid w:val="00304D17"/>
    <w:rsid w:val="003062FA"/>
    <w:rsid w:val="00306EF3"/>
    <w:rsid w:val="00311761"/>
    <w:rsid w:val="00313069"/>
    <w:rsid w:val="003134BA"/>
    <w:rsid w:val="003134BF"/>
    <w:rsid w:val="0031429A"/>
    <w:rsid w:val="003147FB"/>
    <w:rsid w:val="00314BA0"/>
    <w:rsid w:val="00314DE5"/>
    <w:rsid w:val="003151DB"/>
    <w:rsid w:val="003154AE"/>
    <w:rsid w:val="00316786"/>
    <w:rsid w:val="00317003"/>
    <w:rsid w:val="00320E0D"/>
    <w:rsid w:val="003215C4"/>
    <w:rsid w:val="00323E4B"/>
    <w:rsid w:val="00326236"/>
    <w:rsid w:val="00326E1E"/>
    <w:rsid w:val="00326FD2"/>
    <w:rsid w:val="00330946"/>
    <w:rsid w:val="00331165"/>
    <w:rsid w:val="00331A1D"/>
    <w:rsid w:val="00331B70"/>
    <w:rsid w:val="00331CEB"/>
    <w:rsid w:val="003327E5"/>
    <w:rsid w:val="00332F4C"/>
    <w:rsid w:val="00335979"/>
    <w:rsid w:val="00335B86"/>
    <w:rsid w:val="00335EDA"/>
    <w:rsid w:val="00336C07"/>
    <w:rsid w:val="00337DCB"/>
    <w:rsid w:val="003401A3"/>
    <w:rsid w:val="00340C7D"/>
    <w:rsid w:val="00341F82"/>
    <w:rsid w:val="0034202E"/>
    <w:rsid w:val="003425A8"/>
    <w:rsid w:val="0034283A"/>
    <w:rsid w:val="0034342B"/>
    <w:rsid w:val="00343E0F"/>
    <w:rsid w:val="00344513"/>
    <w:rsid w:val="00344ACC"/>
    <w:rsid w:val="003504A9"/>
    <w:rsid w:val="00350577"/>
    <w:rsid w:val="0035169C"/>
    <w:rsid w:val="003532D6"/>
    <w:rsid w:val="00354535"/>
    <w:rsid w:val="00360000"/>
    <w:rsid w:val="00360220"/>
    <w:rsid w:val="003614F1"/>
    <w:rsid w:val="00361C07"/>
    <w:rsid w:val="003625A3"/>
    <w:rsid w:val="00362740"/>
    <w:rsid w:val="00362AAD"/>
    <w:rsid w:val="00364003"/>
    <w:rsid w:val="00364A1F"/>
    <w:rsid w:val="00364E28"/>
    <w:rsid w:val="0036518C"/>
    <w:rsid w:val="00366B5A"/>
    <w:rsid w:val="003679F8"/>
    <w:rsid w:val="00367BF0"/>
    <w:rsid w:val="00370B26"/>
    <w:rsid w:val="00371062"/>
    <w:rsid w:val="003734FD"/>
    <w:rsid w:val="003735B0"/>
    <w:rsid w:val="00373A92"/>
    <w:rsid w:val="0037570A"/>
    <w:rsid w:val="00376923"/>
    <w:rsid w:val="0037714E"/>
    <w:rsid w:val="00377166"/>
    <w:rsid w:val="00380095"/>
    <w:rsid w:val="00380D3E"/>
    <w:rsid w:val="00380E59"/>
    <w:rsid w:val="00382414"/>
    <w:rsid w:val="00382476"/>
    <w:rsid w:val="00382CE7"/>
    <w:rsid w:val="003830EF"/>
    <w:rsid w:val="00385DBB"/>
    <w:rsid w:val="0038718A"/>
    <w:rsid w:val="00390DEF"/>
    <w:rsid w:val="00390FE7"/>
    <w:rsid w:val="00392647"/>
    <w:rsid w:val="003935FF"/>
    <w:rsid w:val="00393DDE"/>
    <w:rsid w:val="00394653"/>
    <w:rsid w:val="00394869"/>
    <w:rsid w:val="003957CB"/>
    <w:rsid w:val="003963B1"/>
    <w:rsid w:val="00396A45"/>
    <w:rsid w:val="00396B06"/>
    <w:rsid w:val="003A1000"/>
    <w:rsid w:val="003A2EC1"/>
    <w:rsid w:val="003A2FA3"/>
    <w:rsid w:val="003A38D4"/>
    <w:rsid w:val="003A3AF7"/>
    <w:rsid w:val="003A7692"/>
    <w:rsid w:val="003B1BA0"/>
    <w:rsid w:val="003B2605"/>
    <w:rsid w:val="003B3876"/>
    <w:rsid w:val="003B570E"/>
    <w:rsid w:val="003B720C"/>
    <w:rsid w:val="003B7B80"/>
    <w:rsid w:val="003C0188"/>
    <w:rsid w:val="003C1205"/>
    <w:rsid w:val="003C4C29"/>
    <w:rsid w:val="003C6892"/>
    <w:rsid w:val="003C69EF"/>
    <w:rsid w:val="003D0103"/>
    <w:rsid w:val="003D061F"/>
    <w:rsid w:val="003D07E9"/>
    <w:rsid w:val="003D10D9"/>
    <w:rsid w:val="003D1351"/>
    <w:rsid w:val="003D1D1A"/>
    <w:rsid w:val="003D24B3"/>
    <w:rsid w:val="003D265A"/>
    <w:rsid w:val="003D38BB"/>
    <w:rsid w:val="003D3D18"/>
    <w:rsid w:val="003D4EE6"/>
    <w:rsid w:val="003D6BB2"/>
    <w:rsid w:val="003D7293"/>
    <w:rsid w:val="003D7B41"/>
    <w:rsid w:val="003D7BB7"/>
    <w:rsid w:val="003D7DFB"/>
    <w:rsid w:val="003E4931"/>
    <w:rsid w:val="003E5559"/>
    <w:rsid w:val="003E622D"/>
    <w:rsid w:val="003E7D17"/>
    <w:rsid w:val="003F1F98"/>
    <w:rsid w:val="003F2618"/>
    <w:rsid w:val="003F267E"/>
    <w:rsid w:val="003F2854"/>
    <w:rsid w:val="003F2DB4"/>
    <w:rsid w:val="003F3CC8"/>
    <w:rsid w:val="003F5081"/>
    <w:rsid w:val="003F677E"/>
    <w:rsid w:val="004012CD"/>
    <w:rsid w:val="004012D8"/>
    <w:rsid w:val="00401D49"/>
    <w:rsid w:val="00402F6F"/>
    <w:rsid w:val="00403AE8"/>
    <w:rsid w:val="00404AFC"/>
    <w:rsid w:val="00404F38"/>
    <w:rsid w:val="0041061D"/>
    <w:rsid w:val="0041619F"/>
    <w:rsid w:val="00417E5B"/>
    <w:rsid w:val="0042040B"/>
    <w:rsid w:val="00421DB5"/>
    <w:rsid w:val="0042250E"/>
    <w:rsid w:val="004234BF"/>
    <w:rsid w:val="004248D4"/>
    <w:rsid w:val="00424CFA"/>
    <w:rsid w:val="00426CA0"/>
    <w:rsid w:val="00426E39"/>
    <w:rsid w:val="0042707E"/>
    <w:rsid w:val="00430209"/>
    <w:rsid w:val="004308CA"/>
    <w:rsid w:val="00430BFC"/>
    <w:rsid w:val="00430C4D"/>
    <w:rsid w:val="00431F3D"/>
    <w:rsid w:val="00432262"/>
    <w:rsid w:val="00432395"/>
    <w:rsid w:val="00432AE9"/>
    <w:rsid w:val="00432FA9"/>
    <w:rsid w:val="00433289"/>
    <w:rsid w:val="00433846"/>
    <w:rsid w:val="0043386E"/>
    <w:rsid w:val="0043571B"/>
    <w:rsid w:val="0044070A"/>
    <w:rsid w:val="00440E12"/>
    <w:rsid w:val="0044386C"/>
    <w:rsid w:val="004454E4"/>
    <w:rsid w:val="00445E7A"/>
    <w:rsid w:val="004464F7"/>
    <w:rsid w:val="00447C6A"/>
    <w:rsid w:val="004503E7"/>
    <w:rsid w:val="00452BB6"/>
    <w:rsid w:val="004555C0"/>
    <w:rsid w:val="0045588F"/>
    <w:rsid w:val="00455E34"/>
    <w:rsid w:val="0045676F"/>
    <w:rsid w:val="004570E3"/>
    <w:rsid w:val="004574CA"/>
    <w:rsid w:val="00457D82"/>
    <w:rsid w:val="00457E88"/>
    <w:rsid w:val="00460E61"/>
    <w:rsid w:val="00461803"/>
    <w:rsid w:val="00461E83"/>
    <w:rsid w:val="0046241E"/>
    <w:rsid w:val="00464EED"/>
    <w:rsid w:val="004653DD"/>
    <w:rsid w:val="00465C5B"/>
    <w:rsid w:val="00466D3E"/>
    <w:rsid w:val="004675B6"/>
    <w:rsid w:val="0046793C"/>
    <w:rsid w:val="00467A55"/>
    <w:rsid w:val="004706DF"/>
    <w:rsid w:val="0047086E"/>
    <w:rsid w:val="00472AFB"/>
    <w:rsid w:val="00473079"/>
    <w:rsid w:val="00475150"/>
    <w:rsid w:val="00475462"/>
    <w:rsid w:val="0047619A"/>
    <w:rsid w:val="00477250"/>
    <w:rsid w:val="004772EA"/>
    <w:rsid w:val="00480292"/>
    <w:rsid w:val="00483FE0"/>
    <w:rsid w:val="00485792"/>
    <w:rsid w:val="00487771"/>
    <w:rsid w:val="00492243"/>
    <w:rsid w:val="00492CCF"/>
    <w:rsid w:val="00492DAC"/>
    <w:rsid w:val="00493650"/>
    <w:rsid w:val="00493AEC"/>
    <w:rsid w:val="00493B9C"/>
    <w:rsid w:val="00493F68"/>
    <w:rsid w:val="0049435E"/>
    <w:rsid w:val="0049577D"/>
    <w:rsid w:val="0049620C"/>
    <w:rsid w:val="00496E93"/>
    <w:rsid w:val="004A03A6"/>
    <w:rsid w:val="004A097F"/>
    <w:rsid w:val="004A0C32"/>
    <w:rsid w:val="004A0D70"/>
    <w:rsid w:val="004A454D"/>
    <w:rsid w:val="004A4FEF"/>
    <w:rsid w:val="004A589E"/>
    <w:rsid w:val="004A62C2"/>
    <w:rsid w:val="004A7044"/>
    <w:rsid w:val="004A776F"/>
    <w:rsid w:val="004B29C9"/>
    <w:rsid w:val="004B37B8"/>
    <w:rsid w:val="004B48AC"/>
    <w:rsid w:val="004B4ACC"/>
    <w:rsid w:val="004B5D26"/>
    <w:rsid w:val="004B5D51"/>
    <w:rsid w:val="004B697E"/>
    <w:rsid w:val="004B6F2A"/>
    <w:rsid w:val="004C054F"/>
    <w:rsid w:val="004C064B"/>
    <w:rsid w:val="004C10B8"/>
    <w:rsid w:val="004C1575"/>
    <w:rsid w:val="004C19A7"/>
    <w:rsid w:val="004C21CE"/>
    <w:rsid w:val="004C2243"/>
    <w:rsid w:val="004C23CB"/>
    <w:rsid w:val="004C270B"/>
    <w:rsid w:val="004C3EC2"/>
    <w:rsid w:val="004C4F16"/>
    <w:rsid w:val="004C5131"/>
    <w:rsid w:val="004C5799"/>
    <w:rsid w:val="004C73E3"/>
    <w:rsid w:val="004D0A0F"/>
    <w:rsid w:val="004D1B30"/>
    <w:rsid w:val="004D3473"/>
    <w:rsid w:val="004D4380"/>
    <w:rsid w:val="004D4C2D"/>
    <w:rsid w:val="004D5361"/>
    <w:rsid w:val="004D5820"/>
    <w:rsid w:val="004D5C7E"/>
    <w:rsid w:val="004D611E"/>
    <w:rsid w:val="004D6834"/>
    <w:rsid w:val="004D683D"/>
    <w:rsid w:val="004E1BF7"/>
    <w:rsid w:val="004E283D"/>
    <w:rsid w:val="004E2BE9"/>
    <w:rsid w:val="004E3F9A"/>
    <w:rsid w:val="004E4239"/>
    <w:rsid w:val="004E4539"/>
    <w:rsid w:val="004E521D"/>
    <w:rsid w:val="004E5263"/>
    <w:rsid w:val="004E5368"/>
    <w:rsid w:val="004E5B10"/>
    <w:rsid w:val="004E612B"/>
    <w:rsid w:val="004E613D"/>
    <w:rsid w:val="004E71B3"/>
    <w:rsid w:val="004F0399"/>
    <w:rsid w:val="004F11DB"/>
    <w:rsid w:val="004F1244"/>
    <w:rsid w:val="004F1FF2"/>
    <w:rsid w:val="004F2F61"/>
    <w:rsid w:val="004F3446"/>
    <w:rsid w:val="004F3B90"/>
    <w:rsid w:val="004F461C"/>
    <w:rsid w:val="004F5521"/>
    <w:rsid w:val="004F6177"/>
    <w:rsid w:val="004F709E"/>
    <w:rsid w:val="004F7DC6"/>
    <w:rsid w:val="005005FC"/>
    <w:rsid w:val="00503F5C"/>
    <w:rsid w:val="00505569"/>
    <w:rsid w:val="00506E5B"/>
    <w:rsid w:val="00507755"/>
    <w:rsid w:val="00507786"/>
    <w:rsid w:val="00507ABA"/>
    <w:rsid w:val="00507C1C"/>
    <w:rsid w:val="00507CD0"/>
    <w:rsid w:val="005103F6"/>
    <w:rsid w:val="005123E7"/>
    <w:rsid w:val="00512B1E"/>
    <w:rsid w:val="005139BF"/>
    <w:rsid w:val="00516110"/>
    <w:rsid w:val="00517330"/>
    <w:rsid w:val="00522ED4"/>
    <w:rsid w:val="005263A1"/>
    <w:rsid w:val="005275EC"/>
    <w:rsid w:val="00527CF0"/>
    <w:rsid w:val="00531A83"/>
    <w:rsid w:val="00531B82"/>
    <w:rsid w:val="00533CF3"/>
    <w:rsid w:val="005353D4"/>
    <w:rsid w:val="00535983"/>
    <w:rsid w:val="00535D82"/>
    <w:rsid w:val="00535EDF"/>
    <w:rsid w:val="00536F40"/>
    <w:rsid w:val="00543003"/>
    <w:rsid w:val="00543B06"/>
    <w:rsid w:val="00544435"/>
    <w:rsid w:val="005451CE"/>
    <w:rsid w:val="00545868"/>
    <w:rsid w:val="005468D1"/>
    <w:rsid w:val="00546EEB"/>
    <w:rsid w:val="005470DA"/>
    <w:rsid w:val="00547A34"/>
    <w:rsid w:val="00551228"/>
    <w:rsid w:val="00551C60"/>
    <w:rsid w:val="00552AD9"/>
    <w:rsid w:val="00552D43"/>
    <w:rsid w:val="00554C8D"/>
    <w:rsid w:val="00555DDE"/>
    <w:rsid w:val="00557AB1"/>
    <w:rsid w:val="00560515"/>
    <w:rsid w:val="00560566"/>
    <w:rsid w:val="005609FA"/>
    <w:rsid w:val="0056141D"/>
    <w:rsid w:val="00562FB5"/>
    <w:rsid w:val="00563378"/>
    <w:rsid w:val="00563793"/>
    <w:rsid w:val="00564E3B"/>
    <w:rsid w:val="00566E65"/>
    <w:rsid w:val="00570DBF"/>
    <w:rsid w:val="00571840"/>
    <w:rsid w:val="00571CDA"/>
    <w:rsid w:val="005729A7"/>
    <w:rsid w:val="005741F9"/>
    <w:rsid w:val="005749EA"/>
    <w:rsid w:val="00574A75"/>
    <w:rsid w:val="005769EE"/>
    <w:rsid w:val="00582F7C"/>
    <w:rsid w:val="00583C61"/>
    <w:rsid w:val="00583E4A"/>
    <w:rsid w:val="0058488B"/>
    <w:rsid w:val="005849FB"/>
    <w:rsid w:val="0058622E"/>
    <w:rsid w:val="00592AAC"/>
    <w:rsid w:val="00593F53"/>
    <w:rsid w:val="0059412D"/>
    <w:rsid w:val="00595BBC"/>
    <w:rsid w:val="00595BF3"/>
    <w:rsid w:val="005976D0"/>
    <w:rsid w:val="00597ABE"/>
    <w:rsid w:val="005A0395"/>
    <w:rsid w:val="005A0A09"/>
    <w:rsid w:val="005A0C5E"/>
    <w:rsid w:val="005A1BBD"/>
    <w:rsid w:val="005A27CE"/>
    <w:rsid w:val="005A3ACA"/>
    <w:rsid w:val="005A3B97"/>
    <w:rsid w:val="005A695C"/>
    <w:rsid w:val="005A7084"/>
    <w:rsid w:val="005A7D67"/>
    <w:rsid w:val="005B164D"/>
    <w:rsid w:val="005B1A53"/>
    <w:rsid w:val="005B36D5"/>
    <w:rsid w:val="005B4FD2"/>
    <w:rsid w:val="005B5299"/>
    <w:rsid w:val="005B7DAF"/>
    <w:rsid w:val="005C0502"/>
    <w:rsid w:val="005C1230"/>
    <w:rsid w:val="005C2760"/>
    <w:rsid w:val="005C3FB1"/>
    <w:rsid w:val="005C4048"/>
    <w:rsid w:val="005C5A0F"/>
    <w:rsid w:val="005C6AA6"/>
    <w:rsid w:val="005C7214"/>
    <w:rsid w:val="005D02DD"/>
    <w:rsid w:val="005D1A69"/>
    <w:rsid w:val="005D23F7"/>
    <w:rsid w:val="005D3838"/>
    <w:rsid w:val="005D4F76"/>
    <w:rsid w:val="005D5518"/>
    <w:rsid w:val="005E0B6C"/>
    <w:rsid w:val="005E0EDD"/>
    <w:rsid w:val="005E2080"/>
    <w:rsid w:val="005E21F4"/>
    <w:rsid w:val="005E36DF"/>
    <w:rsid w:val="005E37B9"/>
    <w:rsid w:val="005E7498"/>
    <w:rsid w:val="005E7E62"/>
    <w:rsid w:val="005F2BE3"/>
    <w:rsid w:val="005F5B10"/>
    <w:rsid w:val="005F7819"/>
    <w:rsid w:val="005F799E"/>
    <w:rsid w:val="00600395"/>
    <w:rsid w:val="006042AE"/>
    <w:rsid w:val="00605820"/>
    <w:rsid w:val="00605A53"/>
    <w:rsid w:val="00607CEF"/>
    <w:rsid w:val="006118CB"/>
    <w:rsid w:val="0061305B"/>
    <w:rsid w:val="0061378D"/>
    <w:rsid w:val="00614502"/>
    <w:rsid w:val="0061720A"/>
    <w:rsid w:val="00617669"/>
    <w:rsid w:val="00622383"/>
    <w:rsid w:val="00622BFF"/>
    <w:rsid w:val="00622D82"/>
    <w:rsid w:val="00627AA6"/>
    <w:rsid w:val="006348A8"/>
    <w:rsid w:val="006353CD"/>
    <w:rsid w:val="00636FF7"/>
    <w:rsid w:val="00640BE1"/>
    <w:rsid w:val="006412DB"/>
    <w:rsid w:val="00645997"/>
    <w:rsid w:val="00645D87"/>
    <w:rsid w:val="00647EB7"/>
    <w:rsid w:val="006505E5"/>
    <w:rsid w:val="0065249E"/>
    <w:rsid w:val="00652C9A"/>
    <w:rsid w:val="006538B7"/>
    <w:rsid w:val="00653E57"/>
    <w:rsid w:val="00653EA9"/>
    <w:rsid w:val="00654C07"/>
    <w:rsid w:val="00654D96"/>
    <w:rsid w:val="0065553B"/>
    <w:rsid w:val="006565C0"/>
    <w:rsid w:val="00657A1D"/>
    <w:rsid w:val="00660257"/>
    <w:rsid w:val="006605F5"/>
    <w:rsid w:val="00661036"/>
    <w:rsid w:val="006610A9"/>
    <w:rsid w:val="006610D1"/>
    <w:rsid w:val="00661D0F"/>
    <w:rsid w:val="00661EE5"/>
    <w:rsid w:val="00664565"/>
    <w:rsid w:val="006657E1"/>
    <w:rsid w:val="00666F9B"/>
    <w:rsid w:val="0066775E"/>
    <w:rsid w:val="006725D1"/>
    <w:rsid w:val="00672F5F"/>
    <w:rsid w:val="006735C2"/>
    <w:rsid w:val="0067381A"/>
    <w:rsid w:val="00674710"/>
    <w:rsid w:val="0067482F"/>
    <w:rsid w:val="00674FFE"/>
    <w:rsid w:val="00675EB9"/>
    <w:rsid w:val="00676996"/>
    <w:rsid w:val="00676D31"/>
    <w:rsid w:val="006828D8"/>
    <w:rsid w:val="00685C35"/>
    <w:rsid w:val="006943D1"/>
    <w:rsid w:val="00695FA1"/>
    <w:rsid w:val="006A011E"/>
    <w:rsid w:val="006A0202"/>
    <w:rsid w:val="006A02D8"/>
    <w:rsid w:val="006A2097"/>
    <w:rsid w:val="006A293E"/>
    <w:rsid w:val="006A2BE4"/>
    <w:rsid w:val="006A3A41"/>
    <w:rsid w:val="006A4C2C"/>
    <w:rsid w:val="006A53A9"/>
    <w:rsid w:val="006A6CD8"/>
    <w:rsid w:val="006B024F"/>
    <w:rsid w:val="006B08DE"/>
    <w:rsid w:val="006B1C43"/>
    <w:rsid w:val="006B2215"/>
    <w:rsid w:val="006B4AE5"/>
    <w:rsid w:val="006B5088"/>
    <w:rsid w:val="006B54C7"/>
    <w:rsid w:val="006B5B94"/>
    <w:rsid w:val="006B6749"/>
    <w:rsid w:val="006B7BA7"/>
    <w:rsid w:val="006C0928"/>
    <w:rsid w:val="006C0B1D"/>
    <w:rsid w:val="006C0F8F"/>
    <w:rsid w:val="006C1431"/>
    <w:rsid w:val="006C1935"/>
    <w:rsid w:val="006C1F4D"/>
    <w:rsid w:val="006C1F68"/>
    <w:rsid w:val="006C2D43"/>
    <w:rsid w:val="006C51AF"/>
    <w:rsid w:val="006C61B5"/>
    <w:rsid w:val="006C6473"/>
    <w:rsid w:val="006C7706"/>
    <w:rsid w:val="006D071F"/>
    <w:rsid w:val="006D0B66"/>
    <w:rsid w:val="006D0D4E"/>
    <w:rsid w:val="006D1148"/>
    <w:rsid w:val="006D1616"/>
    <w:rsid w:val="006D18D3"/>
    <w:rsid w:val="006D3559"/>
    <w:rsid w:val="006D40A2"/>
    <w:rsid w:val="006D58D1"/>
    <w:rsid w:val="006D7A7C"/>
    <w:rsid w:val="006E01C6"/>
    <w:rsid w:val="006E1BCA"/>
    <w:rsid w:val="006E367D"/>
    <w:rsid w:val="006E3947"/>
    <w:rsid w:val="006E3C76"/>
    <w:rsid w:val="006E3D6E"/>
    <w:rsid w:val="006E3E66"/>
    <w:rsid w:val="006E5353"/>
    <w:rsid w:val="006E676F"/>
    <w:rsid w:val="006E762E"/>
    <w:rsid w:val="006F05EF"/>
    <w:rsid w:val="006F0899"/>
    <w:rsid w:val="006F1CE7"/>
    <w:rsid w:val="006F3577"/>
    <w:rsid w:val="006F55C0"/>
    <w:rsid w:val="006F5A95"/>
    <w:rsid w:val="006F5D6C"/>
    <w:rsid w:val="006F68F4"/>
    <w:rsid w:val="006F7474"/>
    <w:rsid w:val="006F7C33"/>
    <w:rsid w:val="006F7E0E"/>
    <w:rsid w:val="006F7F0A"/>
    <w:rsid w:val="007000F6"/>
    <w:rsid w:val="00701627"/>
    <w:rsid w:val="00701BD8"/>
    <w:rsid w:val="0070358B"/>
    <w:rsid w:val="007037FB"/>
    <w:rsid w:val="0070437B"/>
    <w:rsid w:val="00704FCC"/>
    <w:rsid w:val="007058E5"/>
    <w:rsid w:val="00707BC0"/>
    <w:rsid w:val="007111A2"/>
    <w:rsid w:val="00711275"/>
    <w:rsid w:val="007146CC"/>
    <w:rsid w:val="007169EE"/>
    <w:rsid w:val="00717BD3"/>
    <w:rsid w:val="00717E80"/>
    <w:rsid w:val="00721DBA"/>
    <w:rsid w:val="00722FFD"/>
    <w:rsid w:val="00723D87"/>
    <w:rsid w:val="00723EF9"/>
    <w:rsid w:val="0072414F"/>
    <w:rsid w:val="0072437E"/>
    <w:rsid w:val="007251C1"/>
    <w:rsid w:val="007334E2"/>
    <w:rsid w:val="007357AD"/>
    <w:rsid w:val="00736585"/>
    <w:rsid w:val="00736D2C"/>
    <w:rsid w:val="007376EA"/>
    <w:rsid w:val="007401AF"/>
    <w:rsid w:val="0074141A"/>
    <w:rsid w:val="00741E8F"/>
    <w:rsid w:val="00742006"/>
    <w:rsid w:val="00742337"/>
    <w:rsid w:val="00743198"/>
    <w:rsid w:val="0074457F"/>
    <w:rsid w:val="00746E58"/>
    <w:rsid w:val="007518B3"/>
    <w:rsid w:val="00751927"/>
    <w:rsid w:val="007521FD"/>
    <w:rsid w:val="007536F9"/>
    <w:rsid w:val="00753A56"/>
    <w:rsid w:val="007543F7"/>
    <w:rsid w:val="00754C4A"/>
    <w:rsid w:val="00754EC4"/>
    <w:rsid w:val="00755114"/>
    <w:rsid w:val="00756678"/>
    <w:rsid w:val="00756DD6"/>
    <w:rsid w:val="00762796"/>
    <w:rsid w:val="00762FE6"/>
    <w:rsid w:val="0076348E"/>
    <w:rsid w:val="007642D3"/>
    <w:rsid w:val="007645A9"/>
    <w:rsid w:val="007646BC"/>
    <w:rsid w:val="00764D29"/>
    <w:rsid w:val="00765BC8"/>
    <w:rsid w:val="0076636C"/>
    <w:rsid w:val="0076657A"/>
    <w:rsid w:val="00766756"/>
    <w:rsid w:val="00767A78"/>
    <w:rsid w:val="00770420"/>
    <w:rsid w:val="00770AD7"/>
    <w:rsid w:val="00771E7B"/>
    <w:rsid w:val="00771EF1"/>
    <w:rsid w:val="007720AA"/>
    <w:rsid w:val="007731E6"/>
    <w:rsid w:val="007733AD"/>
    <w:rsid w:val="00773B2D"/>
    <w:rsid w:val="007751F1"/>
    <w:rsid w:val="00775704"/>
    <w:rsid w:val="00775EDB"/>
    <w:rsid w:val="0077661B"/>
    <w:rsid w:val="00780E2C"/>
    <w:rsid w:val="00781C2A"/>
    <w:rsid w:val="00781CD5"/>
    <w:rsid w:val="00781E88"/>
    <w:rsid w:val="00783670"/>
    <w:rsid w:val="00783FD4"/>
    <w:rsid w:val="00784B13"/>
    <w:rsid w:val="00785AAC"/>
    <w:rsid w:val="00785D14"/>
    <w:rsid w:val="007869F0"/>
    <w:rsid w:val="007874D6"/>
    <w:rsid w:val="00790148"/>
    <w:rsid w:val="00790EF0"/>
    <w:rsid w:val="00793445"/>
    <w:rsid w:val="00795988"/>
    <w:rsid w:val="00795FB9"/>
    <w:rsid w:val="007962FF"/>
    <w:rsid w:val="00796F74"/>
    <w:rsid w:val="00797068"/>
    <w:rsid w:val="007A08CD"/>
    <w:rsid w:val="007A11BA"/>
    <w:rsid w:val="007A172C"/>
    <w:rsid w:val="007A18A4"/>
    <w:rsid w:val="007A2726"/>
    <w:rsid w:val="007A2D80"/>
    <w:rsid w:val="007A34B1"/>
    <w:rsid w:val="007A4643"/>
    <w:rsid w:val="007A559C"/>
    <w:rsid w:val="007A59F9"/>
    <w:rsid w:val="007A63A9"/>
    <w:rsid w:val="007A763D"/>
    <w:rsid w:val="007A7DF1"/>
    <w:rsid w:val="007B05C3"/>
    <w:rsid w:val="007B0916"/>
    <w:rsid w:val="007B09ED"/>
    <w:rsid w:val="007B19B4"/>
    <w:rsid w:val="007B2037"/>
    <w:rsid w:val="007B288A"/>
    <w:rsid w:val="007B32CA"/>
    <w:rsid w:val="007B3425"/>
    <w:rsid w:val="007B3576"/>
    <w:rsid w:val="007B4C2D"/>
    <w:rsid w:val="007B5F50"/>
    <w:rsid w:val="007B61DD"/>
    <w:rsid w:val="007B7928"/>
    <w:rsid w:val="007B7F42"/>
    <w:rsid w:val="007C0111"/>
    <w:rsid w:val="007C108B"/>
    <w:rsid w:val="007C1CA3"/>
    <w:rsid w:val="007C202B"/>
    <w:rsid w:val="007C2B2D"/>
    <w:rsid w:val="007C2DBB"/>
    <w:rsid w:val="007C2DE4"/>
    <w:rsid w:val="007C3CB5"/>
    <w:rsid w:val="007C5A51"/>
    <w:rsid w:val="007C63EE"/>
    <w:rsid w:val="007C63F5"/>
    <w:rsid w:val="007D1F8B"/>
    <w:rsid w:val="007D2435"/>
    <w:rsid w:val="007D2C17"/>
    <w:rsid w:val="007D2FFB"/>
    <w:rsid w:val="007D3795"/>
    <w:rsid w:val="007D3DEC"/>
    <w:rsid w:val="007D521E"/>
    <w:rsid w:val="007D6318"/>
    <w:rsid w:val="007D7421"/>
    <w:rsid w:val="007D78FC"/>
    <w:rsid w:val="007D7FE4"/>
    <w:rsid w:val="007E0082"/>
    <w:rsid w:val="007E02F4"/>
    <w:rsid w:val="007E05C8"/>
    <w:rsid w:val="007E12D2"/>
    <w:rsid w:val="007E2188"/>
    <w:rsid w:val="007E36DC"/>
    <w:rsid w:val="007E3E6A"/>
    <w:rsid w:val="007E4124"/>
    <w:rsid w:val="007E4184"/>
    <w:rsid w:val="007E4634"/>
    <w:rsid w:val="007E4FED"/>
    <w:rsid w:val="007E7420"/>
    <w:rsid w:val="007E7C23"/>
    <w:rsid w:val="007F1BBA"/>
    <w:rsid w:val="007F1D44"/>
    <w:rsid w:val="007F1D82"/>
    <w:rsid w:val="007F2DCC"/>
    <w:rsid w:val="007F3BC2"/>
    <w:rsid w:val="007F4C4B"/>
    <w:rsid w:val="007F58BC"/>
    <w:rsid w:val="007F6C1B"/>
    <w:rsid w:val="0080246D"/>
    <w:rsid w:val="008033D4"/>
    <w:rsid w:val="008041EB"/>
    <w:rsid w:val="008042D7"/>
    <w:rsid w:val="00813283"/>
    <w:rsid w:val="00813C40"/>
    <w:rsid w:val="008142AD"/>
    <w:rsid w:val="00815DBE"/>
    <w:rsid w:val="00815FC0"/>
    <w:rsid w:val="0082080A"/>
    <w:rsid w:val="00822997"/>
    <w:rsid w:val="00823FA8"/>
    <w:rsid w:val="00824276"/>
    <w:rsid w:val="00825F27"/>
    <w:rsid w:val="008265A8"/>
    <w:rsid w:val="00827511"/>
    <w:rsid w:val="008279CC"/>
    <w:rsid w:val="00830775"/>
    <w:rsid w:val="00833654"/>
    <w:rsid w:val="0083398D"/>
    <w:rsid w:val="00834252"/>
    <w:rsid w:val="00834310"/>
    <w:rsid w:val="00834450"/>
    <w:rsid w:val="00836423"/>
    <w:rsid w:val="008370D6"/>
    <w:rsid w:val="008372D0"/>
    <w:rsid w:val="0084200A"/>
    <w:rsid w:val="00842625"/>
    <w:rsid w:val="00842B2C"/>
    <w:rsid w:val="00843F9F"/>
    <w:rsid w:val="00845CFF"/>
    <w:rsid w:val="008462B6"/>
    <w:rsid w:val="008462FE"/>
    <w:rsid w:val="00846D60"/>
    <w:rsid w:val="00847A0F"/>
    <w:rsid w:val="00847D34"/>
    <w:rsid w:val="008509C5"/>
    <w:rsid w:val="00852A59"/>
    <w:rsid w:val="00854841"/>
    <w:rsid w:val="008548C2"/>
    <w:rsid w:val="0085561C"/>
    <w:rsid w:val="00856557"/>
    <w:rsid w:val="00856E48"/>
    <w:rsid w:val="0086005A"/>
    <w:rsid w:val="008603D4"/>
    <w:rsid w:val="00860C78"/>
    <w:rsid w:val="0086182F"/>
    <w:rsid w:val="0086404F"/>
    <w:rsid w:val="00865200"/>
    <w:rsid w:val="00865DCC"/>
    <w:rsid w:val="00867081"/>
    <w:rsid w:val="00867E5D"/>
    <w:rsid w:val="00867FCD"/>
    <w:rsid w:val="00870FAD"/>
    <w:rsid w:val="0087210E"/>
    <w:rsid w:val="008734B7"/>
    <w:rsid w:val="00874DB4"/>
    <w:rsid w:val="00874F3C"/>
    <w:rsid w:val="008754C6"/>
    <w:rsid w:val="00877893"/>
    <w:rsid w:val="00881C9B"/>
    <w:rsid w:val="00882A02"/>
    <w:rsid w:val="008834E5"/>
    <w:rsid w:val="00883F24"/>
    <w:rsid w:val="00884387"/>
    <w:rsid w:val="00884DB7"/>
    <w:rsid w:val="00885008"/>
    <w:rsid w:val="00885485"/>
    <w:rsid w:val="00886360"/>
    <w:rsid w:val="00891B1C"/>
    <w:rsid w:val="00892835"/>
    <w:rsid w:val="00893041"/>
    <w:rsid w:val="00893AA8"/>
    <w:rsid w:val="00894A4B"/>
    <w:rsid w:val="00895322"/>
    <w:rsid w:val="0089651E"/>
    <w:rsid w:val="00897DB0"/>
    <w:rsid w:val="008A07DE"/>
    <w:rsid w:val="008A1943"/>
    <w:rsid w:val="008A2B47"/>
    <w:rsid w:val="008A3CAF"/>
    <w:rsid w:val="008A4473"/>
    <w:rsid w:val="008A4DB2"/>
    <w:rsid w:val="008A5C06"/>
    <w:rsid w:val="008A6163"/>
    <w:rsid w:val="008A62B5"/>
    <w:rsid w:val="008A6859"/>
    <w:rsid w:val="008B1346"/>
    <w:rsid w:val="008B1C70"/>
    <w:rsid w:val="008B2ABE"/>
    <w:rsid w:val="008B2DFB"/>
    <w:rsid w:val="008B3083"/>
    <w:rsid w:val="008B5E91"/>
    <w:rsid w:val="008B6518"/>
    <w:rsid w:val="008B6F39"/>
    <w:rsid w:val="008B75C2"/>
    <w:rsid w:val="008B7CEB"/>
    <w:rsid w:val="008C1919"/>
    <w:rsid w:val="008C2056"/>
    <w:rsid w:val="008C38EB"/>
    <w:rsid w:val="008C4A56"/>
    <w:rsid w:val="008C4DD2"/>
    <w:rsid w:val="008C60B6"/>
    <w:rsid w:val="008C6A78"/>
    <w:rsid w:val="008C7413"/>
    <w:rsid w:val="008C7CB6"/>
    <w:rsid w:val="008D080C"/>
    <w:rsid w:val="008D132C"/>
    <w:rsid w:val="008D457F"/>
    <w:rsid w:val="008D5457"/>
    <w:rsid w:val="008D5884"/>
    <w:rsid w:val="008D63A0"/>
    <w:rsid w:val="008E00A9"/>
    <w:rsid w:val="008E02E6"/>
    <w:rsid w:val="008E048C"/>
    <w:rsid w:val="008E273F"/>
    <w:rsid w:val="008E3264"/>
    <w:rsid w:val="008E45AC"/>
    <w:rsid w:val="008E6A6D"/>
    <w:rsid w:val="008E6B5A"/>
    <w:rsid w:val="008E6FA2"/>
    <w:rsid w:val="008F0532"/>
    <w:rsid w:val="008F08CA"/>
    <w:rsid w:val="008F0B7E"/>
    <w:rsid w:val="008F11B3"/>
    <w:rsid w:val="008F239E"/>
    <w:rsid w:val="008F2FD9"/>
    <w:rsid w:val="008F63EE"/>
    <w:rsid w:val="008F6405"/>
    <w:rsid w:val="008F6732"/>
    <w:rsid w:val="008F7574"/>
    <w:rsid w:val="008F7CA3"/>
    <w:rsid w:val="00900878"/>
    <w:rsid w:val="00900CA5"/>
    <w:rsid w:val="00900CAA"/>
    <w:rsid w:val="00901D6C"/>
    <w:rsid w:val="00902FDF"/>
    <w:rsid w:val="0090420E"/>
    <w:rsid w:val="009051CA"/>
    <w:rsid w:val="00907242"/>
    <w:rsid w:val="009105BE"/>
    <w:rsid w:val="00912080"/>
    <w:rsid w:val="009135FE"/>
    <w:rsid w:val="00913798"/>
    <w:rsid w:val="00913A20"/>
    <w:rsid w:val="0091497C"/>
    <w:rsid w:val="00915232"/>
    <w:rsid w:val="00916B61"/>
    <w:rsid w:val="00916F97"/>
    <w:rsid w:val="00923744"/>
    <w:rsid w:val="00923951"/>
    <w:rsid w:val="00924081"/>
    <w:rsid w:val="00924FA2"/>
    <w:rsid w:val="0092583A"/>
    <w:rsid w:val="009269F5"/>
    <w:rsid w:val="00926E36"/>
    <w:rsid w:val="009304BD"/>
    <w:rsid w:val="00930E4A"/>
    <w:rsid w:val="0093205B"/>
    <w:rsid w:val="00933114"/>
    <w:rsid w:val="00935F54"/>
    <w:rsid w:val="00936B1B"/>
    <w:rsid w:val="00936D6D"/>
    <w:rsid w:val="009378CE"/>
    <w:rsid w:val="009435F8"/>
    <w:rsid w:val="00943DC8"/>
    <w:rsid w:val="009446A7"/>
    <w:rsid w:val="00946385"/>
    <w:rsid w:val="00947EB7"/>
    <w:rsid w:val="00950E28"/>
    <w:rsid w:val="009537E4"/>
    <w:rsid w:val="0095541B"/>
    <w:rsid w:val="009557FF"/>
    <w:rsid w:val="009558F6"/>
    <w:rsid w:val="00955C2C"/>
    <w:rsid w:val="00956221"/>
    <w:rsid w:val="009567CC"/>
    <w:rsid w:val="009574AA"/>
    <w:rsid w:val="00957711"/>
    <w:rsid w:val="0096018A"/>
    <w:rsid w:val="00960A71"/>
    <w:rsid w:val="00961F57"/>
    <w:rsid w:val="009624F8"/>
    <w:rsid w:val="00962C2D"/>
    <w:rsid w:val="00962E67"/>
    <w:rsid w:val="00963196"/>
    <w:rsid w:val="0096370D"/>
    <w:rsid w:val="009659EA"/>
    <w:rsid w:val="00965D62"/>
    <w:rsid w:val="009663CF"/>
    <w:rsid w:val="0096796B"/>
    <w:rsid w:val="0097141C"/>
    <w:rsid w:val="00972589"/>
    <w:rsid w:val="00973D63"/>
    <w:rsid w:val="009742D5"/>
    <w:rsid w:val="00975131"/>
    <w:rsid w:val="00975F9B"/>
    <w:rsid w:val="00977849"/>
    <w:rsid w:val="009815AE"/>
    <w:rsid w:val="009815E0"/>
    <w:rsid w:val="00981676"/>
    <w:rsid w:val="0098177E"/>
    <w:rsid w:val="009821D8"/>
    <w:rsid w:val="009825B3"/>
    <w:rsid w:val="00982DCE"/>
    <w:rsid w:val="009831C4"/>
    <w:rsid w:val="00983BB3"/>
    <w:rsid w:val="00990AA6"/>
    <w:rsid w:val="00991331"/>
    <w:rsid w:val="009916E0"/>
    <w:rsid w:val="00991754"/>
    <w:rsid w:val="00991DB1"/>
    <w:rsid w:val="00992133"/>
    <w:rsid w:val="009935C2"/>
    <w:rsid w:val="0099467C"/>
    <w:rsid w:val="00994C6A"/>
    <w:rsid w:val="00995235"/>
    <w:rsid w:val="00995A99"/>
    <w:rsid w:val="009967E4"/>
    <w:rsid w:val="00997499"/>
    <w:rsid w:val="00997614"/>
    <w:rsid w:val="009A0036"/>
    <w:rsid w:val="009A1CA8"/>
    <w:rsid w:val="009A2256"/>
    <w:rsid w:val="009A2A9D"/>
    <w:rsid w:val="009A2C65"/>
    <w:rsid w:val="009A329B"/>
    <w:rsid w:val="009A4575"/>
    <w:rsid w:val="009A7EEF"/>
    <w:rsid w:val="009B01B4"/>
    <w:rsid w:val="009B06D5"/>
    <w:rsid w:val="009B1FC5"/>
    <w:rsid w:val="009B20C3"/>
    <w:rsid w:val="009B220F"/>
    <w:rsid w:val="009B30CF"/>
    <w:rsid w:val="009B3B62"/>
    <w:rsid w:val="009B488B"/>
    <w:rsid w:val="009B575A"/>
    <w:rsid w:val="009B7F08"/>
    <w:rsid w:val="009C0688"/>
    <w:rsid w:val="009C1B96"/>
    <w:rsid w:val="009C24EE"/>
    <w:rsid w:val="009C2BDA"/>
    <w:rsid w:val="009C30B2"/>
    <w:rsid w:val="009C3EBD"/>
    <w:rsid w:val="009C4760"/>
    <w:rsid w:val="009C5C8C"/>
    <w:rsid w:val="009C5D35"/>
    <w:rsid w:val="009C62F4"/>
    <w:rsid w:val="009C65F6"/>
    <w:rsid w:val="009C6D13"/>
    <w:rsid w:val="009C7BD0"/>
    <w:rsid w:val="009D07DC"/>
    <w:rsid w:val="009D10B3"/>
    <w:rsid w:val="009D1961"/>
    <w:rsid w:val="009D25E1"/>
    <w:rsid w:val="009D2AC6"/>
    <w:rsid w:val="009D30E4"/>
    <w:rsid w:val="009D3821"/>
    <w:rsid w:val="009D3845"/>
    <w:rsid w:val="009D5FD1"/>
    <w:rsid w:val="009D6EC2"/>
    <w:rsid w:val="009D78F8"/>
    <w:rsid w:val="009D7CE5"/>
    <w:rsid w:val="009E2E52"/>
    <w:rsid w:val="009E36A4"/>
    <w:rsid w:val="009E3BA0"/>
    <w:rsid w:val="009E3D95"/>
    <w:rsid w:val="009E5B50"/>
    <w:rsid w:val="009E6E3B"/>
    <w:rsid w:val="009E732D"/>
    <w:rsid w:val="009E756A"/>
    <w:rsid w:val="009F0140"/>
    <w:rsid w:val="009F05D2"/>
    <w:rsid w:val="009F0837"/>
    <w:rsid w:val="009F0874"/>
    <w:rsid w:val="009F3F92"/>
    <w:rsid w:val="009F4BE5"/>
    <w:rsid w:val="009F5A17"/>
    <w:rsid w:val="00A01FBD"/>
    <w:rsid w:val="00A02106"/>
    <w:rsid w:val="00A021C1"/>
    <w:rsid w:val="00A02FAD"/>
    <w:rsid w:val="00A02FD2"/>
    <w:rsid w:val="00A035A9"/>
    <w:rsid w:val="00A048C3"/>
    <w:rsid w:val="00A0546B"/>
    <w:rsid w:val="00A054D7"/>
    <w:rsid w:val="00A05B7B"/>
    <w:rsid w:val="00A071FA"/>
    <w:rsid w:val="00A103CB"/>
    <w:rsid w:val="00A103E3"/>
    <w:rsid w:val="00A10987"/>
    <w:rsid w:val="00A1199C"/>
    <w:rsid w:val="00A120EA"/>
    <w:rsid w:val="00A13714"/>
    <w:rsid w:val="00A14B4A"/>
    <w:rsid w:val="00A156DB"/>
    <w:rsid w:val="00A15E39"/>
    <w:rsid w:val="00A1778F"/>
    <w:rsid w:val="00A2057A"/>
    <w:rsid w:val="00A2086A"/>
    <w:rsid w:val="00A21827"/>
    <w:rsid w:val="00A21BDE"/>
    <w:rsid w:val="00A22909"/>
    <w:rsid w:val="00A229FE"/>
    <w:rsid w:val="00A24E97"/>
    <w:rsid w:val="00A25440"/>
    <w:rsid w:val="00A25C81"/>
    <w:rsid w:val="00A26217"/>
    <w:rsid w:val="00A26532"/>
    <w:rsid w:val="00A26835"/>
    <w:rsid w:val="00A27F41"/>
    <w:rsid w:val="00A31315"/>
    <w:rsid w:val="00A3265D"/>
    <w:rsid w:val="00A378C3"/>
    <w:rsid w:val="00A37CF9"/>
    <w:rsid w:val="00A404AB"/>
    <w:rsid w:val="00A4055F"/>
    <w:rsid w:val="00A4325F"/>
    <w:rsid w:val="00A43C81"/>
    <w:rsid w:val="00A472DC"/>
    <w:rsid w:val="00A50AA2"/>
    <w:rsid w:val="00A50CEA"/>
    <w:rsid w:val="00A511D8"/>
    <w:rsid w:val="00A52F17"/>
    <w:rsid w:val="00A53698"/>
    <w:rsid w:val="00A5475B"/>
    <w:rsid w:val="00A54C31"/>
    <w:rsid w:val="00A55BFA"/>
    <w:rsid w:val="00A56A17"/>
    <w:rsid w:val="00A56D01"/>
    <w:rsid w:val="00A6050B"/>
    <w:rsid w:val="00A61C7E"/>
    <w:rsid w:val="00A634E4"/>
    <w:rsid w:val="00A641A0"/>
    <w:rsid w:val="00A66B61"/>
    <w:rsid w:val="00A66ECF"/>
    <w:rsid w:val="00A67A0A"/>
    <w:rsid w:val="00A700AC"/>
    <w:rsid w:val="00A706FE"/>
    <w:rsid w:val="00A7198E"/>
    <w:rsid w:val="00A72436"/>
    <w:rsid w:val="00A727FD"/>
    <w:rsid w:val="00A741C8"/>
    <w:rsid w:val="00A742BB"/>
    <w:rsid w:val="00A7464E"/>
    <w:rsid w:val="00A75DE7"/>
    <w:rsid w:val="00A76B85"/>
    <w:rsid w:val="00A7704C"/>
    <w:rsid w:val="00A8007F"/>
    <w:rsid w:val="00A816EB"/>
    <w:rsid w:val="00A82FD9"/>
    <w:rsid w:val="00A83596"/>
    <w:rsid w:val="00A83F29"/>
    <w:rsid w:val="00A84F24"/>
    <w:rsid w:val="00A861CF"/>
    <w:rsid w:val="00A87248"/>
    <w:rsid w:val="00A90150"/>
    <w:rsid w:val="00A90EEE"/>
    <w:rsid w:val="00A91038"/>
    <w:rsid w:val="00A91836"/>
    <w:rsid w:val="00A9183C"/>
    <w:rsid w:val="00A93A49"/>
    <w:rsid w:val="00A93C1D"/>
    <w:rsid w:val="00A93C2F"/>
    <w:rsid w:val="00A9446C"/>
    <w:rsid w:val="00A9475E"/>
    <w:rsid w:val="00A94951"/>
    <w:rsid w:val="00A94D1C"/>
    <w:rsid w:val="00A95674"/>
    <w:rsid w:val="00A958B4"/>
    <w:rsid w:val="00A96764"/>
    <w:rsid w:val="00A9721B"/>
    <w:rsid w:val="00A974FE"/>
    <w:rsid w:val="00A97AA1"/>
    <w:rsid w:val="00AA3247"/>
    <w:rsid w:val="00AA452B"/>
    <w:rsid w:val="00AA4760"/>
    <w:rsid w:val="00AA4843"/>
    <w:rsid w:val="00AA4B41"/>
    <w:rsid w:val="00AA5269"/>
    <w:rsid w:val="00AA567B"/>
    <w:rsid w:val="00AA5B3D"/>
    <w:rsid w:val="00AA66B6"/>
    <w:rsid w:val="00AB09AB"/>
    <w:rsid w:val="00AB110A"/>
    <w:rsid w:val="00AB1AB5"/>
    <w:rsid w:val="00AB2651"/>
    <w:rsid w:val="00AB3FA4"/>
    <w:rsid w:val="00AB52AB"/>
    <w:rsid w:val="00AB5B9A"/>
    <w:rsid w:val="00AB5ED3"/>
    <w:rsid w:val="00AB6385"/>
    <w:rsid w:val="00AB7590"/>
    <w:rsid w:val="00AB7D61"/>
    <w:rsid w:val="00AC02F7"/>
    <w:rsid w:val="00AC2119"/>
    <w:rsid w:val="00AC2232"/>
    <w:rsid w:val="00AC3115"/>
    <w:rsid w:val="00AC3AA1"/>
    <w:rsid w:val="00AC499F"/>
    <w:rsid w:val="00AC58F1"/>
    <w:rsid w:val="00AC5C38"/>
    <w:rsid w:val="00AC724A"/>
    <w:rsid w:val="00AD0645"/>
    <w:rsid w:val="00AD3BCC"/>
    <w:rsid w:val="00AD596F"/>
    <w:rsid w:val="00AD610B"/>
    <w:rsid w:val="00AD61A9"/>
    <w:rsid w:val="00AD6798"/>
    <w:rsid w:val="00AD684D"/>
    <w:rsid w:val="00AD6FCB"/>
    <w:rsid w:val="00AD7255"/>
    <w:rsid w:val="00AD7A6D"/>
    <w:rsid w:val="00AE223B"/>
    <w:rsid w:val="00AE23AF"/>
    <w:rsid w:val="00AE248D"/>
    <w:rsid w:val="00AE286A"/>
    <w:rsid w:val="00AE3B0B"/>
    <w:rsid w:val="00AF5321"/>
    <w:rsid w:val="00AF5867"/>
    <w:rsid w:val="00AF68AD"/>
    <w:rsid w:val="00AF6D87"/>
    <w:rsid w:val="00AF7439"/>
    <w:rsid w:val="00AF7A01"/>
    <w:rsid w:val="00B005FC"/>
    <w:rsid w:val="00B019DC"/>
    <w:rsid w:val="00B01E3D"/>
    <w:rsid w:val="00B03C06"/>
    <w:rsid w:val="00B03FD4"/>
    <w:rsid w:val="00B044FA"/>
    <w:rsid w:val="00B04F10"/>
    <w:rsid w:val="00B0515C"/>
    <w:rsid w:val="00B05A6B"/>
    <w:rsid w:val="00B102BA"/>
    <w:rsid w:val="00B11961"/>
    <w:rsid w:val="00B123C6"/>
    <w:rsid w:val="00B12BA9"/>
    <w:rsid w:val="00B1311A"/>
    <w:rsid w:val="00B13213"/>
    <w:rsid w:val="00B14301"/>
    <w:rsid w:val="00B146D7"/>
    <w:rsid w:val="00B159EB"/>
    <w:rsid w:val="00B16066"/>
    <w:rsid w:val="00B17646"/>
    <w:rsid w:val="00B178B8"/>
    <w:rsid w:val="00B20A36"/>
    <w:rsid w:val="00B20DE9"/>
    <w:rsid w:val="00B22350"/>
    <w:rsid w:val="00B22725"/>
    <w:rsid w:val="00B24227"/>
    <w:rsid w:val="00B24994"/>
    <w:rsid w:val="00B2564A"/>
    <w:rsid w:val="00B27CBA"/>
    <w:rsid w:val="00B30EC5"/>
    <w:rsid w:val="00B3122B"/>
    <w:rsid w:val="00B31D63"/>
    <w:rsid w:val="00B32629"/>
    <w:rsid w:val="00B32EBE"/>
    <w:rsid w:val="00B33946"/>
    <w:rsid w:val="00B33B4B"/>
    <w:rsid w:val="00B34106"/>
    <w:rsid w:val="00B35A9F"/>
    <w:rsid w:val="00B36E1D"/>
    <w:rsid w:val="00B372C9"/>
    <w:rsid w:val="00B42227"/>
    <w:rsid w:val="00B4246A"/>
    <w:rsid w:val="00B425A3"/>
    <w:rsid w:val="00B44172"/>
    <w:rsid w:val="00B458E1"/>
    <w:rsid w:val="00B47854"/>
    <w:rsid w:val="00B478DC"/>
    <w:rsid w:val="00B50D0F"/>
    <w:rsid w:val="00B517BC"/>
    <w:rsid w:val="00B51982"/>
    <w:rsid w:val="00B5284F"/>
    <w:rsid w:val="00B54065"/>
    <w:rsid w:val="00B54E38"/>
    <w:rsid w:val="00B551DE"/>
    <w:rsid w:val="00B55E1A"/>
    <w:rsid w:val="00B576F9"/>
    <w:rsid w:val="00B602A4"/>
    <w:rsid w:val="00B60A39"/>
    <w:rsid w:val="00B61D42"/>
    <w:rsid w:val="00B62084"/>
    <w:rsid w:val="00B626CF"/>
    <w:rsid w:val="00B62754"/>
    <w:rsid w:val="00B63C05"/>
    <w:rsid w:val="00B63DF1"/>
    <w:rsid w:val="00B65833"/>
    <w:rsid w:val="00B658C4"/>
    <w:rsid w:val="00B661EC"/>
    <w:rsid w:val="00B67C7A"/>
    <w:rsid w:val="00B71AAD"/>
    <w:rsid w:val="00B71FA7"/>
    <w:rsid w:val="00B72A55"/>
    <w:rsid w:val="00B74336"/>
    <w:rsid w:val="00B74E95"/>
    <w:rsid w:val="00B75554"/>
    <w:rsid w:val="00B75B37"/>
    <w:rsid w:val="00B76139"/>
    <w:rsid w:val="00B76B48"/>
    <w:rsid w:val="00B76B6C"/>
    <w:rsid w:val="00B82371"/>
    <w:rsid w:val="00B82379"/>
    <w:rsid w:val="00B82485"/>
    <w:rsid w:val="00B83269"/>
    <w:rsid w:val="00B83B99"/>
    <w:rsid w:val="00B83BBF"/>
    <w:rsid w:val="00B83D67"/>
    <w:rsid w:val="00B84A89"/>
    <w:rsid w:val="00B84D29"/>
    <w:rsid w:val="00B851FC"/>
    <w:rsid w:val="00B85A26"/>
    <w:rsid w:val="00B85B51"/>
    <w:rsid w:val="00B865F6"/>
    <w:rsid w:val="00B86941"/>
    <w:rsid w:val="00B87225"/>
    <w:rsid w:val="00B873E3"/>
    <w:rsid w:val="00B87C6E"/>
    <w:rsid w:val="00B90629"/>
    <w:rsid w:val="00B92008"/>
    <w:rsid w:val="00B92614"/>
    <w:rsid w:val="00B942F4"/>
    <w:rsid w:val="00B94F9B"/>
    <w:rsid w:val="00B96588"/>
    <w:rsid w:val="00B967FF"/>
    <w:rsid w:val="00BA1200"/>
    <w:rsid w:val="00BA3C82"/>
    <w:rsid w:val="00BA45CD"/>
    <w:rsid w:val="00BA4D3C"/>
    <w:rsid w:val="00BA5E38"/>
    <w:rsid w:val="00BB0713"/>
    <w:rsid w:val="00BB2563"/>
    <w:rsid w:val="00BB2DE9"/>
    <w:rsid w:val="00BB3212"/>
    <w:rsid w:val="00BB341E"/>
    <w:rsid w:val="00BB3642"/>
    <w:rsid w:val="00BB3656"/>
    <w:rsid w:val="00BB4E8A"/>
    <w:rsid w:val="00BB5CC4"/>
    <w:rsid w:val="00BB7825"/>
    <w:rsid w:val="00BB7C85"/>
    <w:rsid w:val="00BC03B0"/>
    <w:rsid w:val="00BC0779"/>
    <w:rsid w:val="00BC0BA6"/>
    <w:rsid w:val="00BC0DF6"/>
    <w:rsid w:val="00BC0FA0"/>
    <w:rsid w:val="00BC2B61"/>
    <w:rsid w:val="00BC388E"/>
    <w:rsid w:val="00BC42DA"/>
    <w:rsid w:val="00BC4DB1"/>
    <w:rsid w:val="00BC6FBB"/>
    <w:rsid w:val="00BC742E"/>
    <w:rsid w:val="00BC7835"/>
    <w:rsid w:val="00BC7B9C"/>
    <w:rsid w:val="00BD08C3"/>
    <w:rsid w:val="00BD1576"/>
    <w:rsid w:val="00BD38D9"/>
    <w:rsid w:val="00BD3FD1"/>
    <w:rsid w:val="00BD41A3"/>
    <w:rsid w:val="00BD4541"/>
    <w:rsid w:val="00BD4581"/>
    <w:rsid w:val="00BE092A"/>
    <w:rsid w:val="00BE0EA4"/>
    <w:rsid w:val="00BE1CBD"/>
    <w:rsid w:val="00BE404C"/>
    <w:rsid w:val="00BE5AB9"/>
    <w:rsid w:val="00BE68BF"/>
    <w:rsid w:val="00BE6CD3"/>
    <w:rsid w:val="00BE6D60"/>
    <w:rsid w:val="00BE7C74"/>
    <w:rsid w:val="00BF0510"/>
    <w:rsid w:val="00BF12D0"/>
    <w:rsid w:val="00BF1475"/>
    <w:rsid w:val="00BF221C"/>
    <w:rsid w:val="00BF282C"/>
    <w:rsid w:val="00BF575B"/>
    <w:rsid w:val="00BF6496"/>
    <w:rsid w:val="00BF6C09"/>
    <w:rsid w:val="00BF7578"/>
    <w:rsid w:val="00C0104E"/>
    <w:rsid w:val="00C015A3"/>
    <w:rsid w:val="00C0170B"/>
    <w:rsid w:val="00C027FF"/>
    <w:rsid w:val="00C03784"/>
    <w:rsid w:val="00C03CA7"/>
    <w:rsid w:val="00C04492"/>
    <w:rsid w:val="00C04CC7"/>
    <w:rsid w:val="00C0624D"/>
    <w:rsid w:val="00C076B9"/>
    <w:rsid w:val="00C1018F"/>
    <w:rsid w:val="00C10966"/>
    <w:rsid w:val="00C1265C"/>
    <w:rsid w:val="00C136EB"/>
    <w:rsid w:val="00C14746"/>
    <w:rsid w:val="00C164BC"/>
    <w:rsid w:val="00C20FE2"/>
    <w:rsid w:val="00C22563"/>
    <w:rsid w:val="00C22F51"/>
    <w:rsid w:val="00C234E5"/>
    <w:rsid w:val="00C23EA1"/>
    <w:rsid w:val="00C240C3"/>
    <w:rsid w:val="00C2484F"/>
    <w:rsid w:val="00C27F12"/>
    <w:rsid w:val="00C30CA1"/>
    <w:rsid w:val="00C31DBA"/>
    <w:rsid w:val="00C31EBE"/>
    <w:rsid w:val="00C327C3"/>
    <w:rsid w:val="00C35821"/>
    <w:rsid w:val="00C36DC2"/>
    <w:rsid w:val="00C37A76"/>
    <w:rsid w:val="00C37FBA"/>
    <w:rsid w:val="00C42DF9"/>
    <w:rsid w:val="00C44D7B"/>
    <w:rsid w:val="00C44E45"/>
    <w:rsid w:val="00C46110"/>
    <w:rsid w:val="00C46C09"/>
    <w:rsid w:val="00C474CF"/>
    <w:rsid w:val="00C50C87"/>
    <w:rsid w:val="00C50D16"/>
    <w:rsid w:val="00C52335"/>
    <w:rsid w:val="00C52707"/>
    <w:rsid w:val="00C529A5"/>
    <w:rsid w:val="00C52A7B"/>
    <w:rsid w:val="00C52C67"/>
    <w:rsid w:val="00C52E13"/>
    <w:rsid w:val="00C53310"/>
    <w:rsid w:val="00C53D0B"/>
    <w:rsid w:val="00C53F41"/>
    <w:rsid w:val="00C54C2A"/>
    <w:rsid w:val="00C55009"/>
    <w:rsid w:val="00C5512C"/>
    <w:rsid w:val="00C5513E"/>
    <w:rsid w:val="00C55284"/>
    <w:rsid w:val="00C55E62"/>
    <w:rsid w:val="00C56CD2"/>
    <w:rsid w:val="00C57591"/>
    <w:rsid w:val="00C61D40"/>
    <w:rsid w:val="00C6216B"/>
    <w:rsid w:val="00C624A2"/>
    <w:rsid w:val="00C64E7A"/>
    <w:rsid w:val="00C6542A"/>
    <w:rsid w:val="00C65776"/>
    <w:rsid w:val="00C657D4"/>
    <w:rsid w:val="00C66ACA"/>
    <w:rsid w:val="00C70586"/>
    <w:rsid w:val="00C70D84"/>
    <w:rsid w:val="00C718DF"/>
    <w:rsid w:val="00C757D3"/>
    <w:rsid w:val="00C75C0B"/>
    <w:rsid w:val="00C75C2D"/>
    <w:rsid w:val="00C75E5E"/>
    <w:rsid w:val="00C77FBE"/>
    <w:rsid w:val="00C805E5"/>
    <w:rsid w:val="00C82370"/>
    <w:rsid w:val="00C8256B"/>
    <w:rsid w:val="00C83B15"/>
    <w:rsid w:val="00C8471A"/>
    <w:rsid w:val="00C849F9"/>
    <w:rsid w:val="00C84ED3"/>
    <w:rsid w:val="00C86854"/>
    <w:rsid w:val="00C8699A"/>
    <w:rsid w:val="00C86A72"/>
    <w:rsid w:val="00C86EB4"/>
    <w:rsid w:val="00C87253"/>
    <w:rsid w:val="00C90FEA"/>
    <w:rsid w:val="00C9193C"/>
    <w:rsid w:val="00C922D8"/>
    <w:rsid w:val="00C93D67"/>
    <w:rsid w:val="00C93F5F"/>
    <w:rsid w:val="00C944AF"/>
    <w:rsid w:val="00C946FF"/>
    <w:rsid w:val="00C94864"/>
    <w:rsid w:val="00C95361"/>
    <w:rsid w:val="00CA0017"/>
    <w:rsid w:val="00CA036D"/>
    <w:rsid w:val="00CA09A2"/>
    <w:rsid w:val="00CA4812"/>
    <w:rsid w:val="00CA57A7"/>
    <w:rsid w:val="00CA6255"/>
    <w:rsid w:val="00CA6691"/>
    <w:rsid w:val="00CB190D"/>
    <w:rsid w:val="00CB1D37"/>
    <w:rsid w:val="00CB3814"/>
    <w:rsid w:val="00CB44BB"/>
    <w:rsid w:val="00CB4A2E"/>
    <w:rsid w:val="00CB6EAB"/>
    <w:rsid w:val="00CB72AC"/>
    <w:rsid w:val="00CC013A"/>
    <w:rsid w:val="00CC0D1F"/>
    <w:rsid w:val="00CC0F63"/>
    <w:rsid w:val="00CC331C"/>
    <w:rsid w:val="00CC4653"/>
    <w:rsid w:val="00CC5A4F"/>
    <w:rsid w:val="00CD0CCA"/>
    <w:rsid w:val="00CD1023"/>
    <w:rsid w:val="00CD3D9D"/>
    <w:rsid w:val="00CD5C6E"/>
    <w:rsid w:val="00CE0148"/>
    <w:rsid w:val="00CE19C5"/>
    <w:rsid w:val="00CE3942"/>
    <w:rsid w:val="00CE3E51"/>
    <w:rsid w:val="00CE43D1"/>
    <w:rsid w:val="00CE492D"/>
    <w:rsid w:val="00CE5DF9"/>
    <w:rsid w:val="00CE74DF"/>
    <w:rsid w:val="00CE78B7"/>
    <w:rsid w:val="00CF06D2"/>
    <w:rsid w:val="00CF192E"/>
    <w:rsid w:val="00CF29EC"/>
    <w:rsid w:val="00CF332E"/>
    <w:rsid w:val="00CF3529"/>
    <w:rsid w:val="00CF3C8D"/>
    <w:rsid w:val="00CF46E5"/>
    <w:rsid w:val="00CF4D5A"/>
    <w:rsid w:val="00CF6B64"/>
    <w:rsid w:val="00CF6B6B"/>
    <w:rsid w:val="00D00529"/>
    <w:rsid w:val="00D006C4"/>
    <w:rsid w:val="00D00811"/>
    <w:rsid w:val="00D02594"/>
    <w:rsid w:val="00D02A73"/>
    <w:rsid w:val="00D04944"/>
    <w:rsid w:val="00D05CA6"/>
    <w:rsid w:val="00D05DF7"/>
    <w:rsid w:val="00D06CA6"/>
    <w:rsid w:val="00D0725F"/>
    <w:rsid w:val="00D075EB"/>
    <w:rsid w:val="00D115A5"/>
    <w:rsid w:val="00D11735"/>
    <w:rsid w:val="00D13736"/>
    <w:rsid w:val="00D14A19"/>
    <w:rsid w:val="00D162D4"/>
    <w:rsid w:val="00D20C8C"/>
    <w:rsid w:val="00D2170C"/>
    <w:rsid w:val="00D21BE2"/>
    <w:rsid w:val="00D220F1"/>
    <w:rsid w:val="00D222A6"/>
    <w:rsid w:val="00D230B0"/>
    <w:rsid w:val="00D23829"/>
    <w:rsid w:val="00D24D43"/>
    <w:rsid w:val="00D24E95"/>
    <w:rsid w:val="00D258D9"/>
    <w:rsid w:val="00D26D6C"/>
    <w:rsid w:val="00D26E6D"/>
    <w:rsid w:val="00D27D6F"/>
    <w:rsid w:val="00D3014D"/>
    <w:rsid w:val="00D30335"/>
    <w:rsid w:val="00D30E81"/>
    <w:rsid w:val="00D316B0"/>
    <w:rsid w:val="00D31909"/>
    <w:rsid w:val="00D333B0"/>
    <w:rsid w:val="00D351CC"/>
    <w:rsid w:val="00D35871"/>
    <w:rsid w:val="00D35CB3"/>
    <w:rsid w:val="00D36CD5"/>
    <w:rsid w:val="00D37E9A"/>
    <w:rsid w:val="00D42EB7"/>
    <w:rsid w:val="00D43EBF"/>
    <w:rsid w:val="00D45FDA"/>
    <w:rsid w:val="00D46F25"/>
    <w:rsid w:val="00D47908"/>
    <w:rsid w:val="00D5176E"/>
    <w:rsid w:val="00D51F9A"/>
    <w:rsid w:val="00D5260A"/>
    <w:rsid w:val="00D52795"/>
    <w:rsid w:val="00D548B0"/>
    <w:rsid w:val="00D54DCE"/>
    <w:rsid w:val="00D56855"/>
    <w:rsid w:val="00D56F8A"/>
    <w:rsid w:val="00D600E6"/>
    <w:rsid w:val="00D601D8"/>
    <w:rsid w:val="00D61249"/>
    <w:rsid w:val="00D619E8"/>
    <w:rsid w:val="00D63049"/>
    <w:rsid w:val="00D6343C"/>
    <w:rsid w:val="00D63693"/>
    <w:rsid w:val="00D63712"/>
    <w:rsid w:val="00D6386C"/>
    <w:rsid w:val="00D63A99"/>
    <w:rsid w:val="00D65EF5"/>
    <w:rsid w:val="00D660B4"/>
    <w:rsid w:val="00D70762"/>
    <w:rsid w:val="00D71C9F"/>
    <w:rsid w:val="00D728FA"/>
    <w:rsid w:val="00D72B69"/>
    <w:rsid w:val="00D72CBC"/>
    <w:rsid w:val="00D73846"/>
    <w:rsid w:val="00D73A31"/>
    <w:rsid w:val="00D75349"/>
    <w:rsid w:val="00D75526"/>
    <w:rsid w:val="00D75FC9"/>
    <w:rsid w:val="00D773FA"/>
    <w:rsid w:val="00D7775A"/>
    <w:rsid w:val="00D77AC6"/>
    <w:rsid w:val="00D80B99"/>
    <w:rsid w:val="00D81EBA"/>
    <w:rsid w:val="00D82264"/>
    <w:rsid w:val="00D82620"/>
    <w:rsid w:val="00D82C47"/>
    <w:rsid w:val="00D832BE"/>
    <w:rsid w:val="00D835A4"/>
    <w:rsid w:val="00D8427E"/>
    <w:rsid w:val="00D84561"/>
    <w:rsid w:val="00D85A1A"/>
    <w:rsid w:val="00D85E93"/>
    <w:rsid w:val="00D8639E"/>
    <w:rsid w:val="00D867BB"/>
    <w:rsid w:val="00D8744E"/>
    <w:rsid w:val="00D92785"/>
    <w:rsid w:val="00D939E5"/>
    <w:rsid w:val="00D96CC7"/>
    <w:rsid w:val="00D96D31"/>
    <w:rsid w:val="00D96DB1"/>
    <w:rsid w:val="00D9700B"/>
    <w:rsid w:val="00D97D42"/>
    <w:rsid w:val="00DA0491"/>
    <w:rsid w:val="00DA27E2"/>
    <w:rsid w:val="00DA281D"/>
    <w:rsid w:val="00DA2E06"/>
    <w:rsid w:val="00DA2EF6"/>
    <w:rsid w:val="00DA2FBC"/>
    <w:rsid w:val="00DA3396"/>
    <w:rsid w:val="00DA4526"/>
    <w:rsid w:val="00DA4910"/>
    <w:rsid w:val="00DA4936"/>
    <w:rsid w:val="00DA67D4"/>
    <w:rsid w:val="00DA7A75"/>
    <w:rsid w:val="00DB049B"/>
    <w:rsid w:val="00DB070D"/>
    <w:rsid w:val="00DB08A5"/>
    <w:rsid w:val="00DB0C9E"/>
    <w:rsid w:val="00DB389B"/>
    <w:rsid w:val="00DB540F"/>
    <w:rsid w:val="00DB6B4F"/>
    <w:rsid w:val="00DB6DB9"/>
    <w:rsid w:val="00DB714A"/>
    <w:rsid w:val="00DB7CF1"/>
    <w:rsid w:val="00DC115A"/>
    <w:rsid w:val="00DC2FA7"/>
    <w:rsid w:val="00DC4D58"/>
    <w:rsid w:val="00DC4EB2"/>
    <w:rsid w:val="00DC5604"/>
    <w:rsid w:val="00DC575C"/>
    <w:rsid w:val="00DC6D41"/>
    <w:rsid w:val="00DC777C"/>
    <w:rsid w:val="00DD21B0"/>
    <w:rsid w:val="00DD25A8"/>
    <w:rsid w:val="00DD4694"/>
    <w:rsid w:val="00DD53A2"/>
    <w:rsid w:val="00DD6322"/>
    <w:rsid w:val="00DD75F1"/>
    <w:rsid w:val="00DE191D"/>
    <w:rsid w:val="00DE1C00"/>
    <w:rsid w:val="00DE32B2"/>
    <w:rsid w:val="00DE3C3F"/>
    <w:rsid w:val="00DE3F0B"/>
    <w:rsid w:val="00DE48C5"/>
    <w:rsid w:val="00DE523E"/>
    <w:rsid w:val="00DE6410"/>
    <w:rsid w:val="00DE6F38"/>
    <w:rsid w:val="00DF19F1"/>
    <w:rsid w:val="00DF276E"/>
    <w:rsid w:val="00DF2E01"/>
    <w:rsid w:val="00DF392F"/>
    <w:rsid w:val="00DF3A91"/>
    <w:rsid w:val="00DF4618"/>
    <w:rsid w:val="00DF4DDD"/>
    <w:rsid w:val="00DF4E73"/>
    <w:rsid w:val="00DF56CF"/>
    <w:rsid w:val="00DF6055"/>
    <w:rsid w:val="00DF6226"/>
    <w:rsid w:val="00DF6257"/>
    <w:rsid w:val="00DF66F6"/>
    <w:rsid w:val="00DF6C85"/>
    <w:rsid w:val="00DF74D7"/>
    <w:rsid w:val="00E00B9E"/>
    <w:rsid w:val="00E011E3"/>
    <w:rsid w:val="00E01581"/>
    <w:rsid w:val="00E019FA"/>
    <w:rsid w:val="00E01F43"/>
    <w:rsid w:val="00E027DB"/>
    <w:rsid w:val="00E03BCF"/>
    <w:rsid w:val="00E058B9"/>
    <w:rsid w:val="00E05A59"/>
    <w:rsid w:val="00E0713D"/>
    <w:rsid w:val="00E076A2"/>
    <w:rsid w:val="00E11DFA"/>
    <w:rsid w:val="00E11FC2"/>
    <w:rsid w:val="00E12C31"/>
    <w:rsid w:val="00E134FD"/>
    <w:rsid w:val="00E137E5"/>
    <w:rsid w:val="00E13805"/>
    <w:rsid w:val="00E13DC6"/>
    <w:rsid w:val="00E15656"/>
    <w:rsid w:val="00E158BE"/>
    <w:rsid w:val="00E16AF1"/>
    <w:rsid w:val="00E17388"/>
    <w:rsid w:val="00E20B3B"/>
    <w:rsid w:val="00E234DB"/>
    <w:rsid w:val="00E2523D"/>
    <w:rsid w:val="00E259A5"/>
    <w:rsid w:val="00E26026"/>
    <w:rsid w:val="00E27D61"/>
    <w:rsid w:val="00E27D66"/>
    <w:rsid w:val="00E30937"/>
    <w:rsid w:val="00E30B81"/>
    <w:rsid w:val="00E32634"/>
    <w:rsid w:val="00E32EFD"/>
    <w:rsid w:val="00E3540A"/>
    <w:rsid w:val="00E35629"/>
    <w:rsid w:val="00E35AED"/>
    <w:rsid w:val="00E36B54"/>
    <w:rsid w:val="00E36FC7"/>
    <w:rsid w:val="00E37384"/>
    <w:rsid w:val="00E4227E"/>
    <w:rsid w:val="00E43948"/>
    <w:rsid w:val="00E43951"/>
    <w:rsid w:val="00E4413D"/>
    <w:rsid w:val="00E447AF"/>
    <w:rsid w:val="00E4496C"/>
    <w:rsid w:val="00E45587"/>
    <w:rsid w:val="00E46C05"/>
    <w:rsid w:val="00E46EC2"/>
    <w:rsid w:val="00E46FEF"/>
    <w:rsid w:val="00E47950"/>
    <w:rsid w:val="00E5084F"/>
    <w:rsid w:val="00E50E9B"/>
    <w:rsid w:val="00E526C2"/>
    <w:rsid w:val="00E53139"/>
    <w:rsid w:val="00E553F8"/>
    <w:rsid w:val="00E558C2"/>
    <w:rsid w:val="00E56A45"/>
    <w:rsid w:val="00E577FA"/>
    <w:rsid w:val="00E57968"/>
    <w:rsid w:val="00E57A15"/>
    <w:rsid w:val="00E600E7"/>
    <w:rsid w:val="00E619A9"/>
    <w:rsid w:val="00E63015"/>
    <w:rsid w:val="00E635A8"/>
    <w:rsid w:val="00E650BB"/>
    <w:rsid w:val="00E657C4"/>
    <w:rsid w:val="00E67A3D"/>
    <w:rsid w:val="00E67EF4"/>
    <w:rsid w:val="00E70DA7"/>
    <w:rsid w:val="00E71D3E"/>
    <w:rsid w:val="00E73005"/>
    <w:rsid w:val="00E73492"/>
    <w:rsid w:val="00E73998"/>
    <w:rsid w:val="00E73EF7"/>
    <w:rsid w:val="00E7627B"/>
    <w:rsid w:val="00E77ADF"/>
    <w:rsid w:val="00E77EA0"/>
    <w:rsid w:val="00E80168"/>
    <w:rsid w:val="00E80782"/>
    <w:rsid w:val="00E82565"/>
    <w:rsid w:val="00E835D7"/>
    <w:rsid w:val="00E836F4"/>
    <w:rsid w:val="00E841DD"/>
    <w:rsid w:val="00E86518"/>
    <w:rsid w:val="00E869E9"/>
    <w:rsid w:val="00E87243"/>
    <w:rsid w:val="00E87786"/>
    <w:rsid w:val="00E90034"/>
    <w:rsid w:val="00E91ACF"/>
    <w:rsid w:val="00E91D1D"/>
    <w:rsid w:val="00E93BA8"/>
    <w:rsid w:val="00E93BE9"/>
    <w:rsid w:val="00E95311"/>
    <w:rsid w:val="00E95F92"/>
    <w:rsid w:val="00E975BC"/>
    <w:rsid w:val="00E97771"/>
    <w:rsid w:val="00EA2916"/>
    <w:rsid w:val="00EA2CBE"/>
    <w:rsid w:val="00EA3814"/>
    <w:rsid w:val="00EA3FC9"/>
    <w:rsid w:val="00EA416F"/>
    <w:rsid w:val="00EA4C7C"/>
    <w:rsid w:val="00EA5354"/>
    <w:rsid w:val="00EA596B"/>
    <w:rsid w:val="00EA5A05"/>
    <w:rsid w:val="00EA7AC4"/>
    <w:rsid w:val="00EB0317"/>
    <w:rsid w:val="00EB0FB2"/>
    <w:rsid w:val="00EB2600"/>
    <w:rsid w:val="00EB261A"/>
    <w:rsid w:val="00EB284A"/>
    <w:rsid w:val="00EB2C13"/>
    <w:rsid w:val="00EB3AF7"/>
    <w:rsid w:val="00EB673B"/>
    <w:rsid w:val="00EB6ABB"/>
    <w:rsid w:val="00EB7CF4"/>
    <w:rsid w:val="00EC03F5"/>
    <w:rsid w:val="00EC099E"/>
    <w:rsid w:val="00EC106D"/>
    <w:rsid w:val="00EC268D"/>
    <w:rsid w:val="00EC342A"/>
    <w:rsid w:val="00EC36A0"/>
    <w:rsid w:val="00EC3815"/>
    <w:rsid w:val="00EC3975"/>
    <w:rsid w:val="00EC4547"/>
    <w:rsid w:val="00EC5946"/>
    <w:rsid w:val="00EC59E9"/>
    <w:rsid w:val="00EC6FAE"/>
    <w:rsid w:val="00ED0B84"/>
    <w:rsid w:val="00ED3728"/>
    <w:rsid w:val="00ED450D"/>
    <w:rsid w:val="00EE0B54"/>
    <w:rsid w:val="00EE1559"/>
    <w:rsid w:val="00EE205F"/>
    <w:rsid w:val="00EE58B4"/>
    <w:rsid w:val="00EE75F8"/>
    <w:rsid w:val="00EF0580"/>
    <w:rsid w:val="00EF1A60"/>
    <w:rsid w:val="00EF2029"/>
    <w:rsid w:val="00EF29B9"/>
    <w:rsid w:val="00EF3276"/>
    <w:rsid w:val="00EF4214"/>
    <w:rsid w:val="00EF4C31"/>
    <w:rsid w:val="00EF7EC2"/>
    <w:rsid w:val="00EF7F1D"/>
    <w:rsid w:val="00F00812"/>
    <w:rsid w:val="00F00BE8"/>
    <w:rsid w:val="00F021D0"/>
    <w:rsid w:val="00F027AD"/>
    <w:rsid w:val="00F02F87"/>
    <w:rsid w:val="00F03FDF"/>
    <w:rsid w:val="00F04DCB"/>
    <w:rsid w:val="00F04E8D"/>
    <w:rsid w:val="00F05B36"/>
    <w:rsid w:val="00F0694C"/>
    <w:rsid w:val="00F06B2A"/>
    <w:rsid w:val="00F10892"/>
    <w:rsid w:val="00F109AD"/>
    <w:rsid w:val="00F11066"/>
    <w:rsid w:val="00F13F63"/>
    <w:rsid w:val="00F14C2F"/>
    <w:rsid w:val="00F169B3"/>
    <w:rsid w:val="00F172E4"/>
    <w:rsid w:val="00F20536"/>
    <w:rsid w:val="00F20C21"/>
    <w:rsid w:val="00F21010"/>
    <w:rsid w:val="00F2178A"/>
    <w:rsid w:val="00F21AF7"/>
    <w:rsid w:val="00F2245E"/>
    <w:rsid w:val="00F228AE"/>
    <w:rsid w:val="00F233A5"/>
    <w:rsid w:val="00F23A9F"/>
    <w:rsid w:val="00F24155"/>
    <w:rsid w:val="00F25E95"/>
    <w:rsid w:val="00F26A38"/>
    <w:rsid w:val="00F27598"/>
    <w:rsid w:val="00F311AF"/>
    <w:rsid w:val="00F318D4"/>
    <w:rsid w:val="00F3382D"/>
    <w:rsid w:val="00F34AF6"/>
    <w:rsid w:val="00F34EAA"/>
    <w:rsid w:val="00F35495"/>
    <w:rsid w:val="00F354D7"/>
    <w:rsid w:val="00F36529"/>
    <w:rsid w:val="00F365BB"/>
    <w:rsid w:val="00F36B46"/>
    <w:rsid w:val="00F3745E"/>
    <w:rsid w:val="00F378DC"/>
    <w:rsid w:val="00F37B91"/>
    <w:rsid w:val="00F42AC8"/>
    <w:rsid w:val="00F4348C"/>
    <w:rsid w:val="00F450CC"/>
    <w:rsid w:val="00F45799"/>
    <w:rsid w:val="00F4603B"/>
    <w:rsid w:val="00F46E67"/>
    <w:rsid w:val="00F47D42"/>
    <w:rsid w:val="00F47DFC"/>
    <w:rsid w:val="00F47E6D"/>
    <w:rsid w:val="00F51130"/>
    <w:rsid w:val="00F52EB6"/>
    <w:rsid w:val="00F54723"/>
    <w:rsid w:val="00F553D4"/>
    <w:rsid w:val="00F561DE"/>
    <w:rsid w:val="00F5653B"/>
    <w:rsid w:val="00F56F85"/>
    <w:rsid w:val="00F57343"/>
    <w:rsid w:val="00F60F70"/>
    <w:rsid w:val="00F614CD"/>
    <w:rsid w:val="00F620D0"/>
    <w:rsid w:val="00F62F81"/>
    <w:rsid w:val="00F6328B"/>
    <w:rsid w:val="00F633AA"/>
    <w:rsid w:val="00F63F25"/>
    <w:rsid w:val="00F64118"/>
    <w:rsid w:val="00F64370"/>
    <w:rsid w:val="00F65E19"/>
    <w:rsid w:val="00F65E41"/>
    <w:rsid w:val="00F67221"/>
    <w:rsid w:val="00F67410"/>
    <w:rsid w:val="00F70262"/>
    <w:rsid w:val="00F702CD"/>
    <w:rsid w:val="00F709A1"/>
    <w:rsid w:val="00F719EC"/>
    <w:rsid w:val="00F71FF4"/>
    <w:rsid w:val="00F73098"/>
    <w:rsid w:val="00F7344B"/>
    <w:rsid w:val="00F73537"/>
    <w:rsid w:val="00F744E4"/>
    <w:rsid w:val="00F764FA"/>
    <w:rsid w:val="00F76BBE"/>
    <w:rsid w:val="00F812FA"/>
    <w:rsid w:val="00F83674"/>
    <w:rsid w:val="00F84222"/>
    <w:rsid w:val="00F852A3"/>
    <w:rsid w:val="00F86F38"/>
    <w:rsid w:val="00F87A2A"/>
    <w:rsid w:val="00F90A6F"/>
    <w:rsid w:val="00F90CF3"/>
    <w:rsid w:val="00F90D34"/>
    <w:rsid w:val="00F93939"/>
    <w:rsid w:val="00F93975"/>
    <w:rsid w:val="00F955D1"/>
    <w:rsid w:val="00F96A02"/>
    <w:rsid w:val="00F96FF3"/>
    <w:rsid w:val="00F973CD"/>
    <w:rsid w:val="00F9777A"/>
    <w:rsid w:val="00F97C41"/>
    <w:rsid w:val="00F97FF6"/>
    <w:rsid w:val="00FA0192"/>
    <w:rsid w:val="00FA093B"/>
    <w:rsid w:val="00FA0AF8"/>
    <w:rsid w:val="00FA1137"/>
    <w:rsid w:val="00FA331B"/>
    <w:rsid w:val="00FA363A"/>
    <w:rsid w:val="00FA45D9"/>
    <w:rsid w:val="00FA4AE0"/>
    <w:rsid w:val="00FA5E44"/>
    <w:rsid w:val="00FA6DAE"/>
    <w:rsid w:val="00FA7EC1"/>
    <w:rsid w:val="00FB0A5D"/>
    <w:rsid w:val="00FB1492"/>
    <w:rsid w:val="00FB1DC2"/>
    <w:rsid w:val="00FB24CD"/>
    <w:rsid w:val="00FB301E"/>
    <w:rsid w:val="00FB3D7D"/>
    <w:rsid w:val="00FB3F06"/>
    <w:rsid w:val="00FB49F4"/>
    <w:rsid w:val="00FB4BC3"/>
    <w:rsid w:val="00FB7813"/>
    <w:rsid w:val="00FC00E4"/>
    <w:rsid w:val="00FC132E"/>
    <w:rsid w:val="00FC2F7C"/>
    <w:rsid w:val="00FC4CDD"/>
    <w:rsid w:val="00FC5605"/>
    <w:rsid w:val="00FC5658"/>
    <w:rsid w:val="00FC577F"/>
    <w:rsid w:val="00FC65E4"/>
    <w:rsid w:val="00FC670E"/>
    <w:rsid w:val="00FC6E8C"/>
    <w:rsid w:val="00FD05AF"/>
    <w:rsid w:val="00FD0974"/>
    <w:rsid w:val="00FD09B1"/>
    <w:rsid w:val="00FD1730"/>
    <w:rsid w:val="00FD378E"/>
    <w:rsid w:val="00FD3D24"/>
    <w:rsid w:val="00FD592E"/>
    <w:rsid w:val="00FD5C58"/>
    <w:rsid w:val="00FD6232"/>
    <w:rsid w:val="00FE0B12"/>
    <w:rsid w:val="00FE129D"/>
    <w:rsid w:val="00FE2196"/>
    <w:rsid w:val="00FE3C1D"/>
    <w:rsid w:val="00FE4AA6"/>
    <w:rsid w:val="00FE5278"/>
    <w:rsid w:val="00FE53C7"/>
    <w:rsid w:val="00FE5877"/>
    <w:rsid w:val="00FE7E65"/>
    <w:rsid w:val="00FF0B9C"/>
    <w:rsid w:val="00FF5029"/>
    <w:rsid w:val="00FF55AF"/>
    <w:rsid w:val="00FF6A82"/>
    <w:rsid w:val="00FF72A7"/>
    <w:rsid w:val="00FF7A39"/>
    <w:rsid w:val="0112451B"/>
    <w:rsid w:val="01386B0A"/>
    <w:rsid w:val="016A7BEC"/>
    <w:rsid w:val="0187211B"/>
    <w:rsid w:val="025D1B27"/>
    <w:rsid w:val="028D6F12"/>
    <w:rsid w:val="02E50E77"/>
    <w:rsid w:val="032F14E9"/>
    <w:rsid w:val="03B544A9"/>
    <w:rsid w:val="044C0405"/>
    <w:rsid w:val="045D6C08"/>
    <w:rsid w:val="048E7F19"/>
    <w:rsid w:val="04BD5262"/>
    <w:rsid w:val="0521570E"/>
    <w:rsid w:val="056A7D14"/>
    <w:rsid w:val="05CF1FD8"/>
    <w:rsid w:val="05EA1363"/>
    <w:rsid w:val="06095A25"/>
    <w:rsid w:val="06A35700"/>
    <w:rsid w:val="07401644"/>
    <w:rsid w:val="07DA0193"/>
    <w:rsid w:val="07EB6210"/>
    <w:rsid w:val="082A5BB6"/>
    <w:rsid w:val="08392F43"/>
    <w:rsid w:val="087842DC"/>
    <w:rsid w:val="08C2117D"/>
    <w:rsid w:val="08DA2954"/>
    <w:rsid w:val="08F30E74"/>
    <w:rsid w:val="0907263D"/>
    <w:rsid w:val="09BE1364"/>
    <w:rsid w:val="09FC144A"/>
    <w:rsid w:val="0B7958FB"/>
    <w:rsid w:val="0B85449C"/>
    <w:rsid w:val="0C0D4C5B"/>
    <w:rsid w:val="0CDC3AA7"/>
    <w:rsid w:val="0D1E7745"/>
    <w:rsid w:val="0D507E25"/>
    <w:rsid w:val="0DCC7DC7"/>
    <w:rsid w:val="0DF66E6B"/>
    <w:rsid w:val="0E59200A"/>
    <w:rsid w:val="0F3851AD"/>
    <w:rsid w:val="0F447AE3"/>
    <w:rsid w:val="0F5A2F09"/>
    <w:rsid w:val="0F6A1B6E"/>
    <w:rsid w:val="0F8556D6"/>
    <w:rsid w:val="0F87249C"/>
    <w:rsid w:val="0F8A1752"/>
    <w:rsid w:val="104072BC"/>
    <w:rsid w:val="10496347"/>
    <w:rsid w:val="109C6F16"/>
    <w:rsid w:val="1254771D"/>
    <w:rsid w:val="12A8367E"/>
    <w:rsid w:val="12CB02CC"/>
    <w:rsid w:val="1308062C"/>
    <w:rsid w:val="131F445A"/>
    <w:rsid w:val="13442A57"/>
    <w:rsid w:val="1357501E"/>
    <w:rsid w:val="137470C8"/>
    <w:rsid w:val="13F02D6B"/>
    <w:rsid w:val="15010464"/>
    <w:rsid w:val="150F69C3"/>
    <w:rsid w:val="167E4E37"/>
    <w:rsid w:val="17337C21"/>
    <w:rsid w:val="173F131A"/>
    <w:rsid w:val="175F6AE2"/>
    <w:rsid w:val="177448A9"/>
    <w:rsid w:val="17B247D4"/>
    <w:rsid w:val="185D18E7"/>
    <w:rsid w:val="18687698"/>
    <w:rsid w:val="189271BC"/>
    <w:rsid w:val="19074B11"/>
    <w:rsid w:val="195264F4"/>
    <w:rsid w:val="1966729D"/>
    <w:rsid w:val="198C2CAD"/>
    <w:rsid w:val="19B629EB"/>
    <w:rsid w:val="19D10B82"/>
    <w:rsid w:val="19FE3DD4"/>
    <w:rsid w:val="1A777A71"/>
    <w:rsid w:val="1B107A3D"/>
    <w:rsid w:val="1B1A79C2"/>
    <w:rsid w:val="1BBD6A5B"/>
    <w:rsid w:val="1BD909FC"/>
    <w:rsid w:val="1C132590"/>
    <w:rsid w:val="1C8460BA"/>
    <w:rsid w:val="1CCA59EF"/>
    <w:rsid w:val="1D415409"/>
    <w:rsid w:val="1E201670"/>
    <w:rsid w:val="1EBC1706"/>
    <w:rsid w:val="1F001612"/>
    <w:rsid w:val="1FC84A3F"/>
    <w:rsid w:val="1FD00FBC"/>
    <w:rsid w:val="1FFF485A"/>
    <w:rsid w:val="209F112C"/>
    <w:rsid w:val="21535CC4"/>
    <w:rsid w:val="215C6690"/>
    <w:rsid w:val="220E0599"/>
    <w:rsid w:val="22270752"/>
    <w:rsid w:val="222D32EB"/>
    <w:rsid w:val="229D54CB"/>
    <w:rsid w:val="22A722E1"/>
    <w:rsid w:val="22EC755B"/>
    <w:rsid w:val="23447347"/>
    <w:rsid w:val="23482B19"/>
    <w:rsid w:val="235512D8"/>
    <w:rsid w:val="236029DE"/>
    <w:rsid w:val="2413080C"/>
    <w:rsid w:val="249065AE"/>
    <w:rsid w:val="249110DE"/>
    <w:rsid w:val="24A67EA5"/>
    <w:rsid w:val="25963E3C"/>
    <w:rsid w:val="264B4D5E"/>
    <w:rsid w:val="27242ADF"/>
    <w:rsid w:val="27320259"/>
    <w:rsid w:val="273E5F0F"/>
    <w:rsid w:val="278522D9"/>
    <w:rsid w:val="27980FF6"/>
    <w:rsid w:val="279E05F9"/>
    <w:rsid w:val="281A7DEB"/>
    <w:rsid w:val="28D3043F"/>
    <w:rsid w:val="29057D3C"/>
    <w:rsid w:val="29433F65"/>
    <w:rsid w:val="29B349BF"/>
    <w:rsid w:val="29EB181D"/>
    <w:rsid w:val="2A022567"/>
    <w:rsid w:val="2A2F6DCF"/>
    <w:rsid w:val="2A3476EC"/>
    <w:rsid w:val="2A3A51E0"/>
    <w:rsid w:val="2B9B6952"/>
    <w:rsid w:val="2BB17DE5"/>
    <w:rsid w:val="2C3A1823"/>
    <w:rsid w:val="2C603EE4"/>
    <w:rsid w:val="2CF14552"/>
    <w:rsid w:val="2D523ED3"/>
    <w:rsid w:val="2DA9439F"/>
    <w:rsid w:val="2DC321B8"/>
    <w:rsid w:val="2ED71EAD"/>
    <w:rsid w:val="2F3C4336"/>
    <w:rsid w:val="2F521493"/>
    <w:rsid w:val="2FAD0F43"/>
    <w:rsid w:val="2FC254E7"/>
    <w:rsid w:val="30623B84"/>
    <w:rsid w:val="30A14551"/>
    <w:rsid w:val="3142605F"/>
    <w:rsid w:val="31A17F1B"/>
    <w:rsid w:val="31A949E8"/>
    <w:rsid w:val="31C46812"/>
    <w:rsid w:val="31E96531"/>
    <w:rsid w:val="32535AA0"/>
    <w:rsid w:val="325664C2"/>
    <w:rsid w:val="32E13B2C"/>
    <w:rsid w:val="33557B8C"/>
    <w:rsid w:val="34497F22"/>
    <w:rsid w:val="345F6435"/>
    <w:rsid w:val="34FB6FC2"/>
    <w:rsid w:val="35423FC5"/>
    <w:rsid w:val="3578382F"/>
    <w:rsid w:val="35824039"/>
    <w:rsid w:val="35923426"/>
    <w:rsid w:val="366A1097"/>
    <w:rsid w:val="36895157"/>
    <w:rsid w:val="36DE0121"/>
    <w:rsid w:val="36F601B4"/>
    <w:rsid w:val="37146A7D"/>
    <w:rsid w:val="37EB1515"/>
    <w:rsid w:val="38317501"/>
    <w:rsid w:val="394F027B"/>
    <w:rsid w:val="396D3D35"/>
    <w:rsid w:val="3A145649"/>
    <w:rsid w:val="3A1D6A5F"/>
    <w:rsid w:val="3ACF7C03"/>
    <w:rsid w:val="3ADC50C0"/>
    <w:rsid w:val="3B9422A2"/>
    <w:rsid w:val="3BAA3FD9"/>
    <w:rsid w:val="3BE84C40"/>
    <w:rsid w:val="3C047096"/>
    <w:rsid w:val="3C4109F6"/>
    <w:rsid w:val="3C47184D"/>
    <w:rsid w:val="3CFF0751"/>
    <w:rsid w:val="3D7144D7"/>
    <w:rsid w:val="3DFF0260"/>
    <w:rsid w:val="3E06398B"/>
    <w:rsid w:val="3E6D4240"/>
    <w:rsid w:val="3EC275DA"/>
    <w:rsid w:val="3EE867C0"/>
    <w:rsid w:val="3F1B55B5"/>
    <w:rsid w:val="3F221723"/>
    <w:rsid w:val="3F780047"/>
    <w:rsid w:val="3FD411DC"/>
    <w:rsid w:val="3FD7A91F"/>
    <w:rsid w:val="3FDB425E"/>
    <w:rsid w:val="400E04FA"/>
    <w:rsid w:val="407A60D5"/>
    <w:rsid w:val="4104372C"/>
    <w:rsid w:val="4143359F"/>
    <w:rsid w:val="42661ABA"/>
    <w:rsid w:val="428D13FE"/>
    <w:rsid w:val="42B565D2"/>
    <w:rsid w:val="42F54D43"/>
    <w:rsid w:val="43C16C2C"/>
    <w:rsid w:val="43C86CFA"/>
    <w:rsid w:val="441F3781"/>
    <w:rsid w:val="44DB14C2"/>
    <w:rsid w:val="45295549"/>
    <w:rsid w:val="45502C7A"/>
    <w:rsid w:val="45A131AA"/>
    <w:rsid w:val="45AE3F2E"/>
    <w:rsid w:val="46DA42C8"/>
    <w:rsid w:val="47726709"/>
    <w:rsid w:val="47925FE4"/>
    <w:rsid w:val="48227470"/>
    <w:rsid w:val="4893664C"/>
    <w:rsid w:val="48B15DB6"/>
    <w:rsid w:val="48C608B6"/>
    <w:rsid w:val="48C82821"/>
    <w:rsid w:val="495A6163"/>
    <w:rsid w:val="495C0B1B"/>
    <w:rsid w:val="4967187C"/>
    <w:rsid w:val="49846F9F"/>
    <w:rsid w:val="49A12A33"/>
    <w:rsid w:val="4A024C7A"/>
    <w:rsid w:val="4A7A7E43"/>
    <w:rsid w:val="4AA429F2"/>
    <w:rsid w:val="4AAB7543"/>
    <w:rsid w:val="4AD80EA8"/>
    <w:rsid w:val="4AEB26CA"/>
    <w:rsid w:val="4B9C1D51"/>
    <w:rsid w:val="4C7A1992"/>
    <w:rsid w:val="4C8729B9"/>
    <w:rsid w:val="4CF33DF1"/>
    <w:rsid w:val="4D2E133B"/>
    <w:rsid w:val="4D376A4E"/>
    <w:rsid w:val="4DF453D6"/>
    <w:rsid w:val="4E153D60"/>
    <w:rsid w:val="4E2975C2"/>
    <w:rsid w:val="4EA26125"/>
    <w:rsid w:val="4ED03A67"/>
    <w:rsid w:val="4EE06D51"/>
    <w:rsid w:val="4FB71646"/>
    <w:rsid w:val="4FB73E08"/>
    <w:rsid w:val="4FDA02C8"/>
    <w:rsid w:val="4FE42577"/>
    <w:rsid w:val="505F34B4"/>
    <w:rsid w:val="50891D2D"/>
    <w:rsid w:val="508D6258"/>
    <w:rsid w:val="51515AFC"/>
    <w:rsid w:val="51B3720F"/>
    <w:rsid w:val="51F839B9"/>
    <w:rsid w:val="521A7773"/>
    <w:rsid w:val="523F4166"/>
    <w:rsid w:val="526C46FE"/>
    <w:rsid w:val="52854660"/>
    <w:rsid w:val="52A23EA6"/>
    <w:rsid w:val="52C151A6"/>
    <w:rsid w:val="53032ED3"/>
    <w:rsid w:val="54140080"/>
    <w:rsid w:val="54314267"/>
    <w:rsid w:val="54D468D5"/>
    <w:rsid w:val="551759B5"/>
    <w:rsid w:val="559D3A3E"/>
    <w:rsid w:val="56264E48"/>
    <w:rsid w:val="56344E1B"/>
    <w:rsid w:val="56345496"/>
    <w:rsid w:val="565B46E5"/>
    <w:rsid w:val="567A1A66"/>
    <w:rsid w:val="56801EB5"/>
    <w:rsid w:val="56DC4E8C"/>
    <w:rsid w:val="581C54AF"/>
    <w:rsid w:val="589A1942"/>
    <w:rsid w:val="58E912D6"/>
    <w:rsid w:val="59411D11"/>
    <w:rsid w:val="595152DE"/>
    <w:rsid w:val="59936D84"/>
    <w:rsid w:val="59B424CA"/>
    <w:rsid w:val="59E177C8"/>
    <w:rsid w:val="5ABE4FAD"/>
    <w:rsid w:val="5ACB608B"/>
    <w:rsid w:val="5AED2E1B"/>
    <w:rsid w:val="5B914055"/>
    <w:rsid w:val="5BA44DCD"/>
    <w:rsid w:val="5BD86727"/>
    <w:rsid w:val="5BE1746D"/>
    <w:rsid w:val="5C5E5033"/>
    <w:rsid w:val="5CDE64C9"/>
    <w:rsid w:val="5D467D85"/>
    <w:rsid w:val="5D7976B3"/>
    <w:rsid w:val="5DA37FAD"/>
    <w:rsid w:val="5DFA72A8"/>
    <w:rsid w:val="5E21394E"/>
    <w:rsid w:val="5E8829F6"/>
    <w:rsid w:val="5EDB34B4"/>
    <w:rsid w:val="5F3C6F73"/>
    <w:rsid w:val="5FC772D6"/>
    <w:rsid w:val="61125230"/>
    <w:rsid w:val="6308535A"/>
    <w:rsid w:val="638C4469"/>
    <w:rsid w:val="63C67607"/>
    <w:rsid w:val="64D668A0"/>
    <w:rsid w:val="64EA6138"/>
    <w:rsid w:val="65154668"/>
    <w:rsid w:val="65E05A27"/>
    <w:rsid w:val="65F526E8"/>
    <w:rsid w:val="66924129"/>
    <w:rsid w:val="66FF2479"/>
    <w:rsid w:val="6778584C"/>
    <w:rsid w:val="68837E4D"/>
    <w:rsid w:val="68CF6A28"/>
    <w:rsid w:val="68E84374"/>
    <w:rsid w:val="69C92C9A"/>
    <w:rsid w:val="6A930F62"/>
    <w:rsid w:val="6AE27F29"/>
    <w:rsid w:val="6B223851"/>
    <w:rsid w:val="6B425B5D"/>
    <w:rsid w:val="6B503B2A"/>
    <w:rsid w:val="6B74745E"/>
    <w:rsid w:val="6B7840DB"/>
    <w:rsid w:val="6B850307"/>
    <w:rsid w:val="6B851695"/>
    <w:rsid w:val="6C4069F0"/>
    <w:rsid w:val="6C474670"/>
    <w:rsid w:val="6CE315BD"/>
    <w:rsid w:val="6D2B1862"/>
    <w:rsid w:val="6E6766C0"/>
    <w:rsid w:val="6FBA5012"/>
    <w:rsid w:val="70182279"/>
    <w:rsid w:val="70D4023A"/>
    <w:rsid w:val="717D7128"/>
    <w:rsid w:val="718320B7"/>
    <w:rsid w:val="725E7B84"/>
    <w:rsid w:val="72F66B7C"/>
    <w:rsid w:val="731E62AB"/>
    <w:rsid w:val="73396415"/>
    <w:rsid w:val="7377279E"/>
    <w:rsid w:val="74282C85"/>
    <w:rsid w:val="744924DC"/>
    <w:rsid w:val="745D0666"/>
    <w:rsid w:val="748C7B97"/>
    <w:rsid w:val="758C507A"/>
    <w:rsid w:val="761F17AF"/>
    <w:rsid w:val="766808A0"/>
    <w:rsid w:val="76827B67"/>
    <w:rsid w:val="778E477C"/>
    <w:rsid w:val="77B71CB8"/>
    <w:rsid w:val="7818439F"/>
    <w:rsid w:val="784A2AB0"/>
    <w:rsid w:val="784A3ECE"/>
    <w:rsid w:val="78921668"/>
    <w:rsid w:val="78F3369A"/>
    <w:rsid w:val="7914151B"/>
    <w:rsid w:val="793E3454"/>
    <w:rsid w:val="7AB5773F"/>
    <w:rsid w:val="7ABB1CB7"/>
    <w:rsid w:val="7BA969EE"/>
    <w:rsid w:val="7BBC2640"/>
    <w:rsid w:val="7BBC4D64"/>
    <w:rsid w:val="7BBD499B"/>
    <w:rsid w:val="7BE50955"/>
    <w:rsid w:val="7BFD7E77"/>
    <w:rsid w:val="7BFF1E05"/>
    <w:rsid w:val="7D2854CD"/>
    <w:rsid w:val="7E08241D"/>
    <w:rsid w:val="7E416EDF"/>
    <w:rsid w:val="7E61452B"/>
    <w:rsid w:val="7E766FF5"/>
    <w:rsid w:val="7E8904B7"/>
    <w:rsid w:val="7EA45680"/>
    <w:rsid w:val="7EBF381B"/>
    <w:rsid w:val="7F9B33D5"/>
    <w:rsid w:val="AAF5CF67"/>
    <w:rsid w:val="AFA5A9DC"/>
    <w:rsid w:val="B37F42A2"/>
    <w:rsid w:val="DBF570B2"/>
    <w:rsid w:val="DEBF453C"/>
    <w:rsid w:val="DFBF36B4"/>
    <w:rsid w:val="F4FFA798"/>
    <w:rsid w:val="F5F7D5A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仿宋" w:cs="黑体"/>
      <w:kern w:val="2"/>
      <w:sz w:val="32"/>
      <w:szCs w:val="24"/>
      <w:lang w:val="en-US" w:eastAsia="zh-CN" w:bidi="ar-SA"/>
    </w:rPr>
  </w:style>
  <w:style w:type="paragraph" w:styleId="2">
    <w:name w:val="heading 1"/>
    <w:basedOn w:val="1"/>
    <w:next w:val="1"/>
    <w:qFormat/>
    <w:uiPriority w:val="0"/>
    <w:pPr>
      <w:keepNext/>
      <w:keepLines/>
      <w:spacing w:line="360" w:lineRule="auto"/>
      <w:ind w:firstLine="643"/>
      <w:outlineLvl w:val="0"/>
    </w:pPr>
    <w:rPr>
      <w:b/>
      <w:bCs/>
      <w:snapToGrid w:val="0"/>
      <w:kern w:val="0"/>
      <w:szCs w:val="44"/>
    </w:rPr>
  </w:style>
  <w:style w:type="paragraph" w:styleId="3">
    <w:name w:val="heading 2"/>
    <w:basedOn w:val="1"/>
    <w:next w:val="1"/>
    <w:link w:val="36"/>
    <w:unhideWhenUsed/>
    <w:qFormat/>
    <w:uiPriority w:val="0"/>
    <w:pPr>
      <w:keepNext/>
      <w:keepLines/>
      <w:outlineLvl w:val="1"/>
    </w:pPr>
    <w:rPr>
      <w:rFonts w:ascii="Arial" w:hAnsi="Arial" w:eastAsia="楷体"/>
    </w:rPr>
  </w:style>
  <w:style w:type="paragraph" w:styleId="4">
    <w:name w:val="heading 3"/>
    <w:basedOn w:val="1"/>
    <w:next w:val="1"/>
    <w:link w:val="41"/>
    <w:unhideWhenUsed/>
    <w:qFormat/>
    <w:uiPriority w:val="0"/>
    <w:pPr>
      <w:keepNext/>
      <w:keepLines/>
      <w:outlineLvl w:val="2"/>
    </w:pPr>
    <w:rPr>
      <w:b/>
      <w:bCs/>
      <w:szCs w:val="32"/>
    </w:rPr>
  </w:style>
  <w:style w:type="paragraph" w:styleId="5">
    <w:name w:val="heading 4"/>
    <w:basedOn w:val="1"/>
    <w:next w:val="1"/>
    <w:link w:val="48"/>
    <w:unhideWhenUsed/>
    <w:qFormat/>
    <w:uiPriority w:val="0"/>
    <w:pPr>
      <w:keepNext/>
      <w:keepLines/>
      <w:spacing w:before="280" w:after="290" w:line="376" w:lineRule="atLeast"/>
      <w:outlineLvl w:val="3"/>
    </w:pPr>
    <w:rPr>
      <w:rFonts w:ascii="Calibri Light" w:hAnsi="Calibri Light" w:eastAsia="宋体"/>
      <w:b/>
      <w:bCs/>
      <w:sz w:val="28"/>
      <w:szCs w:val="28"/>
    </w:rPr>
  </w:style>
  <w:style w:type="character" w:default="1" w:styleId="20">
    <w:name w:val="Default Paragraph Font"/>
    <w:unhideWhenUsed/>
    <w:uiPriority w:val="1"/>
  </w:style>
  <w:style w:type="table" w:default="1" w:styleId="26">
    <w:name w:val="Normal Table"/>
    <w:unhideWhenUsed/>
    <w:uiPriority w:val="99"/>
    <w:tblPr>
      <w:tblStyle w:val="26"/>
      <w:tblLayout w:type="fixed"/>
      <w:tblCellMar>
        <w:top w:w="0" w:type="dxa"/>
        <w:left w:w="108" w:type="dxa"/>
        <w:bottom w:w="0" w:type="dxa"/>
        <w:right w:w="108" w:type="dxa"/>
      </w:tblCellMar>
    </w:tblPr>
    <w:tcPr>
      <w:textDirection w:val="lrTb"/>
    </w:tcPr>
  </w:style>
  <w:style w:type="paragraph" w:styleId="6">
    <w:name w:val="annotation subject"/>
    <w:basedOn w:val="7"/>
    <w:next w:val="7"/>
    <w:link w:val="39"/>
    <w:qFormat/>
    <w:uiPriority w:val="0"/>
    <w:rPr>
      <w:b/>
      <w:bCs/>
    </w:rPr>
  </w:style>
  <w:style w:type="paragraph" w:styleId="7">
    <w:name w:val="annotation text"/>
    <w:basedOn w:val="1"/>
    <w:link w:val="38"/>
    <w:qFormat/>
    <w:uiPriority w:val="99"/>
  </w:style>
  <w:style w:type="paragraph" w:styleId="8">
    <w:name w:val="Normal Indent"/>
    <w:basedOn w:val="1"/>
    <w:qFormat/>
    <w:uiPriority w:val="0"/>
    <w:pPr>
      <w:ind w:firstLine="420"/>
    </w:pPr>
    <w:rPr>
      <w:szCs w:val="20"/>
    </w:rPr>
  </w:style>
  <w:style w:type="paragraph" w:styleId="9">
    <w:name w:val="Document Map"/>
    <w:basedOn w:val="1"/>
    <w:link w:val="40"/>
    <w:qFormat/>
    <w:uiPriority w:val="0"/>
    <w:rPr>
      <w:rFonts w:ascii="宋体" w:eastAsia="宋体"/>
      <w:sz w:val="18"/>
      <w:szCs w:val="18"/>
    </w:rPr>
  </w:style>
  <w:style w:type="paragraph" w:styleId="10">
    <w:name w:val="toc 3"/>
    <w:basedOn w:val="1"/>
    <w:next w:val="1"/>
    <w:unhideWhenUsed/>
    <w:qFormat/>
    <w:uiPriority w:val="39"/>
    <w:pPr>
      <w:tabs>
        <w:tab w:val="right" w:leader="dot" w:pos="8834"/>
      </w:tabs>
      <w:ind w:firstLine="640"/>
    </w:pPr>
  </w:style>
  <w:style w:type="paragraph" w:styleId="11">
    <w:name w:val="Body Text Indent 2"/>
    <w:basedOn w:val="1"/>
    <w:link w:val="45"/>
    <w:qFormat/>
    <w:uiPriority w:val="0"/>
    <w:pPr>
      <w:spacing w:after="120" w:line="480" w:lineRule="auto"/>
      <w:ind w:left="420" w:leftChars="200"/>
    </w:pPr>
  </w:style>
  <w:style w:type="paragraph" w:styleId="12">
    <w:name w:val="Balloon Text"/>
    <w:basedOn w:val="1"/>
    <w:link w:val="37"/>
    <w:qFormat/>
    <w:uiPriority w:val="0"/>
    <w:rPr>
      <w:sz w:val="18"/>
      <w:szCs w:val="18"/>
    </w:rPr>
  </w:style>
  <w:style w:type="paragraph" w:styleId="13">
    <w:name w:val="footer"/>
    <w:basedOn w:val="1"/>
    <w:link w:val="43"/>
    <w:qFormat/>
    <w:uiPriority w:val="99"/>
    <w:pPr>
      <w:tabs>
        <w:tab w:val="center" w:pos="4153"/>
        <w:tab w:val="right" w:pos="8306"/>
      </w:tabs>
      <w:snapToGrid w:val="0"/>
    </w:pPr>
    <w:rPr>
      <w:sz w:val="18"/>
    </w:rPr>
  </w:style>
  <w:style w:type="paragraph" w:styleId="1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39"/>
    <w:rPr>
      <w:sz w:val="28"/>
    </w:rPr>
  </w:style>
  <w:style w:type="paragraph" w:styleId="16">
    <w:name w:val="Subtitle"/>
    <w:basedOn w:val="1"/>
    <w:next w:val="1"/>
    <w:qFormat/>
    <w:uiPriority w:val="0"/>
    <w:pPr>
      <w:outlineLvl w:val="2"/>
    </w:pPr>
    <w:rPr>
      <w:rFonts w:ascii="Cambria" w:hAnsi="Cambria" w:eastAsia="黑体"/>
      <w:bCs/>
      <w:kern w:val="28"/>
      <w:szCs w:val="32"/>
    </w:rPr>
  </w:style>
  <w:style w:type="paragraph" w:styleId="17">
    <w:name w:val="footnote text"/>
    <w:basedOn w:val="1"/>
    <w:link w:val="44"/>
    <w:unhideWhenUsed/>
    <w:qFormat/>
    <w:uiPriority w:val="99"/>
    <w:pPr>
      <w:snapToGrid w:val="0"/>
    </w:pPr>
    <w:rPr>
      <w:sz w:val="18"/>
      <w:szCs w:val="18"/>
    </w:rPr>
  </w:style>
  <w:style w:type="paragraph" w:styleId="18">
    <w:name w:val="toc 2"/>
    <w:basedOn w:val="1"/>
    <w:next w:val="1"/>
    <w:qFormat/>
    <w:uiPriority w:val="39"/>
    <w:pPr>
      <w:spacing w:line="480" w:lineRule="exact"/>
    </w:pPr>
    <w:rPr>
      <w:sz w:val="28"/>
    </w:rPr>
  </w:style>
  <w:style w:type="paragraph" w:styleId="19">
    <w:name w:val="Normal (Web)"/>
    <w:basedOn w:val="1"/>
    <w:unhideWhenUsed/>
    <w:qFormat/>
    <w:uiPriority w:val="99"/>
    <w:pPr>
      <w:widowControl/>
      <w:spacing w:before="100" w:beforeAutospacing="1" w:after="100" w:afterAutospacing="1"/>
      <w:ind w:firstLine="0" w:firstLineChars="0"/>
    </w:pPr>
    <w:rPr>
      <w:rFonts w:ascii="宋体" w:hAnsi="宋体" w:eastAsia="宋体" w:cs="宋体"/>
      <w:kern w:val="0"/>
      <w:sz w:val="24"/>
    </w:rPr>
  </w:style>
  <w:style w:type="character" w:styleId="21">
    <w:name w:val="Strong"/>
    <w:qFormat/>
    <w:uiPriority w:val="22"/>
    <w:rPr>
      <w:b/>
      <w:bCs/>
    </w:rPr>
  </w:style>
  <w:style w:type="character" w:styleId="22">
    <w:name w:val="page number"/>
    <w:basedOn w:val="20"/>
    <w:qFormat/>
    <w:uiPriority w:val="0"/>
    <w:rPr/>
  </w:style>
  <w:style w:type="character" w:styleId="23">
    <w:name w:val="Hyperlink"/>
    <w:unhideWhenUsed/>
    <w:qFormat/>
    <w:uiPriority w:val="99"/>
    <w:rPr>
      <w:color w:val="0563C1"/>
      <w:u w:val="single"/>
    </w:rPr>
  </w:style>
  <w:style w:type="character" w:styleId="24">
    <w:name w:val="annotation reference"/>
    <w:unhideWhenUsed/>
    <w:qFormat/>
    <w:uiPriority w:val="99"/>
    <w:rPr>
      <w:sz w:val="21"/>
      <w:szCs w:val="21"/>
    </w:rPr>
  </w:style>
  <w:style w:type="character" w:styleId="25">
    <w:name w:val="footnote reference"/>
    <w:unhideWhenUsed/>
    <w:qFormat/>
    <w:uiPriority w:val="99"/>
    <w:rPr>
      <w:vertAlign w:val="superscript"/>
    </w:rPr>
  </w:style>
  <w:style w:type="table" w:styleId="27">
    <w:name w:val="Table Grid"/>
    <w:basedOn w:val="26"/>
    <w:qFormat/>
    <w:uiPriority w:val="0"/>
    <w:pPr>
      <w:widowControl w:val="0"/>
      <w:jc w:val="both"/>
    </w:pPr>
    <w:tblPr>
      <w:tblStyle w:val="2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28">
    <w:name w:val="_Style 7"/>
    <w:qFormat/>
    <w:uiPriority w:val="1"/>
    <w:rPr>
      <w:rFonts w:ascii="Calibri" w:hAnsi="Calibri" w:eastAsia="宋体" w:cs="黑体"/>
      <w:sz w:val="22"/>
      <w:szCs w:val="22"/>
      <w:lang w:val="en-US" w:eastAsia="zh-CN" w:bidi="ar-SA"/>
    </w:rPr>
  </w:style>
  <w:style w:type="paragraph" w:customStyle="1" w:styleId="29">
    <w:name w:val="列表段落1"/>
    <w:basedOn w:val="1"/>
    <w:unhideWhenUsed/>
    <w:qFormat/>
    <w:uiPriority w:val="99"/>
    <w:pPr>
      <w:ind w:firstLine="420"/>
    </w:pPr>
  </w:style>
  <w:style w:type="paragraph" w:customStyle="1" w:styleId="30">
    <w:name w:val="列出段落11"/>
    <w:basedOn w:val="1"/>
    <w:qFormat/>
    <w:uiPriority w:val="34"/>
    <w:pPr>
      <w:ind w:firstLine="420"/>
    </w:pPr>
    <w:rPr>
      <w:rFonts w:eastAsia="仿宋_GB2312" w:cs="Times New Roman"/>
      <w:sz w:val="28"/>
      <w:szCs w:val="22"/>
    </w:rPr>
  </w:style>
  <w:style w:type="paragraph" w:customStyle="1" w:styleId="31">
    <w:name w:val="TOC 标题1"/>
    <w:basedOn w:val="2"/>
    <w:next w:val="1"/>
    <w:unhideWhenUsed/>
    <w:qFormat/>
    <w:uiPriority w:val="39"/>
    <w:pPr>
      <w:widowControl/>
      <w:spacing w:before="480" w:line="276" w:lineRule="auto"/>
      <w:ind w:firstLine="0" w:firstLineChars="0"/>
      <w:outlineLvl w:val="9"/>
    </w:pPr>
    <w:rPr>
      <w:rFonts w:ascii="Calibri Light" w:hAnsi="Calibri Light" w:eastAsia="宋体"/>
      <w:color w:val="2D73B3"/>
      <w:sz w:val="28"/>
      <w:szCs w:val="28"/>
    </w:rPr>
  </w:style>
  <w:style w:type="paragraph" w:customStyle="1" w:styleId="32">
    <w:name w:val="修订1"/>
    <w:hidden/>
    <w:semiHidden/>
    <w:qFormat/>
    <w:uiPriority w:val="99"/>
    <w:rPr>
      <w:rFonts w:ascii="Calibri" w:hAnsi="Calibri" w:eastAsia="仿宋" w:cs="黑体"/>
      <w:kern w:val="2"/>
      <w:sz w:val="32"/>
      <w:szCs w:val="24"/>
      <w:lang w:val="en-US" w:eastAsia="zh-CN" w:bidi="ar-SA"/>
    </w:rPr>
  </w:style>
  <w:style w:type="paragraph" w:customStyle="1" w:styleId="33">
    <w:name w:val="TOC 标题2"/>
    <w:basedOn w:val="2"/>
    <w:next w:val="1"/>
    <w:unhideWhenUsed/>
    <w:qFormat/>
    <w:uiPriority w:val="39"/>
    <w:pPr>
      <w:widowControl/>
      <w:spacing w:before="240" w:line="259" w:lineRule="auto"/>
      <w:ind w:firstLine="0" w:firstLineChars="0"/>
      <w:jc w:val="left"/>
      <w:outlineLvl w:val="9"/>
    </w:pPr>
    <w:rPr>
      <w:rFonts w:ascii="Calibri Light" w:hAnsi="Calibri Light" w:eastAsia="宋体"/>
      <w:b w:val="0"/>
      <w:bCs w:val="0"/>
      <w:color w:val="2D73B3"/>
      <w:szCs w:val="32"/>
    </w:rPr>
  </w:style>
  <w:style w:type="paragraph" w:customStyle="1" w:styleId="34">
    <w:name w:val="修订2"/>
    <w:hidden/>
    <w:semiHidden/>
    <w:qFormat/>
    <w:uiPriority w:val="99"/>
    <w:rPr>
      <w:rFonts w:ascii="Times New Roman" w:hAnsi="Times New Roman" w:eastAsia="仿宋" w:cs="黑体"/>
      <w:kern w:val="2"/>
      <w:sz w:val="32"/>
      <w:szCs w:val="24"/>
      <w:lang w:val="en-US" w:eastAsia="zh-CN" w:bidi="ar-SA"/>
    </w:rPr>
  </w:style>
  <w:style w:type="paragraph" w:customStyle="1" w:styleId="35">
    <w:name w:val="Revision"/>
    <w:hidden/>
    <w:semiHidden/>
    <w:uiPriority w:val="99"/>
    <w:rPr>
      <w:rFonts w:ascii="Times New Roman" w:hAnsi="Times New Roman" w:eastAsia="仿宋" w:cs="黑体"/>
      <w:kern w:val="2"/>
      <w:sz w:val="32"/>
      <w:szCs w:val="24"/>
      <w:lang w:val="en-US" w:eastAsia="zh-CN" w:bidi="ar-SA"/>
    </w:rPr>
  </w:style>
  <w:style w:type="character" w:customStyle="1" w:styleId="36">
    <w:name w:val="标题 2 字符"/>
    <w:link w:val="3"/>
    <w:qFormat/>
    <w:uiPriority w:val="0"/>
    <w:rPr>
      <w:rFonts w:ascii="Arial" w:hAnsi="Arial" w:eastAsia="楷体" w:cs="黑体"/>
      <w:kern w:val="2"/>
      <w:sz w:val="32"/>
      <w:szCs w:val="24"/>
    </w:rPr>
  </w:style>
  <w:style w:type="character" w:customStyle="1" w:styleId="37">
    <w:name w:val="批注框文本 字符"/>
    <w:link w:val="12"/>
    <w:qFormat/>
    <w:uiPriority w:val="0"/>
    <w:rPr>
      <w:rFonts w:eastAsia="仿宋"/>
      <w:kern w:val="2"/>
      <w:sz w:val="18"/>
      <w:szCs w:val="18"/>
    </w:rPr>
  </w:style>
  <w:style w:type="character" w:customStyle="1" w:styleId="38">
    <w:name w:val="批注文字 字符"/>
    <w:link w:val="7"/>
    <w:qFormat/>
    <w:uiPriority w:val="99"/>
    <w:rPr>
      <w:rFonts w:eastAsia="仿宋"/>
      <w:kern w:val="2"/>
      <w:sz w:val="32"/>
      <w:szCs w:val="24"/>
    </w:rPr>
  </w:style>
  <w:style w:type="character" w:customStyle="1" w:styleId="39">
    <w:name w:val="批注主题 字符"/>
    <w:link w:val="6"/>
    <w:qFormat/>
    <w:uiPriority w:val="0"/>
    <w:rPr>
      <w:rFonts w:eastAsia="仿宋"/>
      <w:b/>
      <w:bCs/>
      <w:kern w:val="2"/>
      <w:sz w:val="32"/>
      <w:szCs w:val="24"/>
    </w:rPr>
  </w:style>
  <w:style w:type="character" w:customStyle="1" w:styleId="40">
    <w:name w:val="文档结构图 字符"/>
    <w:link w:val="9"/>
    <w:qFormat/>
    <w:uiPriority w:val="0"/>
    <w:rPr>
      <w:rFonts w:ascii="宋体" w:eastAsia="宋体"/>
      <w:kern w:val="2"/>
      <w:sz w:val="18"/>
      <w:szCs w:val="18"/>
    </w:rPr>
  </w:style>
  <w:style w:type="character" w:customStyle="1" w:styleId="41">
    <w:name w:val="标题 3 字符"/>
    <w:link w:val="4"/>
    <w:qFormat/>
    <w:uiPriority w:val="0"/>
    <w:rPr>
      <w:rFonts w:eastAsia="仿宋" w:cs="黑体"/>
      <w:b/>
      <w:bCs/>
      <w:kern w:val="2"/>
      <w:sz w:val="32"/>
      <w:szCs w:val="32"/>
    </w:rPr>
  </w:style>
  <w:style w:type="character" w:customStyle="1" w:styleId="42">
    <w:name w:val="font11"/>
    <w:qFormat/>
    <w:uiPriority w:val="0"/>
    <w:rPr>
      <w:rFonts w:hint="eastAsia" w:ascii="宋体" w:hAnsi="宋体" w:eastAsia="宋体" w:cs="宋体"/>
      <w:color w:val="000000"/>
      <w:sz w:val="20"/>
      <w:szCs w:val="20"/>
      <w:u w:val="none"/>
    </w:rPr>
  </w:style>
  <w:style w:type="character" w:customStyle="1" w:styleId="43">
    <w:name w:val="页脚 字符"/>
    <w:link w:val="13"/>
    <w:qFormat/>
    <w:uiPriority w:val="99"/>
    <w:rPr>
      <w:rFonts w:eastAsia="仿宋"/>
      <w:kern w:val="2"/>
      <w:sz w:val="18"/>
      <w:szCs w:val="24"/>
    </w:rPr>
  </w:style>
  <w:style w:type="character" w:customStyle="1" w:styleId="44">
    <w:name w:val="脚注文本 字符"/>
    <w:link w:val="17"/>
    <w:qFormat/>
    <w:uiPriority w:val="99"/>
    <w:rPr>
      <w:rFonts w:eastAsia="仿宋"/>
      <w:kern w:val="2"/>
      <w:sz w:val="18"/>
      <w:szCs w:val="18"/>
    </w:rPr>
  </w:style>
  <w:style w:type="character" w:customStyle="1" w:styleId="45">
    <w:name w:val="正文文本缩进 2 字符"/>
    <w:link w:val="11"/>
    <w:qFormat/>
    <w:uiPriority w:val="0"/>
    <w:rPr>
      <w:rFonts w:eastAsia="仿宋"/>
      <w:kern w:val="2"/>
      <w:sz w:val="32"/>
      <w:szCs w:val="24"/>
    </w:rPr>
  </w:style>
  <w:style w:type="character" w:customStyle="1" w:styleId="46">
    <w:name w:val="font01"/>
    <w:qFormat/>
    <w:uiPriority w:val="0"/>
    <w:rPr>
      <w:rFonts w:hint="eastAsia" w:ascii="宋体" w:hAnsi="宋体" w:eastAsia="宋体" w:cs="宋体"/>
      <w:color w:val="000000"/>
      <w:sz w:val="24"/>
      <w:szCs w:val="24"/>
      <w:u w:val="none"/>
    </w:rPr>
  </w:style>
  <w:style w:type="character" w:customStyle="1" w:styleId="47">
    <w:name w:val="font21"/>
    <w:qFormat/>
    <w:uiPriority w:val="0"/>
    <w:rPr>
      <w:rFonts w:hint="eastAsia" w:ascii="宋体" w:hAnsi="宋体" w:eastAsia="宋体" w:cs="宋体"/>
      <w:color w:val="000000"/>
      <w:sz w:val="24"/>
      <w:szCs w:val="24"/>
      <w:u w:val="none"/>
    </w:rPr>
  </w:style>
  <w:style w:type="character" w:customStyle="1" w:styleId="48">
    <w:name w:val="标题 4 字符"/>
    <w:link w:val="5"/>
    <w:semiHidden/>
    <w:qFormat/>
    <w:uiPriority w:val="0"/>
    <w:rPr>
      <w:rFonts w:ascii="Calibri Light" w:hAnsi="Calibri Light" w:eastAsia="宋体" w:cs="黑体"/>
      <w:b/>
      <w:bCs/>
      <w:kern w:val="2"/>
      <w:sz w:val="28"/>
      <w:szCs w:val="28"/>
    </w:rPr>
  </w:style>
  <w:style w:type="table" w:customStyle="1" w:styleId="49">
    <w:name w:val="网格型1"/>
    <w:basedOn w:val="26"/>
    <w:qFormat/>
    <w:uiPriority w:val="0"/>
    <w:pPr>
      <w:widowControl w:val="0"/>
      <w:jc w:val="both"/>
    </w:pPr>
    <w:rPr>
      <w:rFonts w:ascii="等线" w:hAnsi="等线" w:eastAsia="等线"/>
    </w:rPr>
    <w:tblPr>
      <w:tblStyle w:val="2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1209</Words>
  <Characters>6894</Characters>
  <Lines>57</Lines>
  <Paragraphs>16</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2022-05-13T03:29:00Z</dcterms:created>
  <dc:creator>licl</dc:creator>
  <cp:lastModifiedBy>诸葛智慧</cp:lastModifiedBy>
  <cp:lastPrinted>2020-09-24T11:03:00Z</cp:lastPrinted>
  <dcterms:modified xsi:type="dcterms:W3CDTF">2022-08-24T02:01:20Z</dcterms:modified>
  <dc:title>市委社会工委市民政局财政支出项目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91A2A562EBC54D3FA62598E997B4A6CA</vt:lpwstr>
  </property>
</Properties>
</file>