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hd w:val="clear" w:color="000000" w:fill="auto"/>
        <w:adjustRightInd w:val="0"/>
        <w:snapToGrid w:val="0"/>
        <w:spacing w:line="240" w:lineRule="auto"/>
        <w:ind w:firstLine="0" w:firstLineChars="0"/>
        <w:rPr>
          <w:rFonts w:ascii="方正小标宋简体" w:hAnsi="方正小标宋简体" w:eastAsia="方正小标宋简体" w:cs="方正小标宋简体"/>
          <w:bCs/>
          <w:sz w:val="44"/>
          <w:szCs w:val="44"/>
        </w:rPr>
      </w:pPr>
    </w:p>
    <w:p>
      <w:pPr>
        <w:shd w:val="clear" w:color="000000" w:fill="auto"/>
        <w:adjustRightInd w:val="0"/>
        <w:snapToGrid w:val="0"/>
        <w:spacing w:line="240" w:lineRule="auto"/>
        <w:ind w:firstLine="0" w:firstLineChars="0"/>
        <w:jc w:val="center"/>
        <w:rPr>
          <w:rFonts w:ascii="方正小标宋简体" w:hAnsi="方正小标宋简体" w:eastAsia="方正小标宋简体" w:cs="方正小标宋简体"/>
          <w:bCs/>
          <w:sz w:val="36"/>
          <w:szCs w:val="36"/>
        </w:rPr>
      </w:pPr>
      <w:bookmarkStart w:id="4" w:name="_GoBack"/>
      <w:r>
        <w:rPr>
          <w:rFonts w:hint="eastAsia" w:ascii="方正小标宋简体" w:hAnsi="方正小标宋简体" w:eastAsia="方正小标宋简体" w:cs="方正小标宋简体"/>
          <w:bCs/>
          <w:sz w:val="36"/>
          <w:szCs w:val="36"/>
        </w:rPr>
        <w:t>市委社会工委市民政局</w:t>
      </w:r>
    </w:p>
    <w:p>
      <w:pPr>
        <w:shd w:val="clear" w:color="000000" w:fill="auto"/>
        <w:adjustRightInd w:val="0"/>
        <w:snapToGrid w:val="0"/>
        <w:spacing w:line="240" w:lineRule="auto"/>
        <w:ind w:firstLine="0" w:firstLineChars="0"/>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2021年度部门整体绩效评价报告</w:t>
      </w:r>
    </w:p>
    <w:bookmarkEnd w:id="4"/>
    <w:p>
      <w:pPr>
        <w:shd w:val="clear" w:color="000000" w:fill="auto"/>
        <w:adjustRightInd w:val="0"/>
        <w:snapToGrid w:val="0"/>
        <w:spacing w:line="240" w:lineRule="auto"/>
        <w:ind w:firstLine="0" w:firstLineChars="0"/>
        <w:jc w:val="center"/>
        <w:rPr>
          <w:rFonts w:eastAsia="华文中宋"/>
          <w:bCs/>
          <w:sz w:val="36"/>
          <w:szCs w:val="44"/>
        </w:rPr>
      </w:pPr>
    </w:p>
    <w:p>
      <w:pPr>
        <w:pStyle w:val="2"/>
        <w:shd w:val="clear" w:color="010000" w:fill="auto"/>
        <w:ind w:firstLine="640"/>
      </w:pPr>
      <w:r>
        <w:t>一、部门概况</w:t>
      </w:r>
    </w:p>
    <w:p>
      <w:pPr>
        <w:pStyle w:val="3"/>
        <w:shd w:val="clear" w:color="010000" w:fill="auto"/>
        <w:ind w:firstLine="640"/>
        <w:rPr>
          <w:rFonts w:ascii="楷体_GB2312" w:hAnsi="楷体_GB2312" w:eastAsia="楷体_GB2312" w:cs="楷体_GB2312"/>
        </w:rPr>
      </w:pPr>
      <w:r>
        <w:rPr>
          <w:rFonts w:hint="eastAsia" w:ascii="楷体_GB2312" w:hAnsi="楷体_GB2312" w:eastAsia="楷体_GB2312" w:cs="楷体_GB2312"/>
        </w:rPr>
        <w:t>（一）机构设置及职责工作任务情况</w:t>
      </w:r>
    </w:p>
    <w:p>
      <w:pPr>
        <w:pStyle w:val="4"/>
        <w:shd w:val="clear" w:color="010000" w:fill="auto"/>
        <w:ind w:firstLine="640"/>
        <w:rPr>
          <w:rFonts w:ascii="仿宋_GB2312" w:hAnsi="仿宋_GB2312" w:cs="仿宋_GB2312"/>
        </w:rPr>
      </w:pPr>
      <w:bookmarkStart w:id="0" w:name="_Toc72438997"/>
      <w:bookmarkStart w:id="1" w:name="_Toc72438576"/>
      <w:r>
        <w:rPr>
          <w:rFonts w:hint="eastAsia" w:ascii="仿宋_GB2312" w:hAnsi="仿宋_GB2312" w:cs="仿宋_GB2312"/>
        </w:rPr>
        <w:t>1.</w:t>
      </w:r>
      <w:bookmarkEnd w:id="0"/>
      <w:bookmarkEnd w:id="1"/>
      <w:r>
        <w:rPr>
          <w:rFonts w:hint="eastAsia" w:ascii="仿宋_GB2312" w:hAnsi="仿宋_GB2312" w:cs="仿宋_GB2312"/>
        </w:rPr>
        <w:t>部门职责及机构设置情况</w:t>
      </w:r>
    </w:p>
    <w:p>
      <w:pPr>
        <w:shd w:val="clear" w:color="000000" w:fill="auto"/>
        <w:ind w:firstLine="640"/>
        <w:rPr>
          <w:rFonts w:ascii="仿宋_GB2312" w:hAnsi="仿宋_GB2312" w:cs="仿宋_GB2312"/>
        </w:rPr>
      </w:pPr>
      <w:r>
        <w:rPr>
          <w:rFonts w:hint="eastAsia" w:ascii="仿宋_GB2312" w:hAnsi="仿宋_GB2312" w:cs="仿宋_GB2312"/>
        </w:rPr>
        <w:t>中共北京市委社会工作委员会（简称市委社会工委）是市委派出机构，北京市民政局（简称市民政局）是市政府组成部门。市委社会工委与市民政局合署办公。市委社会工委、市民政局贯彻落实党中央关于社会建设、民政工作的方针政策、决策部署和市委有关工作要求，在履行职责过程中坚持和加强党对社会建设、民政工作的集中统一领导。</w:t>
      </w:r>
    </w:p>
    <w:p>
      <w:pPr>
        <w:shd w:val="clear" w:color="000000" w:fill="auto"/>
        <w:ind w:firstLine="640"/>
        <w:rPr>
          <w:rFonts w:ascii="仿宋_GB2312" w:hAnsi="仿宋_GB2312" w:cs="仿宋_GB2312"/>
        </w:rPr>
      </w:pPr>
      <w:r>
        <w:rPr>
          <w:rFonts w:hint="eastAsia" w:ascii="仿宋_GB2312" w:hAnsi="仿宋_GB2312" w:cs="仿宋_GB2312"/>
        </w:rPr>
        <w:t>市委社会工委、市民政局的主要职责具体如下：</w:t>
      </w:r>
    </w:p>
    <w:p>
      <w:pPr>
        <w:shd w:val="clear" w:color="000000" w:fill="auto"/>
        <w:ind w:firstLine="0" w:firstLineChars="0"/>
        <w:jc w:val="center"/>
        <w:rPr>
          <w:rFonts w:eastAsia="黑体"/>
          <w:color w:val="000000"/>
          <w:sz w:val="28"/>
          <w:szCs w:val="28"/>
        </w:rPr>
      </w:pPr>
      <w:r>
        <w:rPr>
          <w:rFonts w:eastAsia="黑体"/>
          <w:sz w:val="28"/>
          <w:szCs w:val="28"/>
        </w:rPr>
        <w:t>表1 市</w:t>
      </w:r>
      <w:r>
        <w:rPr>
          <w:rFonts w:hint="eastAsia" w:eastAsia="黑体"/>
          <w:sz w:val="28"/>
          <w:szCs w:val="28"/>
        </w:rPr>
        <w:t>委</w:t>
      </w:r>
      <w:r>
        <w:rPr>
          <w:rFonts w:eastAsia="黑体"/>
          <w:sz w:val="28"/>
          <w:szCs w:val="28"/>
        </w:rPr>
        <w:t>社工委</w:t>
      </w:r>
      <w:r>
        <w:rPr>
          <w:rFonts w:eastAsia="黑体"/>
          <w:color w:val="000000"/>
          <w:sz w:val="28"/>
          <w:szCs w:val="28"/>
        </w:rPr>
        <w:t>主要职责</w:t>
      </w:r>
    </w:p>
    <w:tbl>
      <w:tblPr>
        <w:tblStyle w:val="13"/>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772" w:type="dxa"/>
            <w:vAlign w:val="center"/>
          </w:tcPr>
          <w:p>
            <w:pPr>
              <w:shd w:val="clear" w:color="000000" w:fill="auto"/>
              <w:spacing w:line="240" w:lineRule="auto"/>
              <w:ind w:firstLine="0" w:firstLineChars="0"/>
              <w:jc w:val="center"/>
              <w:rPr>
                <w:rFonts w:eastAsia="宋体"/>
                <w:b/>
                <w:bCs/>
                <w:kern w:val="0"/>
                <w:sz w:val="21"/>
                <w:szCs w:val="21"/>
              </w:rPr>
            </w:pPr>
            <w:r>
              <w:rPr>
                <w:rFonts w:eastAsia="宋体"/>
                <w:b/>
                <w:bCs/>
                <w:kern w:val="0"/>
                <w:sz w:val="21"/>
                <w:szCs w:val="21"/>
              </w:rPr>
              <w:t>序号</w:t>
            </w:r>
          </w:p>
        </w:tc>
        <w:tc>
          <w:tcPr>
            <w:tcW w:w="8402" w:type="dxa"/>
            <w:vAlign w:val="center"/>
          </w:tcPr>
          <w:p>
            <w:pPr>
              <w:shd w:val="clear" w:color="000000" w:fill="auto"/>
              <w:spacing w:line="240" w:lineRule="auto"/>
              <w:ind w:firstLine="0" w:firstLineChars="0"/>
              <w:jc w:val="center"/>
              <w:rPr>
                <w:rFonts w:eastAsia="宋体"/>
                <w:b/>
                <w:bCs/>
                <w:kern w:val="0"/>
                <w:sz w:val="21"/>
                <w:szCs w:val="21"/>
              </w:rPr>
            </w:pPr>
            <w:r>
              <w:rPr>
                <w:rFonts w:eastAsia="宋体"/>
                <w:b/>
                <w:bCs/>
                <w:kern w:val="0"/>
                <w:sz w:val="21"/>
                <w:szCs w:val="21"/>
              </w:rPr>
              <w:t>部门职责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1</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贯彻落实党中央关于社会建设工作的方针政策、决策部署和市委有关工作要求，研究提出工作意见并组织实施。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2</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研究提出本市社会建设的总体规划、重要政策和方案，为市委宏观决策服务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3</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宏观指导、统筹协调和督促检查本市社会建设重点任务的落实。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4</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拟订本市社会管理体制改革和社会领域社会动员体制机制建设的规划和政策措施并组织实施。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5</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负责研究推进本市街道管理体制改革工作。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6</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协调指导各区、各有关单位开展社区党建工作；协调指导社会组织开展党建工作。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7</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协调指导本市社会工作人才队伍建设工作，拟订社会工作人才队伍建设的规划和政策措施并组织实施，建立健全以培养、评价、使用、激励为主要内容的制度和机制。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8</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负责对各区社会建设工作进行指导和督促检查。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9</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完成市委交办的其他任务。</w:t>
            </w:r>
          </w:p>
        </w:tc>
      </w:tr>
    </w:tbl>
    <w:p>
      <w:pPr>
        <w:shd w:val="clear" w:color="000000" w:fill="auto"/>
        <w:ind w:firstLine="0" w:firstLineChars="0"/>
        <w:jc w:val="center"/>
        <w:rPr>
          <w:rFonts w:eastAsia="黑体"/>
          <w:sz w:val="28"/>
          <w:szCs w:val="28"/>
        </w:rPr>
      </w:pPr>
      <w:r>
        <w:rPr>
          <w:rFonts w:eastAsia="黑体"/>
          <w:sz w:val="28"/>
          <w:szCs w:val="28"/>
        </w:rPr>
        <w:t>表2 市民政局主要职责</w:t>
      </w:r>
    </w:p>
    <w:tbl>
      <w:tblPr>
        <w:tblStyle w:val="13"/>
        <w:tblW w:w="9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8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772" w:type="dxa"/>
            <w:vAlign w:val="center"/>
          </w:tcPr>
          <w:p>
            <w:pPr>
              <w:shd w:val="clear" w:color="000000" w:fill="auto"/>
              <w:spacing w:line="240" w:lineRule="auto"/>
              <w:ind w:firstLine="0" w:firstLineChars="0"/>
              <w:jc w:val="center"/>
              <w:rPr>
                <w:rFonts w:eastAsia="宋体"/>
                <w:b/>
                <w:bCs/>
                <w:kern w:val="0"/>
                <w:sz w:val="21"/>
                <w:szCs w:val="21"/>
              </w:rPr>
            </w:pPr>
            <w:r>
              <w:rPr>
                <w:rFonts w:eastAsia="宋体"/>
                <w:b/>
                <w:bCs/>
                <w:kern w:val="0"/>
                <w:sz w:val="21"/>
                <w:szCs w:val="21"/>
              </w:rPr>
              <w:t>序号</w:t>
            </w:r>
          </w:p>
        </w:tc>
        <w:tc>
          <w:tcPr>
            <w:tcW w:w="8402" w:type="dxa"/>
            <w:vAlign w:val="center"/>
          </w:tcPr>
          <w:p>
            <w:pPr>
              <w:shd w:val="clear" w:color="000000" w:fill="auto"/>
              <w:spacing w:line="240" w:lineRule="auto"/>
              <w:ind w:firstLine="0" w:firstLineChars="0"/>
              <w:jc w:val="center"/>
              <w:rPr>
                <w:rFonts w:eastAsia="宋体"/>
                <w:b/>
                <w:bCs/>
                <w:kern w:val="0"/>
                <w:sz w:val="21"/>
                <w:szCs w:val="21"/>
              </w:rPr>
            </w:pPr>
            <w:r>
              <w:rPr>
                <w:rFonts w:eastAsia="宋体"/>
                <w:b/>
                <w:bCs/>
                <w:kern w:val="0"/>
                <w:sz w:val="21"/>
                <w:szCs w:val="21"/>
              </w:rPr>
              <w:t>部门职责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1</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贯彻落实国家关于民政事业方面的法律法规、规章和政策，起草本市相关地方性法规草案、政府规章草案并组织实施。拟订民政事业中长期发展规划和政策并监督实施。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2</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承担依法对本市社会团体、社会服务机构、基金会进行登记和监督管理责任。指导各区社会团体、社会服务机构的登记管理工作。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3</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拟订本市社会福利事业发展规划、政策和标准；拟订社会福利机构管理办法和福利彩票销售管理办法。指导福利彩票销售及彩票公益金的使用管理。组织拟订促进慈善事业发展的政策，组织、指导社会捐助工作。组织拟订老年人、孤儿和残疾人等特殊困难群体的社会福利政策，指导相关权益保护工作。负责建设征地超转人员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4</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负责统筹推进、督促指导、监督管理养老服务工作。拟订养老服务体系建设政策、法规草案、标准和规划并组织实施。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5</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提出加强和改进城乡基层政权建设的建议。联系街道办事处工作，推动基层民主政治建设。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6</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统筹推进本市城乡社区建设，拟订城乡社区建设的规划和政策措施并组织实施。拟订本市城乡基层群众自治建设具体办法并组织实施。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7</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组织拟订本市城乡社会救助规划、政策和标准。健全城乡社会救助体系，负责城乡居民最低生活保障、临时救助、城市生活无着的流浪乞讨人员救助工作。负责特困人员供养工作。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8</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拟订本市对见义勇为人员的奖励和保护政策，负责组织实施见义勇为人员的奖励和保护工作。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9</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拟订本市婚姻管理、殡葬管理和儿童收养的政策，负责推进婚俗和殡葬改革，指导婚姻、殡葬、收养、救助服务机构管理工作。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10</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承担外地来京上访人员和非正常上访人员的接济服务管理工作。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11</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拟订本市行政区划管理政策。负责本市行政区域的设立、命名、变更和政府驻地迁移的审核工作。负责全市行政区域界线的管理工作。负责各区边界争议调处工作。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12</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负责本市社会工作人才登记管理和继续教育工作。负责本市志愿服务行政管理工作。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72" w:type="dxa"/>
            <w:vAlign w:val="center"/>
          </w:tcPr>
          <w:p>
            <w:pPr>
              <w:shd w:val="clear" w:color="000000" w:fill="auto"/>
              <w:spacing w:line="240" w:lineRule="auto"/>
              <w:ind w:firstLine="0" w:firstLineChars="0"/>
              <w:jc w:val="center"/>
              <w:rPr>
                <w:rFonts w:eastAsia="宋体"/>
                <w:kern w:val="0"/>
                <w:sz w:val="21"/>
                <w:szCs w:val="21"/>
              </w:rPr>
            </w:pPr>
            <w:r>
              <w:rPr>
                <w:rFonts w:eastAsia="宋体"/>
                <w:kern w:val="0"/>
                <w:sz w:val="21"/>
                <w:szCs w:val="21"/>
              </w:rPr>
              <w:t>13</w:t>
            </w:r>
          </w:p>
        </w:tc>
        <w:tc>
          <w:tcPr>
            <w:tcW w:w="8402" w:type="dxa"/>
            <w:vAlign w:val="center"/>
          </w:tcPr>
          <w:p>
            <w:pPr>
              <w:shd w:val="clear" w:color="000000" w:fill="auto"/>
              <w:spacing w:line="240" w:lineRule="auto"/>
              <w:ind w:firstLine="0" w:firstLineChars="0"/>
              <w:rPr>
                <w:rFonts w:eastAsia="宋体"/>
                <w:kern w:val="0"/>
                <w:sz w:val="21"/>
                <w:szCs w:val="21"/>
              </w:rPr>
            </w:pPr>
            <w:r>
              <w:rPr>
                <w:rFonts w:eastAsia="宋体"/>
                <w:color w:val="333333"/>
                <w:kern w:val="0"/>
                <w:sz w:val="21"/>
                <w:szCs w:val="21"/>
                <w:shd w:val="clear" w:color="auto" w:fill="FFFFFF"/>
              </w:rPr>
              <w:t>完成市委、市政府交办的其他任务。</w:t>
            </w:r>
          </w:p>
        </w:tc>
      </w:tr>
    </w:tbl>
    <w:p>
      <w:pPr>
        <w:shd w:val="clear" w:color="000000" w:fill="auto"/>
        <w:ind w:firstLine="640"/>
        <w:rPr>
          <w:rFonts w:ascii="仿宋_GB2312" w:hAnsi="仿宋_GB2312" w:cs="仿宋_GB2312"/>
        </w:rPr>
      </w:pPr>
      <w:r>
        <w:rPr>
          <w:rFonts w:hint="eastAsia" w:ascii="仿宋_GB2312" w:hAnsi="仿宋_GB2312" w:cs="仿宋_GB2312"/>
        </w:rPr>
        <w:t>内设31个职能处室，分别为办公室、研究室、政策法规处、规划建设处、行政审批处、社会建设综合协调处、基层政权和社区建设处、社区党建工作处、社会组织工作处、社会工作队伍建设处（志愿者和社会动员工作处）、社会福利管理处、养老工作处、儿童福利和保护处、慈善工作处（福利彩票管理处）、社会救助处、社会事务管理处、区划管理处、见义勇为权益保护处、标准与信息化处、宣传教育处、信访处、行政保卫处、计划财务处、审计处、组织处、人事处、机关党委、机关纪委（工委巡察工作办公室）、工会、团委、离退休干部处。</w:t>
      </w:r>
    </w:p>
    <w:p>
      <w:pPr>
        <w:shd w:val="clear" w:color="000000" w:fill="auto"/>
        <w:ind w:firstLine="640"/>
        <w:rPr>
          <w:rFonts w:ascii="仿宋_GB2312" w:hAnsi="仿宋_GB2312" w:cs="仿宋_GB2312"/>
        </w:rPr>
      </w:pPr>
      <w:r>
        <w:rPr>
          <w:rFonts w:hint="eastAsia" w:ascii="仿宋_GB2312" w:hAnsi="仿宋_GB2312" w:cs="仿宋_GB2312"/>
        </w:rPr>
        <w:t>下属15个预算单位，分别是北京市社会组织管理中心、北京市民政教育管理学院、北京市接受捐赠事务管理中心、北京市民政局征地后超转人员管理中心、北京市接济救助管理事务中心系统、北京市民政综合执法监察大队、北京市养老服务事务中心等。</w:t>
      </w:r>
    </w:p>
    <w:p>
      <w:pPr>
        <w:pStyle w:val="4"/>
        <w:shd w:val="clear" w:color="010000" w:fill="auto"/>
        <w:ind w:firstLine="640"/>
        <w:rPr>
          <w:rFonts w:ascii="仿宋_GB2312" w:hAnsi="仿宋_GB2312" w:cs="仿宋_GB2312"/>
        </w:rPr>
      </w:pPr>
      <w:r>
        <w:rPr>
          <w:rFonts w:hint="eastAsia" w:ascii="仿宋_GB2312" w:hAnsi="仿宋_GB2312" w:cs="仿宋_GB2312"/>
        </w:rPr>
        <w:t>2.年度工作任务</w:t>
      </w:r>
    </w:p>
    <w:p>
      <w:pPr>
        <w:shd w:val="clear" w:color="000000" w:fill="auto"/>
        <w:ind w:firstLine="640"/>
        <w:rPr>
          <w:rFonts w:ascii="仿宋_GB2312" w:hAnsi="仿宋_GB2312" w:cs="仿宋_GB2312"/>
          <w:shd w:val="clear" w:color="030000" w:fill="auto"/>
        </w:rPr>
      </w:pPr>
      <w:r>
        <w:rPr>
          <w:rFonts w:hint="eastAsia" w:ascii="仿宋_GB2312" w:hAnsi="仿宋_GB2312" w:cs="仿宋_GB2312"/>
        </w:rPr>
        <w:t>市委社会工委市民政局制定了2021年北京市社会建设和民政工作要点，</w:t>
      </w:r>
      <w:r>
        <w:rPr>
          <w:rFonts w:hint="eastAsia" w:ascii="仿宋_GB2312" w:hAnsi="仿宋_GB2312" w:cs="仿宋_GB2312"/>
          <w:shd w:val="clear" w:color="020000" w:fill="auto"/>
        </w:rPr>
        <w:t>围绕</w:t>
      </w:r>
      <w:r>
        <w:rPr>
          <w:rFonts w:hint="eastAsia" w:ascii="仿宋_GB2312" w:hAnsi="仿宋_GB2312" w:cs="仿宋_GB2312"/>
        </w:rPr>
        <w:t>完善养老服务体系、提升基本民生保障水平、夯实基层社会治理基础、提升基本社会服务质量、深入开展党史学习教育、全面强化党的领导、纵深推进从严治党7个方面</w:t>
      </w:r>
      <w:r>
        <w:rPr>
          <w:rFonts w:hint="eastAsia" w:ascii="仿宋_GB2312" w:hAnsi="仿宋_GB2312" w:cs="仿宋_GB2312"/>
          <w:shd w:val="clear" w:color="030000" w:fill="auto"/>
        </w:rPr>
        <w:t>，制定了</w:t>
      </w:r>
      <w:r>
        <w:rPr>
          <w:rFonts w:hint="eastAsia" w:ascii="仿宋_GB2312" w:hAnsi="仿宋_GB2312" w:cs="仿宋_GB2312"/>
        </w:rPr>
        <w:t>32项</w:t>
      </w:r>
      <w:r>
        <w:rPr>
          <w:rFonts w:hint="eastAsia" w:ascii="仿宋_GB2312" w:hAnsi="仿宋_GB2312" w:cs="仿宋_GB2312"/>
          <w:shd w:val="clear" w:color="030000" w:fill="auto"/>
        </w:rPr>
        <w:t>工作要点，具体如下：</w:t>
      </w:r>
    </w:p>
    <w:p>
      <w:pPr>
        <w:shd w:val="clear" w:color="000000" w:fill="auto"/>
        <w:ind w:firstLine="0" w:firstLineChars="0"/>
        <w:jc w:val="center"/>
        <w:rPr>
          <w:rFonts w:eastAsia="黑体"/>
          <w:sz w:val="28"/>
          <w:szCs w:val="28"/>
        </w:rPr>
      </w:pPr>
      <w:r>
        <w:rPr>
          <w:rFonts w:eastAsia="黑体"/>
          <w:sz w:val="28"/>
          <w:szCs w:val="28"/>
        </w:rPr>
        <w:t>表3 市委社会工委市民政局2021年重点工作安排</w:t>
      </w:r>
    </w:p>
    <w:tbl>
      <w:tblPr>
        <w:tblStyle w:val="13"/>
        <w:tblW w:w="91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05"/>
        <w:gridCol w:w="2950"/>
        <w:gridCol w:w="4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tblHeader/>
        </w:trPr>
        <w:tc>
          <w:tcPr>
            <w:tcW w:w="1305" w:type="dxa"/>
            <w:tcBorders>
              <w:top w:val="single" w:color="auto" w:sz="4" w:space="0"/>
              <w:left w:val="single" w:color="auto" w:sz="4" w:space="0"/>
              <w:bottom w:val="single" w:color="auto" w:sz="4" w:space="0"/>
              <w:right w:val="single" w:color="auto" w:sz="4" w:space="0"/>
            </w:tcBorders>
            <w:shd w:val="clear" w:color="auto" w:fill="CFCECE"/>
            <w:vAlign w:val="center"/>
          </w:tcPr>
          <w:p>
            <w:pPr>
              <w:shd w:val="clear" w:color="000000" w:fill="auto"/>
              <w:spacing w:line="240" w:lineRule="auto"/>
              <w:ind w:firstLine="0" w:firstLineChars="0"/>
              <w:jc w:val="center"/>
              <w:rPr>
                <w:rFonts w:eastAsia="宋体"/>
                <w:b/>
                <w:bCs/>
                <w:sz w:val="21"/>
                <w:szCs w:val="21"/>
              </w:rPr>
            </w:pPr>
            <w:r>
              <w:rPr>
                <w:rFonts w:eastAsia="宋体"/>
                <w:b/>
                <w:bCs/>
                <w:sz w:val="21"/>
                <w:szCs w:val="21"/>
              </w:rPr>
              <w:t>序号</w:t>
            </w:r>
          </w:p>
        </w:tc>
        <w:tc>
          <w:tcPr>
            <w:tcW w:w="2950" w:type="dxa"/>
            <w:tcBorders>
              <w:top w:val="single" w:color="auto" w:sz="4" w:space="0"/>
              <w:left w:val="nil"/>
              <w:bottom w:val="single" w:color="auto" w:sz="4" w:space="0"/>
              <w:right w:val="single" w:color="auto" w:sz="4" w:space="0"/>
            </w:tcBorders>
            <w:shd w:val="clear" w:color="auto" w:fill="CFCECE"/>
            <w:vAlign w:val="center"/>
          </w:tcPr>
          <w:p>
            <w:pPr>
              <w:pStyle w:val="3"/>
              <w:shd w:val="clear" w:color="010000" w:fill="auto"/>
              <w:spacing w:line="240" w:lineRule="auto"/>
              <w:ind w:firstLine="0" w:firstLineChars="0"/>
              <w:jc w:val="center"/>
              <w:rPr>
                <w:rFonts w:eastAsia="宋体" w:cs="Times New Roman"/>
                <w:b/>
                <w:kern w:val="0"/>
                <w:sz w:val="21"/>
                <w:szCs w:val="21"/>
              </w:rPr>
            </w:pPr>
            <w:r>
              <w:rPr>
                <w:rFonts w:eastAsia="宋体" w:cs="Times New Roman"/>
                <w:b/>
                <w:kern w:val="0"/>
                <w:sz w:val="21"/>
                <w:szCs w:val="21"/>
              </w:rPr>
              <w:t>工作任务</w:t>
            </w:r>
          </w:p>
        </w:tc>
        <w:tc>
          <w:tcPr>
            <w:tcW w:w="4915" w:type="dxa"/>
            <w:tcBorders>
              <w:top w:val="single" w:color="auto" w:sz="4" w:space="0"/>
              <w:left w:val="nil"/>
              <w:bottom w:val="single" w:color="auto" w:sz="4" w:space="0"/>
              <w:right w:val="single" w:color="auto" w:sz="4" w:space="0"/>
            </w:tcBorders>
            <w:shd w:val="clear" w:color="auto" w:fill="CFCECE"/>
            <w:vAlign w:val="center"/>
          </w:tcPr>
          <w:p>
            <w:pPr>
              <w:pStyle w:val="3"/>
              <w:shd w:val="clear" w:color="010000" w:fill="auto"/>
              <w:spacing w:line="240" w:lineRule="auto"/>
              <w:ind w:firstLine="0" w:firstLineChars="0"/>
              <w:jc w:val="center"/>
              <w:rPr>
                <w:rFonts w:eastAsia="宋体" w:cs="Times New Roman"/>
                <w:b/>
                <w:kern w:val="0"/>
                <w:sz w:val="21"/>
                <w:szCs w:val="21"/>
              </w:rPr>
            </w:pPr>
            <w:r>
              <w:rPr>
                <w:rFonts w:eastAsia="宋体" w:cs="Times New Roman"/>
                <w:b/>
                <w:kern w:val="0"/>
                <w:sz w:val="21"/>
                <w:szCs w:val="21"/>
              </w:rPr>
              <w:t>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trPr>
        <w:tc>
          <w:tcPr>
            <w:tcW w:w="1305" w:type="dxa"/>
            <w:tcBorders>
              <w:top w:val="single" w:color="auto" w:sz="4" w:space="0"/>
              <w:left w:val="single" w:color="auto" w:sz="4" w:space="0"/>
              <w:bottom w:val="single" w:color="auto" w:sz="4" w:space="0"/>
              <w:right w:val="single" w:color="auto" w:sz="4" w:space="0"/>
            </w:tcBorders>
            <w:vAlign w:val="center"/>
          </w:tcPr>
          <w:p>
            <w:pPr>
              <w:shd w:val="clear" w:color="000000" w:fill="auto"/>
              <w:spacing w:line="240" w:lineRule="auto"/>
              <w:ind w:firstLine="0" w:firstLineChars="0"/>
              <w:jc w:val="center"/>
              <w:rPr>
                <w:rFonts w:eastAsia="宋体"/>
                <w:sz w:val="21"/>
                <w:szCs w:val="21"/>
              </w:rPr>
            </w:pPr>
            <w:r>
              <w:rPr>
                <w:rFonts w:eastAsia="宋体"/>
                <w:sz w:val="21"/>
                <w:szCs w:val="21"/>
              </w:rPr>
              <w:t>1</w:t>
            </w:r>
          </w:p>
        </w:tc>
        <w:tc>
          <w:tcPr>
            <w:tcW w:w="2950"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center"/>
              <w:rPr>
                <w:rFonts w:eastAsia="宋体" w:cs="Times New Roman"/>
                <w:bCs w:val="0"/>
                <w:kern w:val="0"/>
                <w:sz w:val="21"/>
                <w:szCs w:val="21"/>
              </w:rPr>
            </w:pPr>
            <w:r>
              <w:rPr>
                <w:rFonts w:eastAsia="宋体" w:cs="Times New Roman"/>
                <w:bCs w:val="0"/>
                <w:kern w:val="0"/>
                <w:sz w:val="21"/>
                <w:szCs w:val="21"/>
              </w:rPr>
              <w:t>完善养老服务体系</w:t>
            </w:r>
          </w:p>
        </w:tc>
        <w:tc>
          <w:tcPr>
            <w:tcW w:w="4915"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left"/>
              <w:rPr>
                <w:rFonts w:eastAsia="宋体" w:cs="Times New Roman"/>
                <w:bCs w:val="0"/>
                <w:kern w:val="0"/>
                <w:sz w:val="21"/>
                <w:szCs w:val="21"/>
              </w:rPr>
            </w:pPr>
            <w:r>
              <w:rPr>
                <w:rFonts w:eastAsia="宋体" w:cs="Times New Roman"/>
                <w:bCs w:val="0"/>
                <w:kern w:val="0"/>
                <w:sz w:val="21"/>
                <w:szCs w:val="21"/>
              </w:rPr>
              <w:t>（1）持续加强养老服务统筹</w:t>
            </w:r>
            <w:r>
              <w:rPr>
                <w:rFonts w:eastAsia="宋体" w:cs="Times New Roman"/>
                <w:bCs w:val="0"/>
                <w:kern w:val="0"/>
                <w:sz w:val="21"/>
                <w:szCs w:val="21"/>
              </w:rPr>
              <w:br/>
            </w:r>
            <w:r>
              <w:rPr>
                <w:rFonts w:eastAsia="宋体" w:cs="Times New Roman"/>
                <w:bCs w:val="0"/>
                <w:kern w:val="0"/>
                <w:sz w:val="21"/>
                <w:szCs w:val="21"/>
              </w:rPr>
              <w:t>（2）完善基本养老服务制度</w:t>
            </w:r>
            <w:r>
              <w:rPr>
                <w:rFonts w:eastAsia="宋体" w:cs="Times New Roman"/>
                <w:bCs w:val="0"/>
                <w:kern w:val="0"/>
                <w:sz w:val="21"/>
                <w:szCs w:val="21"/>
              </w:rPr>
              <w:br/>
            </w:r>
            <w:r>
              <w:rPr>
                <w:rFonts w:eastAsia="宋体" w:cs="Times New Roman"/>
                <w:bCs w:val="0"/>
                <w:kern w:val="0"/>
                <w:sz w:val="21"/>
                <w:szCs w:val="21"/>
              </w:rPr>
              <w:t>（3）提升养老服务供给能力</w:t>
            </w:r>
            <w:r>
              <w:rPr>
                <w:rFonts w:eastAsia="宋体" w:cs="Times New Roman"/>
                <w:bCs w:val="0"/>
                <w:kern w:val="0"/>
                <w:sz w:val="21"/>
                <w:szCs w:val="21"/>
              </w:rPr>
              <w:br/>
            </w:r>
            <w:r>
              <w:rPr>
                <w:rFonts w:eastAsia="宋体" w:cs="Times New Roman"/>
                <w:bCs w:val="0"/>
                <w:kern w:val="0"/>
                <w:sz w:val="21"/>
                <w:szCs w:val="21"/>
              </w:rPr>
              <w:t>（4）强化养老服务综合监管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trPr>
        <w:tc>
          <w:tcPr>
            <w:tcW w:w="1305" w:type="dxa"/>
            <w:tcBorders>
              <w:top w:val="single" w:color="auto" w:sz="4" w:space="0"/>
              <w:left w:val="single" w:color="auto" w:sz="4" w:space="0"/>
              <w:bottom w:val="single" w:color="auto" w:sz="4" w:space="0"/>
              <w:right w:val="single" w:color="auto" w:sz="4" w:space="0"/>
            </w:tcBorders>
            <w:vAlign w:val="center"/>
          </w:tcPr>
          <w:p>
            <w:pPr>
              <w:shd w:val="clear" w:color="000000" w:fill="auto"/>
              <w:spacing w:line="240" w:lineRule="auto"/>
              <w:ind w:firstLine="0" w:firstLineChars="0"/>
              <w:jc w:val="center"/>
              <w:rPr>
                <w:rFonts w:eastAsia="宋体"/>
                <w:sz w:val="21"/>
                <w:szCs w:val="21"/>
              </w:rPr>
            </w:pPr>
            <w:r>
              <w:rPr>
                <w:rFonts w:eastAsia="宋体"/>
                <w:sz w:val="21"/>
                <w:szCs w:val="21"/>
              </w:rPr>
              <w:t>2</w:t>
            </w:r>
          </w:p>
        </w:tc>
        <w:tc>
          <w:tcPr>
            <w:tcW w:w="2950"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center"/>
              <w:rPr>
                <w:rFonts w:eastAsia="宋体" w:cs="Times New Roman"/>
                <w:bCs w:val="0"/>
                <w:kern w:val="0"/>
                <w:sz w:val="21"/>
                <w:szCs w:val="21"/>
              </w:rPr>
            </w:pPr>
            <w:r>
              <w:rPr>
                <w:rFonts w:eastAsia="宋体" w:cs="Times New Roman"/>
                <w:bCs w:val="0"/>
                <w:kern w:val="0"/>
                <w:sz w:val="21"/>
                <w:szCs w:val="21"/>
              </w:rPr>
              <w:t>提升基本民生保障水平</w:t>
            </w:r>
          </w:p>
        </w:tc>
        <w:tc>
          <w:tcPr>
            <w:tcW w:w="4915"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left"/>
              <w:rPr>
                <w:rFonts w:eastAsia="宋体" w:cs="Times New Roman"/>
                <w:bCs w:val="0"/>
                <w:kern w:val="0"/>
                <w:sz w:val="21"/>
                <w:szCs w:val="21"/>
              </w:rPr>
            </w:pPr>
            <w:r>
              <w:rPr>
                <w:rFonts w:eastAsia="宋体" w:cs="Times New Roman"/>
                <w:bCs w:val="0"/>
                <w:kern w:val="0"/>
                <w:sz w:val="21"/>
                <w:szCs w:val="21"/>
              </w:rPr>
              <w:t>（1）完善社会救助制度</w:t>
            </w:r>
            <w:r>
              <w:rPr>
                <w:rFonts w:eastAsia="宋体" w:cs="Times New Roman"/>
                <w:bCs w:val="0"/>
                <w:kern w:val="0"/>
                <w:sz w:val="21"/>
                <w:szCs w:val="21"/>
              </w:rPr>
              <w:br/>
            </w:r>
            <w:r>
              <w:rPr>
                <w:rFonts w:eastAsia="宋体" w:cs="Times New Roman"/>
                <w:bCs w:val="0"/>
                <w:kern w:val="0"/>
                <w:sz w:val="21"/>
                <w:szCs w:val="21"/>
              </w:rPr>
              <w:t>（2）加强孤困儿童关爱服务</w:t>
            </w:r>
            <w:r>
              <w:rPr>
                <w:rFonts w:eastAsia="宋体" w:cs="Times New Roman"/>
                <w:bCs w:val="0"/>
                <w:kern w:val="0"/>
                <w:sz w:val="21"/>
                <w:szCs w:val="21"/>
              </w:rPr>
              <w:br/>
            </w:r>
            <w:r>
              <w:rPr>
                <w:rFonts w:eastAsia="宋体" w:cs="Times New Roman"/>
                <w:bCs w:val="0"/>
                <w:kern w:val="0"/>
                <w:sz w:val="21"/>
                <w:szCs w:val="21"/>
              </w:rPr>
              <w:t>（3）加强残疾人福利保障</w:t>
            </w:r>
            <w:r>
              <w:rPr>
                <w:rFonts w:eastAsia="宋体" w:cs="Times New Roman"/>
                <w:bCs w:val="0"/>
                <w:kern w:val="0"/>
                <w:sz w:val="21"/>
                <w:szCs w:val="21"/>
              </w:rPr>
              <w:br/>
            </w:r>
            <w:r>
              <w:rPr>
                <w:rFonts w:eastAsia="宋体" w:cs="Times New Roman"/>
                <w:bCs w:val="0"/>
                <w:kern w:val="0"/>
                <w:sz w:val="21"/>
                <w:szCs w:val="21"/>
              </w:rPr>
              <w:t>（4）提升流浪乞讨人员救助水平</w:t>
            </w:r>
            <w:r>
              <w:rPr>
                <w:rFonts w:eastAsia="宋体" w:cs="Times New Roman"/>
                <w:bCs w:val="0"/>
                <w:kern w:val="0"/>
                <w:sz w:val="21"/>
                <w:szCs w:val="21"/>
              </w:rPr>
              <w:br/>
            </w:r>
            <w:r>
              <w:rPr>
                <w:rFonts w:eastAsia="宋体" w:cs="Times New Roman"/>
                <w:bCs w:val="0"/>
                <w:kern w:val="0"/>
                <w:sz w:val="21"/>
                <w:szCs w:val="21"/>
              </w:rPr>
              <w:t>（5）做好征地超转人员服务保障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trPr>
        <w:tc>
          <w:tcPr>
            <w:tcW w:w="1305" w:type="dxa"/>
            <w:tcBorders>
              <w:top w:val="single" w:color="auto" w:sz="4" w:space="0"/>
              <w:left w:val="single" w:color="auto" w:sz="4" w:space="0"/>
              <w:bottom w:val="single" w:color="auto" w:sz="4" w:space="0"/>
              <w:right w:val="single" w:color="auto" w:sz="4" w:space="0"/>
            </w:tcBorders>
            <w:vAlign w:val="center"/>
          </w:tcPr>
          <w:p>
            <w:pPr>
              <w:shd w:val="clear" w:color="000000" w:fill="auto"/>
              <w:spacing w:line="240" w:lineRule="auto"/>
              <w:ind w:firstLine="0" w:firstLineChars="0"/>
              <w:jc w:val="center"/>
              <w:rPr>
                <w:rFonts w:eastAsia="宋体"/>
                <w:sz w:val="21"/>
                <w:szCs w:val="21"/>
              </w:rPr>
            </w:pPr>
            <w:r>
              <w:rPr>
                <w:rFonts w:eastAsia="宋体"/>
                <w:sz w:val="21"/>
                <w:szCs w:val="21"/>
              </w:rPr>
              <w:t>3</w:t>
            </w:r>
          </w:p>
        </w:tc>
        <w:tc>
          <w:tcPr>
            <w:tcW w:w="2950"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center"/>
              <w:rPr>
                <w:rFonts w:eastAsia="宋体" w:cs="Times New Roman"/>
                <w:bCs w:val="0"/>
                <w:kern w:val="0"/>
                <w:sz w:val="21"/>
                <w:szCs w:val="21"/>
              </w:rPr>
            </w:pPr>
            <w:r>
              <w:rPr>
                <w:rFonts w:eastAsia="宋体" w:cs="Times New Roman"/>
                <w:bCs w:val="0"/>
                <w:kern w:val="0"/>
                <w:sz w:val="21"/>
                <w:szCs w:val="21"/>
              </w:rPr>
              <w:t>夯实基层社会治理基础</w:t>
            </w:r>
          </w:p>
        </w:tc>
        <w:tc>
          <w:tcPr>
            <w:tcW w:w="4915"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left"/>
              <w:rPr>
                <w:rFonts w:eastAsia="宋体" w:cs="Times New Roman"/>
                <w:bCs w:val="0"/>
                <w:kern w:val="0"/>
                <w:sz w:val="21"/>
                <w:szCs w:val="21"/>
              </w:rPr>
            </w:pPr>
            <w:r>
              <w:rPr>
                <w:rFonts w:eastAsia="宋体" w:cs="Times New Roman"/>
                <w:bCs w:val="0"/>
                <w:kern w:val="0"/>
                <w:sz w:val="21"/>
                <w:szCs w:val="21"/>
              </w:rPr>
              <w:t>（1）持续深化街道社区改革</w:t>
            </w:r>
            <w:r>
              <w:rPr>
                <w:rFonts w:eastAsia="宋体" w:cs="Times New Roman"/>
                <w:bCs w:val="0"/>
                <w:kern w:val="0"/>
                <w:sz w:val="21"/>
                <w:szCs w:val="21"/>
              </w:rPr>
              <w:br/>
            </w:r>
            <w:r>
              <w:rPr>
                <w:rFonts w:eastAsia="宋体" w:cs="Times New Roman"/>
                <w:bCs w:val="0"/>
                <w:kern w:val="0"/>
                <w:sz w:val="21"/>
                <w:szCs w:val="21"/>
              </w:rPr>
              <w:t>（2）加强社会组织监督管理</w:t>
            </w:r>
            <w:r>
              <w:rPr>
                <w:rFonts w:eastAsia="宋体" w:cs="Times New Roman"/>
                <w:bCs w:val="0"/>
                <w:kern w:val="0"/>
                <w:sz w:val="21"/>
                <w:szCs w:val="21"/>
              </w:rPr>
              <w:br/>
            </w:r>
            <w:r>
              <w:rPr>
                <w:rFonts w:eastAsia="宋体" w:cs="Times New Roman"/>
                <w:bCs w:val="0"/>
                <w:kern w:val="0"/>
                <w:sz w:val="21"/>
                <w:szCs w:val="21"/>
              </w:rPr>
              <w:t>（3）加强社会工作平台队伍建设</w:t>
            </w:r>
            <w:r>
              <w:rPr>
                <w:rFonts w:eastAsia="宋体" w:cs="Times New Roman"/>
                <w:bCs w:val="0"/>
                <w:kern w:val="0"/>
                <w:sz w:val="21"/>
                <w:szCs w:val="21"/>
              </w:rPr>
              <w:br/>
            </w:r>
            <w:r>
              <w:rPr>
                <w:rFonts w:eastAsia="宋体" w:cs="Times New Roman"/>
                <w:bCs w:val="0"/>
                <w:kern w:val="0"/>
                <w:sz w:val="21"/>
                <w:szCs w:val="21"/>
              </w:rPr>
              <w:t>（4）规范志愿服务发展</w:t>
            </w:r>
            <w:r>
              <w:rPr>
                <w:rFonts w:eastAsia="宋体" w:cs="Times New Roman"/>
                <w:bCs w:val="0"/>
                <w:kern w:val="0"/>
                <w:sz w:val="21"/>
                <w:szCs w:val="21"/>
              </w:rPr>
              <w:br/>
            </w:r>
            <w:r>
              <w:rPr>
                <w:rFonts w:eastAsia="宋体" w:cs="Times New Roman"/>
                <w:bCs w:val="0"/>
                <w:kern w:val="0"/>
                <w:sz w:val="21"/>
                <w:szCs w:val="21"/>
              </w:rPr>
              <w:t>（5）推动社会企业发展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trPr>
        <w:tc>
          <w:tcPr>
            <w:tcW w:w="1305" w:type="dxa"/>
            <w:tcBorders>
              <w:top w:val="single" w:color="auto" w:sz="4" w:space="0"/>
              <w:left w:val="single" w:color="auto" w:sz="4" w:space="0"/>
              <w:bottom w:val="single" w:color="auto" w:sz="4" w:space="0"/>
              <w:right w:val="single" w:color="auto" w:sz="4" w:space="0"/>
            </w:tcBorders>
            <w:vAlign w:val="center"/>
          </w:tcPr>
          <w:p>
            <w:pPr>
              <w:shd w:val="clear" w:color="000000" w:fill="auto"/>
              <w:spacing w:line="240" w:lineRule="auto"/>
              <w:ind w:firstLine="0" w:firstLineChars="0"/>
              <w:jc w:val="center"/>
              <w:rPr>
                <w:rFonts w:eastAsia="宋体"/>
                <w:sz w:val="21"/>
                <w:szCs w:val="21"/>
              </w:rPr>
            </w:pPr>
            <w:r>
              <w:rPr>
                <w:rFonts w:eastAsia="宋体"/>
                <w:sz w:val="21"/>
                <w:szCs w:val="21"/>
              </w:rPr>
              <w:t>4</w:t>
            </w:r>
          </w:p>
        </w:tc>
        <w:tc>
          <w:tcPr>
            <w:tcW w:w="2950"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center"/>
              <w:rPr>
                <w:rFonts w:eastAsia="宋体" w:cs="Times New Roman"/>
                <w:bCs w:val="0"/>
                <w:color w:val="000000"/>
                <w:kern w:val="0"/>
                <w:sz w:val="21"/>
                <w:szCs w:val="21"/>
              </w:rPr>
            </w:pPr>
            <w:r>
              <w:rPr>
                <w:rFonts w:eastAsia="宋体" w:cs="Times New Roman"/>
                <w:bCs w:val="0"/>
                <w:color w:val="000000"/>
                <w:kern w:val="0"/>
                <w:sz w:val="21"/>
                <w:szCs w:val="21"/>
              </w:rPr>
              <w:t>提升基本社会服务质量</w:t>
            </w:r>
          </w:p>
        </w:tc>
        <w:tc>
          <w:tcPr>
            <w:tcW w:w="4915"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left"/>
              <w:rPr>
                <w:rFonts w:eastAsia="宋体" w:cs="Times New Roman"/>
                <w:bCs w:val="0"/>
                <w:color w:val="000000"/>
                <w:kern w:val="0"/>
                <w:sz w:val="21"/>
                <w:szCs w:val="21"/>
              </w:rPr>
            </w:pPr>
            <w:r>
              <w:rPr>
                <w:rFonts w:eastAsia="宋体" w:cs="Times New Roman"/>
                <w:bCs w:val="0"/>
                <w:color w:val="000000"/>
                <w:kern w:val="0"/>
                <w:sz w:val="21"/>
                <w:szCs w:val="21"/>
              </w:rPr>
              <w:t>（1）优化婚姻登记服务</w:t>
            </w:r>
            <w:r>
              <w:rPr>
                <w:rFonts w:eastAsia="宋体" w:cs="Times New Roman"/>
                <w:bCs w:val="0"/>
                <w:color w:val="000000"/>
                <w:kern w:val="0"/>
                <w:sz w:val="21"/>
                <w:szCs w:val="21"/>
              </w:rPr>
              <w:br/>
            </w:r>
            <w:r>
              <w:rPr>
                <w:rFonts w:eastAsia="宋体" w:cs="Times New Roman"/>
                <w:bCs w:val="0"/>
                <w:color w:val="000000"/>
                <w:kern w:val="0"/>
                <w:sz w:val="21"/>
                <w:szCs w:val="21"/>
              </w:rPr>
              <w:t>（2）加强殡葬服务管理</w:t>
            </w:r>
            <w:r>
              <w:rPr>
                <w:rFonts w:eastAsia="宋体" w:cs="Times New Roman"/>
                <w:bCs w:val="0"/>
                <w:color w:val="000000"/>
                <w:kern w:val="0"/>
                <w:sz w:val="21"/>
                <w:szCs w:val="21"/>
              </w:rPr>
              <w:br/>
            </w:r>
            <w:r>
              <w:rPr>
                <w:rFonts w:eastAsia="宋体" w:cs="Times New Roman"/>
                <w:bCs w:val="0"/>
                <w:color w:val="000000"/>
                <w:kern w:val="0"/>
                <w:sz w:val="21"/>
                <w:szCs w:val="21"/>
              </w:rPr>
              <w:t>（3）推动慈善事业创新发展</w:t>
            </w:r>
            <w:r>
              <w:rPr>
                <w:rFonts w:eastAsia="宋体" w:cs="Times New Roman"/>
                <w:bCs w:val="0"/>
                <w:color w:val="000000"/>
                <w:kern w:val="0"/>
                <w:sz w:val="21"/>
                <w:szCs w:val="21"/>
              </w:rPr>
              <w:br/>
            </w:r>
            <w:r>
              <w:rPr>
                <w:rFonts w:eastAsia="宋体" w:cs="Times New Roman"/>
                <w:bCs w:val="0"/>
                <w:color w:val="000000"/>
                <w:kern w:val="0"/>
                <w:sz w:val="21"/>
                <w:szCs w:val="21"/>
              </w:rPr>
              <w:t>（4）加强社会心理服务</w:t>
            </w:r>
            <w:r>
              <w:rPr>
                <w:rFonts w:eastAsia="宋体" w:cs="Times New Roman"/>
                <w:bCs w:val="0"/>
                <w:color w:val="000000"/>
                <w:kern w:val="0"/>
                <w:sz w:val="21"/>
                <w:szCs w:val="21"/>
              </w:rPr>
              <w:br/>
            </w:r>
            <w:r>
              <w:rPr>
                <w:rFonts w:eastAsia="宋体" w:cs="Times New Roman"/>
                <w:bCs w:val="0"/>
                <w:color w:val="000000"/>
                <w:kern w:val="0"/>
                <w:sz w:val="21"/>
                <w:szCs w:val="21"/>
              </w:rPr>
              <w:t>（5）加强见义勇为权益保护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trPr>
        <w:tc>
          <w:tcPr>
            <w:tcW w:w="1305" w:type="dxa"/>
            <w:tcBorders>
              <w:top w:val="single" w:color="auto" w:sz="4" w:space="0"/>
              <w:left w:val="single" w:color="auto" w:sz="4" w:space="0"/>
              <w:bottom w:val="single" w:color="auto" w:sz="4" w:space="0"/>
              <w:right w:val="single" w:color="auto" w:sz="4" w:space="0"/>
            </w:tcBorders>
            <w:vAlign w:val="center"/>
          </w:tcPr>
          <w:p>
            <w:pPr>
              <w:shd w:val="clear" w:color="000000" w:fill="auto"/>
              <w:spacing w:line="240" w:lineRule="auto"/>
              <w:ind w:firstLine="0" w:firstLineChars="0"/>
              <w:jc w:val="center"/>
              <w:rPr>
                <w:rFonts w:eastAsia="宋体"/>
                <w:sz w:val="21"/>
                <w:szCs w:val="21"/>
              </w:rPr>
            </w:pPr>
            <w:r>
              <w:rPr>
                <w:rFonts w:eastAsia="宋体"/>
                <w:sz w:val="21"/>
                <w:szCs w:val="21"/>
              </w:rPr>
              <w:t>5</w:t>
            </w:r>
          </w:p>
        </w:tc>
        <w:tc>
          <w:tcPr>
            <w:tcW w:w="2950"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center"/>
              <w:rPr>
                <w:rFonts w:eastAsia="宋体" w:cs="Times New Roman"/>
                <w:bCs w:val="0"/>
                <w:color w:val="000000"/>
                <w:kern w:val="0"/>
                <w:sz w:val="21"/>
                <w:szCs w:val="21"/>
              </w:rPr>
            </w:pPr>
            <w:r>
              <w:rPr>
                <w:rFonts w:eastAsia="宋体" w:cs="Times New Roman"/>
                <w:bCs w:val="0"/>
                <w:color w:val="000000"/>
                <w:kern w:val="0"/>
                <w:sz w:val="21"/>
                <w:szCs w:val="21"/>
              </w:rPr>
              <w:t>深入开展党史学习教育</w:t>
            </w:r>
          </w:p>
        </w:tc>
        <w:tc>
          <w:tcPr>
            <w:tcW w:w="4915"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left"/>
              <w:rPr>
                <w:rFonts w:eastAsia="宋体" w:cs="Times New Roman"/>
                <w:bCs w:val="0"/>
                <w:color w:val="000000"/>
                <w:kern w:val="0"/>
                <w:sz w:val="21"/>
                <w:szCs w:val="21"/>
              </w:rPr>
            </w:pPr>
            <w:r>
              <w:rPr>
                <w:rFonts w:eastAsia="宋体" w:cs="Times New Roman"/>
                <w:bCs w:val="0"/>
                <w:color w:val="000000"/>
                <w:kern w:val="0"/>
                <w:sz w:val="21"/>
                <w:szCs w:val="21"/>
              </w:rPr>
              <w:t xml:space="preserve">（1）加强组织领导 </w:t>
            </w:r>
            <w:r>
              <w:rPr>
                <w:rFonts w:eastAsia="宋体" w:cs="Times New Roman"/>
                <w:bCs w:val="0"/>
                <w:color w:val="000000"/>
                <w:kern w:val="0"/>
                <w:sz w:val="21"/>
                <w:szCs w:val="21"/>
              </w:rPr>
              <w:br/>
            </w:r>
            <w:r>
              <w:rPr>
                <w:rFonts w:eastAsia="宋体" w:cs="Times New Roman"/>
                <w:bCs w:val="0"/>
                <w:color w:val="000000"/>
                <w:kern w:val="0"/>
                <w:sz w:val="21"/>
                <w:szCs w:val="21"/>
              </w:rPr>
              <w:t>（2）扎实开展学习</w:t>
            </w:r>
            <w:r>
              <w:rPr>
                <w:rFonts w:eastAsia="宋体" w:cs="Times New Roman"/>
                <w:bCs w:val="0"/>
                <w:color w:val="000000"/>
                <w:kern w:val="0"/>
                <w:sz w:val="21"/>
                <w:szCs w:val="21"/>
              </w:rPr>
              <w:br/>
            </w:r>
            <w:r>
              <w:rPr>
                <w:rFonts w:eastAsia="宋体" w:cs="Times New Roman"/>
                <w:bCs w:val="0"/>
                <w:color w:val="000000"/>
                <w:kern w:val="0"/>
                <w:sz w:val="21"/>
                <w:szCs w:val="21"/>
              </w:rPr>
              <w:t>（3）用心用情为民办实事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trPr>
        <w:tc>
          <w:tcPr>
            <w:tcW w:w="1305" w:type="dxa"/>
            <w:tcBorders>
              <w:top w:val="single" w:color="auto" w:sz="4" w:space="0"/>
              <w:left w:val="single" w:color="auto" w:sz="4" w:space="0"/>
              <w:bottom w:val="single" w:color="auto" w:sz="4" w:space="0"/>
              <w:right w:val="single" w:color="auto" w:sz="4" w:space="0"/>
            </w:tcBorders>
            <w:vAlign w:val="center"/>
          </w:tcPr>
          <w:p>
            <w:pPr>
              <w:shd w:val="clear" w:color="000000" w:fill="auto"/>
              <w:spacing w:line="240" w:lineRule="auto"/>
              <w:ind w:firstLine="0" w:firstLineChars="0"/>
              <w:jc w:val="center"/>
              <w:rPr>
                <w:rFonts w:eastAsia="宋体"/>
                <w:sz w:val="21"/>
                <w:szCs w:val="21"/>
              </w:rPr>
            </w:pPr>
            <w:r>
              <w:rPr>
                <w:rFonts w:eastAsia="宋体"/>
                <w:sz w:val="21"/>
                <w:szCs w:val="21"/>
              </w:rPr>
              <w:t>6</w:t>
            </w:r>
          </w:p>
        </w:tc>
        <w:tc>
          <w:tcPr>
            <w:tcW w:w="2950"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center"/>
              <w:rPr>
                <w:rFonts w:eastAsia="宋体" w:cs="Times New Roman"/>
                <w:bCs w:val="0"/>
                <w:color w:val="000000"/>
                <w:kern w:val="0"/>
                <w:sz w:val="21"/>
                <w:szCs w:val="21"/>
              </w:rPr>
            </w:pPr>
            <w:r>
              <w:rPr>
                <w:rFonts w:eastAsia="宋体" w:cs="Times New Roman"/>
                <w:bCs w:val="0"/>
                <w:color w:val="000000"/>
                <w:kern w:val="0"/>
                <w:sz w:val="21"/>
                <w:szCs w:val="21"/>
              </w:rPr>
              <w:t>全面强化党的领导</w:t>
            </w:r>
          </w:p>
        </w:tc>
        <w:tc>
          <w:tcPr>
            <w:tcW w:w="4915"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left"/>
              <w:rPr>
                <w:rFonts w:eastAsia="宋体" w:cs="Times New Roman"/>
                <w:bCs w:val="0"/>
                <w:color w:val="000000"/>
                <w:kern w:val="0"/>
                <w:sz w:val="21"/>
                <w:szCs w:val="21"/>
              </w:rPr>
            </w:pPr>
            <w:r>
              <w:rPr>
                <w:rFonts w:eastAsia="宋体" w:cs="Times New Roman"/>
                <w:bCs w:val="0"/>
                <w:color w:val="000000"/>
                <w:kern w:val="0"/>
                <w:sz w:val="21"/>
                <w:szCs w:val="21"/>
              </w:rPr>
              <w:t>（1）加强社会建设工作统筹</w:t>
            </w:r>
            <w:r>
              <w:rPr>
                <w:rFonts w:eastAsia="宋体" w:cs="Times New Roman"/>
                <w:bCs w:val="0"/>
                <w:color w:val="000000"/>
                <w:kern w:val="0"/>
                <w:sz w:val="21"/>
                <w:szCs w:val="21"/>
              </w:rPr>
              <w:br/>
            </w:r>
            <w:r>
              <w:rPr>
                <w:rFonts w:eastAsia="宋体" w:cs="Times New Roman"/>
                <w:bCs w:val="0"/>
                <w:color w:val="000000"/>
                <w:kern w:val="0"/>
                <w:sz w:val="21"/>
                <w:szCs w:val="21"/>
              </w:rPr>
              <w:t>（2）高质量完成村居“两委”换届选举</w:t>
            </w:r>
            <w:r>
              <w:rPr>
                <w:rFonts w:eastAsia="宋体" w:cs="Times New Roman"/>
                <w:bCs w:val="0"/>
                <w:color w:val="000000"/>
                <w:kern w:val="0"/>
                <w:sz w:val="21"/>
                <w:szCs w:val="21"/>
              </w:rPr>
              <w:br/>
            </w:r>
            <w:r>
              <w:rPr>
                <w:rFonts w:eastAsia="宋体" w:cs="Times New Roman"/>
                <w:bCs w:val="0"/>
                <w:color w:val="000000"/>
                <w:kern w:val="0"/>
                <w:sz w:val="21"/>
                <w:szCs w:val="21"/>
              </w:rPr>
              <w:t>（3）推进社区党建创新发展</w:t>
            </w:r>
            <w:r>
              <w:rPr>
                <w:rFonts w:eastAsia="宋体" w:cs="Times New Roman"/>
                <w:bCs w:val="0"/>
                <w:color w:val="000000"/>
                <w:kern w:val="0"/>
                <w:sz w:val="21"/>
                <w:szCs w:val="21"/>
              </w:rPr>
              <w:br/>
            </w:r>
            <w:r>
              <w:rPr>
                <w:rFonts w:eastAsia="宋体" w:cs="Times New Roman"/>
                <w:bCs w:val="0"/>
                <w:color w:val="000000"/>
                <w:kern w:val="0"/>
                <w:sz w:val="21"/>
                <w:szCs w:val="21"/>
              </w:rPr>
              <w:t>（4）深化社会组织党建“北京方案”</w:t>
            </w:r>
            <w:r>
              <w:rPr>
                <w:rFonts w:eastAsia="宋体" w:cs="Times New Roman"/>
                <w:bCs w:val="0"/>
                <w:color w:val="000000"/>
                <w:kern w:val="0"/>
                <w:sz w:val="21"/>
                <w:szCs w:val="21"/>
              </w:rPr>
              <w:br/>
            </w:r>
            <w:r>
              <w:rPr>
                <w:rFonts w:eastAsia="宋体" w:cs="Times New Roman"/>
                <w:bCs w:val="0"/>
                <w:color w:val="000000"/>
                <w:kern w:val="0"/>
                <w:sz w:val="21"/>
                <w:szCs w:val="21"/>
              </w:rPr>
              <w:t>（5）抓好常态化疫情防控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trPr>
        <w:tc>
          <w:tcPr>
            <w:tcW w:w="1305" w:type="dxa"/>
            <w:tcBorders>
              <w:top w:val="single" w:color="auto" w:sz="4" w:space="0"/>
              <w:left w:val="single" w:color="auto" w:sz="4" w:space="0"/>
              <w:bottom w:val="single" w:color="auto" w:sz="4" w:space="0"/>
              <w:right w:val="single" w:color="auto" w:sz="4" w:space="0"/>
            </w:tcBorders>
            <w:vAlign w:val="center"/>
          </w:tcPr>
          <w:p>
            <w:pPr>
              <w:shd w:val="clear" w:color="000000" w:fill="auto"/>
              <w:spacing w:line="240" w:lineRule="auto"/>
              <w:ind w:firstLine="0" w:firstLineChars="0"/>
              <w:jc w:val="center"/>
              <w:rPr>
                <w:rFonts w:eastAsia="宋体"/>
                <w:sz w:val="21"/>
                <w:szCs w:val="21"/>
              </w:rPr>
            </w:pPr>
            <w:r>
              <w:rPr>
                <w:rFonts w:eastAsia="宋体"/>
                <w:sz w:val="21"/>
                <w:szCs w:val="21"/>
              </w:rPr>
              <w:t>7</w:t>
            </w:r>
          </w:p>
        </w:tc>
        <w:tc>
          <w:tcPr>
            <w:tcW w:w="2950"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center"/>
              <w:rPr>
                <w:rFonts w:eastAsia="宋体" w:cs="Times New Roman"/>
                <w:bCs w:val="0"/>
                <w:color w:val="000000"/>
                <w:kern w:val="0"/>
                <w:sz w:val="21"/>
                <w:szCs w:val="21"/>
              </w:rPr>
            </w:pPr>
            <w:r>
              <w:rPr>
                <w:rFonts w:eastAsia="宋体" w:cs="Times New Roman"/>
                <w:bCs w:val="0"/>
                <w:color w:val="000000"/>
                <w:kern w:val="0"/>
                <w:sz w:val="21"/>
                <w:szCs w:val="21"/>
              </w:rPr>
              <w:t>纵深推进全面从严治党</w:t>
            </w:r>
          </w:p>
        </w:tc>
        <w:tc>
          <w:tcPr>
            <w:tcW w:w="4915" w:type="dxa"/>
            <w:tcBorders>
              <w:top w:val="single" w:color="auto" w:sz="4" w:space="0"/>
              <w:left w:val="nil"/>
              <w:bottom w:val="single" w:color="auto" w:sz="4" w:space="0"/>
              <w:right w:val="single" w:color="auto" w:sz="4" w:space="0"/>
            </w:tcBorders>
            <w:vAlign w:val="center"/>
          </w:tcPr>
          <w:p>
            <w:pPr>
              <w:pStyle w:val="3"/>
              <w:shd w:val="clear" w:color="010000" w:fill="auto"/>
              <w:spacing w:line="240" w:lineRule="auto"/>
              <w:ind w:firstLine="0" w:firstLineChars="0"/>
              <w:jc w:val="left"/>
              <w:rPr>
                <w:rFonts w:eastAsia="宋体" w:cs="Times New Roman"/>
                <w:bCs w:val="0"/>
                <w:color w:val="000000"/>
                <w:kern w:val="0"/>
                <w:sz w:val="21"/>
                <w:szCs w:val="21"/>
              </w:rPr>
            </w:pPr>
            <w:r>
              <w:rPr>
                <w:rFonts w:eastAsia="宋体" w:cs="Times New Roman"/>
                <w:bCs w:val="0"/>
                <w:color w:val="000000"/>
                <w:kern w:val="0"/>
                <w:sz w:val="21"/>
                <w:szCs w:val="21"/>
              </w:rPr>
              <w:t>（1）压实全面从严治党主体责任</w:t>
            </w:r>
            <w:r>
              <w:rPr>
                <w:rFonts w:eastAsia="宋体" w:cs="Times New Roman"/>
                <w:bCs w:val="0"/>
                <w:color w:val="000000"/>
                <w:kern w:val="0"/>
                <w:sz w:val="21"/>
                <w:szCs w:val="21"/>
              </w:rPr>
              <w:br/>
            </w:r>
            <w:r>
              <w:rPr>
                <w:rFonts w:eastAsia="宋体" w:cs="Times New Roman"/>
                <w:bCs w:val="0"/>
                <w:color w:val="000000"/>
                <w:kern w:val="0"/>
                <w:sz w:val="21"/>
                <w:szCs w:val="21"/>
              </w:rPr>
              <w:t>（2）强化基层党组织建设</w:t>
            </w:r>
            <w:r>
              <w:rPr>
                <w:rFonts w:eastAsia="宋体" w:cs="Times New Roman"/>
                <w:bCs w:val="0"/>
                <w:color w:val="000000"/>
                <w:kern w:val="0"/>
                <w:sz w:val="21"/>
                <w:szCs w:val="21"/>
              </w:rPr>
              <w:br/>
            </w:r>
            <w:r>
              <w:rPr>
                <w:rFonts w:eastAsia="宋体" w:cs="Times New Roman"/>
                <w:bCs w:val="0"/>
                <w:color w:val="000000"/>
                <w:kern w:val="0"/>
                <w:sz w:val="21"/>
                <w:szCs w:val="21"/>
              </w:rPr>
              <w:t>（3）深化事业单位改革</w:t>
            </w:r>
            <w:r>
              <w:rPr>
                <w:rFonts w:eastAsia="宋体" w:cs="Times New Roman"/>
                <w:bCs w:val="0"/>
                <w:color w:val="000000"/>
                <w:kern w:val="0"/>
                <w:sz w:val="21"/>
                <w:szCs w:val="21"/>
              </w:rPr>
              <w:br/>
            </w:r>
            <w:r>
              <w:rPr>
                <w:rFonts w:eastAsia="宋体" w:cs="Times New Roman"/>
                <w:bCs w:val="0"/>
                <w:color w:val="000000"/>
                <w:kern w:val="0"/>
                <w:sz w:val="21"/>
                <w:szCs w:val="21"/>
              </w:rPr>
              <w:t>（4）加强干部队伍建设</w:t>
            </w:r>
            <w:r>
              <w:rPr>
                <w:rFonts w:eastAsia="宋体" w:cs="Times New Roman"/>
                <w:bCs w:val="0"/>
                <w:color w:val="000000"/>
                <w:kern w:val="0"/>
                <w:sz w:val="21"/>
                <w:szCs w:val="21"/>
              </w:rPr>
              <w:br/>
            </w:r>
            <w:r>
              <w:rPr>
                <w:rFonts w:eastAsia="宋体" w:cs="Times New Roman"/>
                <w:bCs w:val="0"/>
                <w:color w:val="000000"/>
                <w:kern w:val="0"/>
                <w:sz w:val="21"/>
                <w:szCs w:val="21"/>
              </w:rPr>
              <w:t>（5）从严执纪问责</w:t>
            </w:r>
          </w:p>
        </w:tc>
      </w:tr>
    </w:tbl>
    <w:p>
      <w:pPr>
        <w:pStyle w:val="3"/>
        <w:shd w:val="clear" w:color="010000" w:fill="auto"/>
        <w:spacing w:before="229" w:beforeLines="50"/>
        <w:ind w:firstLine="640"/>
        <w:jc w:val="left"/>
        <w:rPr>
          <w:rFonts w:ascii="楷体_GB2312" w:hAnsi="楷体_GB2312" w:eastAsia="楷体_GB2312" w:cs="楷体_GB2312"/>
        </w:rPr>
      </w:pPr>
      <w:r>
        <w:rPr>
          <w:rFonts w:hint="eastAsia" w:ascii="楷体_GB2312" w:hAnsi="楷体_GB2312" w:eastAsia="楷体_GB2312" w:cs="楷体_GB2312"/>
        </w:rPr>
        <w:t>（二）部门整体绩效目标设立情况</w:t>
      </w:r>
    </w:p>
    <w:p>
      <w:pPr>
        <w:pStyle w:val="4"/>
        <w:shd w:val="clear" w:color="010000" w:fill="auto"/>
        <w:ind w:firstLine="640"/>
        <w:rPr>
          <w:rFonts w:ascii="仿宋_GB2312" w:hAnsi="仿宋_GB2312" w:cs="仿宋_GB2312"/>
        </w:rPr>
      </w:pPr>
      <w:r>
        <w:rPr>
          <w:rFonts w:hint="eastAsia" w:ascii="仿宋_GB2312" w:hAnsi="仿宋_GB2312" w:cs="仿宋_GB2312"/>
        </w:rPr>
        <w:t>1.绩效目标与职责任务匹配性</w:t>
      </w:r>
    </w:p>
    <w:p>
      <w:pPr>
        <w:shd w:val="clear" w:color="000000" w:fill="auto"/>
        <w:ind w:firstLine="640"/>
        <w:rPr>
          <w:rFonts w:ascii="仿宋_GB2312" w:hAnsi="仿宋_GB2312" w:cs="仿宋_GB2312"/>
        </w:rPr>
      </w:pPr>
      <w:r>
        <w:rPr>
          <w:rFonts w:hint="eastAsia" w:ascii="仿宋_GB2312" w:hAnsi="仿宋_GB2312" w:cs="仿宋_GB2312"/>
        </w:rPr>
        <w:t>市委社会工委市民政局2021年度部门整体绩效目标围绕职能及2021年度工作计划设置，绩效目标设置与单位职责履行、年度工作任务较为相符。绩效目标与部门职责及年度重点工作匹配情况如下：</w:t>
      </w:r>
    </w:p>
    <w:p>
      <w:pPr>
        <w:shd w:val="clear" w:color="000000" w:fill="auto"/>
        <w:ind w:firstLine="0" w:firstLineChars="0"/>
        <w:jc w:val="center"/>
        <w:rPr>
          <w:rFonts w:eastAsia="黑体"/>
          <w:color w:val="000000"/>
          <w:sz w:val="28"/>
          <w:szCs w:val="28"/>
        </w:rPr>
      </w:pPr>
      <w:r>
        <w:rPr>
          <w:rFonts w:eastAsia="黑体"/>
          <w:sz w:val="28"/>
          <w:szCs w:val="28"/>
        </w:rPr>
        <w:t xml:space="preserve">表4 </w:t>
      </w:r>
      <w:r>
        <w:rPr>
          <w:rFonts w:eastAsia="黑体"/>
          <w:color w:val="000000"/>
          <w:sz w:val="28"/>
          <w:szCs w:val="28"/>
        </w:rPr>
        <w:t>2021年度部门整体绩效目标与职责及年度任务对应情况表</w:t>
      </w:r>
    </w:p>
    <w:tbl>
      <w:tblPr>
        <w:tblStyle w:val="13"/>
        <w:tblW w:w="91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8"/>
        <w:gridCol w:w="3293"/>
        <w:gridCol w:w="1097"/>
        <w:gridCol w:w="1097"/>
        <w:gridCol w:w="2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blHeader/>
        </w:trPr>
        <w:tc>
          <w:tcPr>
            <w:tcW w:w="778" w:type="dxa"/>
            <w:tcBorders>
              <w:top w:val="single" w:color="000000" w:sz="4" w:space="0"/>
              <w:left w:val="single" w:color="000000" w:sz="4" w:space="0"/>
              <w:bottom w:val="single" w:color="000000" w:sz="4" w:space="0"/>
              <w:right w:val="single" w:color="000000" w:sz="4" w:space="0"/>
            </w:tcBorders>
            <w:shd w:val="clear" w:color="auto" w:fill="CFCECE"/>
            <w:vAlign w:val="center"/>
          </w:tcPr>
          <w:p>
            <w:pPr>
              <w:widowControl/>
              <w:shd w:val="clear" w:color="010000" w:fill="auto"/>
              <w:spacing w:line="240" w:lineRule="auto"/>
              <w:ind w:firstLine="0" w:firstLineChars="0"/>
              <w:jc w:val="center"/>
              <w:rPr>
                <w:rFonts w:eastAsia="宋体"/>
                <w:b/>
                <w:bCs/>
                <w:color w:val="000000"/>
                <w:kern w:val="0"/>
                <w:sz w:val="18"/>
                <w:szCs w:val="18"/>
              </w:rPr>
            </w:pPr>
            <w:r>
              <w:rPr>
                <w:rFonts w:eastAsia="宋体"/>
                <w:b/>
                <w:bCs/>
                <w:color w:val="000000"/>
                <w:kern w:val="0"/>
                <w:sz w:val="18"/>
                <w:szCs w:val="18"/>
              </w:rPr>
              <w:t>序号</w:t>
            </w:r>
          </w:p>
        </w:tc>
        <w:tc>
          <w:tcPr>
            <w:tcW w:w="3293" w:type="dxa"/>
            <w:tcBorders>
              <w:top w:val="single" w:color="000000" w:sz="4" w:space="0"/>
              <w:left w:val="single" w:color="000000" w:sz="4" w:space="0"/>
              <w:bottom w:val="single" w:color="000000" w:sz="4" w:space="0"/>
              <w:right w:val="single" w:color="000000" w:sz="4" w:space="0"/>
            </w:tcBorders>
            <w:shd w:val="clear" w:color="auto" w:fill="CFCECE"/>
            <w:vAlign w:val="center"/>
          </w:tcPr>
          <w:p>
            <w:pPr>
              <w:widowControl/>
              <w:shd w:val="clear" w:color="010000" w:fill="auto"/>
              <w:spacing w:line="240" w:lineRule="auto"/>
              <w:ind w:firstLine="0" w:firstLineChars="0"/>
              <w:jc w:val="center"/>
              <w:rPr>
                <w:rFonts w:eastAsia="宋体"/>
                <w:b/>
                <w:bCs/>
                <w:color w:val="000000"/>
                <w:kern w:val="0"/>
                <w:sz w:val="18"/>
                <w:szCs w:val="18"/>
              </w:rPr>
            </w:pPr>
            <w:r>
              <w:rPr>
                <w:rFonts w:eastAsia="宋体"/>
                <w:b/>
                <w:bCs/>
                <w:color w:val="000000"/>
                <w:kern w:val="0"/>
                <w:sz w:val="18"/>
                <w:szCs w:val="18"/>
              </w:rPr>
              <w:t>部门职责</w:t>
            </w:r>
          </w:p>
        </w:tc>
        <w:tc>
          <w:tcPr>
            <w:tcW w:w="1097" w:type="dxa"/>
            <w:tcBorders>
              <w:top w:val="single" w:color="000000" w:sz="4" w:space="0"/>
              <w:left w:val="single" w:color="000000" w:sz="4" w:space="0"/>
              <w:bottom w:val="single" w:color="000000" w:sz="4" w:space="0"/>
              <w:right w:val="single" w:color="000000" w:sz="4" w:space="0"/>
            </w:tcBorders>
            <w:shd w:val="clear" w:color="auto" w:fill="CFCECE"/>
            <w:vAlign w:val="center"/>
          </w:tcPr>
          <w:p>
            <w:pPr>
              <w:widowControl/>
              <w:shd w:val="clear" w:color="010000" w:fill="auto"/>
              <w:spacing w:line="240" w:lineRule="auto"/>
              <w:ind w:firstLine="0" w:firstLineChars="0"/>
              <w:jc w:val="center"/>
              <w:rPr>
                <w:rFonts w:eastAsia="宋体"/>
                <w:b/>
                <w:bCs/>
                <w:color w:val="000000"/>
                <w:kern w:val="0"/>
                <w:sz w:val="18"/>
                <w:szCs w:val="18"/>
              </w:rPr>
            </w:pPr>
            <w:r>
              <w:rPr>
                <w:rFonts w:eastAsia="宋体"/>
                <w:b/>
                <w:bCs/>
                <w:color w:val="000000"/>
                <w:kern w:val="0"/>
                <w:sz w:val="18"/>
                <w:szCs w:val="18"/>
              </w:rPr>
              <w:t>年度任务</w:t>
            </w:r>
          </w:p>
        </w:tc>
        <w:tc>
          <w:tcPr>
            <w:tcW w:w="1097" w:type="dxa"/>
            <w:tcBorders>
              <w:top w:val="single" w:color="000000" w:sz="4" w:space="0"/>
              <w:left w:val="single" w:color="000000" w:sz="4" w:space="0"/>
              <w:bottom w:val="single" w:color="000000" w:sz="4" w:space="0"/>
              <w:right w:val="single" w:color="000000" w:sz="4" w:space="0"/>
            </w:tcBorders>
            <w:shd w:val="clear" w:color="auto" w:fill="CFCECE"/>
            <w:vAlign w:val="center"/>
          </w:tcPr>
          <w:p>
            <w:pPr>
              <w:widowControl/>
              <w:shd w:val="clear" w:color="010000" w:fill="auto"/>
              <w:spacing w:line="240" w:lineRule="auto"/>
              <w:ind w:firstLine="0" w:firstLineChars="0"/>
              <w:jc w:val="center"/>
              <w:rPr>
                <w:rFonts w:eastAsia="宋体"/>
                <w:b/>
                <w:bCs/>
                <w:color w:val="000000"/>
                <w:kern w:val="0"/>
                <w:sz w:val="18"/>
                <w:szCs w:val="18"/>
              </w:rPr>
            </w:pPr>
            <w:r>
              <w:rPr>
                <w:rFonts w:eastAsia="宋体"/>
                <w:b/>
                <w:bCs/>
                <w:color w:val="000000"/>
                <w:kern w:val="0"/>
                <w:sz w:val="18"/>
                <w:szCs w:val="18"/>
              </w:rPr>
              <w:t>绩效目标</w:t>
            </w:r>
          </w:p>
        </w:tc>
        <w:tc>
          <w:tcPr>
            <w:tcW w:w="2909" w:type="dxa"/>
            <w:tcBorders>
              <w:top w:val="single" w:color="000000" w:sz="4" w:space="0"/>
              <w:left w:val="single" w:color="000000" w:sz="4" w:space="0"/>
              <w:bottom w:val="single" w:color="000000" w:sz="4" w:space="0"/>
              <w:right w:val="single" w:color="000000" w:sz="4" w:space="0"/>
            </w:tcBorders>
            <w:shd w:val="clear" w:color="auto" w:fill="CFCECE"/>
            <w:vAlign w:val="center"/>
          </w:tcPr>
          <w:p>
            <w:pPr>
              <w:widowControl/>
              <w:shd w:val="clear" w:color="010000" w:fill="auto"/>
              <w:spacing w:line="240" w:lineRule="auto"/>
              <w:ind w:firstLine="0" w:firstLineChars="0"/>
              <w:jc w:val="center"/>
              <w:rPr>
                <w:rFonts w:eastAsia="宋体"/>
                <w:b/>
                <w:bCs/>
                <w:color w:val="000000"/>
                <w:kern w:val="0"/>
                <w:sz w:val="18"/>
                <w:szCs w:val="18"/>
              </w:rPr>
            </w:pPr>
            <w:r>
              <w:rPr>
                <w:rFonts w:eastAsia="宋体"/>
                <w:b/>
                <w:bCs/>
                <w:color w:val="000000"/>
                <w:kern w:val="0"/>
                <w:sz w:val="18"/>
                <w:szCs w:val="18"/>
              </w:rPr>
              <w:t>绩效指标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778"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1</w:t>
            </w:r>
          </w:p>
        </w:tc>
        <w:tc>
          <w:tcPr>
            <w:tcW w:w="3293"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r>
              <w:rPr>
                <w:rFonts w:eastAsia="宋体"/>
                <w:color w:val="333333"/>
                <w:kern w:val="0"/>
                <w:sz w:val="18"/>
                <w:szCs w:val="18"/>
              </w:rPr>
              <w:t>负责统筹推进、督促指导、监督管理养老服务工作。拟订养老服务体系建设政策、法规草案、标准和规划并组织实施。</w:t>
            </w:r>
          </w:p>
        </w:tc>
        <w:tc>
          <w:tcPr>
            <w:tcW w:w="1097"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构建大城市养老服务体系</w:t>
            </w:r>
          </w:p>
        </w:tc>
        <w:tc>
          <w:tcPr>
            <w:tcW w:w="1097"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提升基本民生保障水平</w:t>
            </w:r>
          </w:p>
        </w:tc>
        <w:tc>
          <w:tcPr>
            <w:tcW w:w="2909"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rPr>
                <w:rFonts w:eastAsia="宋体"/>
                <w:color w:val="333333"/>
                <w:kern w:val="0"/>
                <w:sz w:val="18"/>
                <w:szCs w:val="18"/>
              </w:rPr>
            </w:pPr>
            <w:r>
              <w:rPr>
                <w:rFonts w:eastAsia="宋体"/>
                <w:color w:val="333333"/>
                <w:kern w:val="0"/>
                <w:sz w:val="18"/>
                <w:szCs w:val="18"/>
              </w:rPr>
              <w:t>在全市建设家庭照护床位2000张；新建农村邻里互助养老服务点200个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78"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2</w:t>
            </w:r>
          </w:p>
        </w:tc>
        <w:tc>
          <w:tcPr>
            <w:tcW w:w="3293"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r>
              <w:rPr>
                <w:rFonts w:eastAsia="宋体"/>
                <w:color w:val="333333"/>
                <w:kern w:val="0"/>
                <w:sz w:val="18"/>
                <w:szCs w:val="18"/>
              </w:rPr>
              <w:t>组织拟订本市城乡社会救助规划、政策和标准；健全城乡社会救助体系，负责城乡居民最低生活保障、临时救助、城市生活无着的流浪乞讨人员救助工作。负责特困人员供养工作。</w:t>
            </w:r>
          </w:p>
        </w:tc>
        <w:tc>
          <w:tcPr>
            <w:tcW w:w="1097"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健全困难群众精准帮扶体系</w:t>
            </w:r>
          </w:p>
        </w:tc>
        <w:tc>
          <w:tcPr>
            <w:tcW w:w="1097" w:type="dxa"/>
            <w:vMerge w:val="continue"/>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p>
        </w:tc>
        <w:tc>
          <w:tcPr>
            <w:tcW w:w="2909"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rPr>
                <w:rFonts w:eastAsia="宋体"/>
                <w:color w:val="333333"/>
                <w:kern w:val="0"/>
                <w:sz w:val="18"/>
                <w:szCs w:val="18"/>
              </w:rPr>
            </w:pPr>
            <w:r>
              <w:rPr>
                <w:rFonts w:eastAsia="宋体"/>
                <w:color w:val="333333"/>
                <w:kern w:val="0"/>
                <w:sz w:val="18"/>
                <w:szCs w:val="18"/>
              </w:rPr>
              <w:t>提升社会救助水平</w:t>
            </w:r>
            <w:r>
              <w:rPr>
                <w:rFonts w:eastAsia="宋体"/>
                <w:color w:val="333333"/>
                <w:kern w:val="0"/>
                <w:sz w:val="18"/>
                <w:szCs w:val="18"/>
              </w:rPr>
              <w:br/>
            </w:r>
            <w:r>
              <w:rPr>
                <w:rFonts w:eastAsia="宋体"/>
                <w:color w:val="333333"/>
                <w:kern w:val="0"/>
                <w:sz w:val="18"/>
                <w:szCs w:val="18"/>
              </w:rPr>
              <w:t>强化儿童福利和保护</w:t>
            </w:r>
            <w:r>
              <w:rPr>
                <w:rFonts w:eastAsia="宋体"/>
                <w:color w:val="333333"/>
                <w:kern w:val="0"/>
                <w:sz w:val="18"/>
                <w:szCs w:val="18"/>
              </w:rPr>
              <w:br/>
            </w:r>
            <w:r>
              <w:rPr>
                <w:rFonts w:eastAsia="宋体"/>
                <w:color w:val="333333"/>
                <w:kern w:val="0"/>
                <w:sz w:val="18"/>
                <w:szCs w:val="18"/>
              </w:rPr>
              <w:t>健全残疾人福利制度</w:t>
            </w:r>
            <w:r>
              <w:rPr>
                <w:rFonts w:eastAsia="宋体"/>
                <w:color w:val="333333"/>
                <w:kern w:val="0"/>
                <w:sz w:val="18"/>
                <w:szCs w:val="18"/>
              </w:rPr>
              <w:br/>
            </w:r>
            <w:r>
              <w:rPr>
                <w:rFonts w:eastAsia="宋体"/>
                <w:color w:val="333333"/>
                <w:kern w:val="0"/>
                <w:sz w:val="18"/>
                <w:szCs w:val="18"/>
              </w:rPr>
              <w:t>提升流浪乞讨人员救助水平</w:t>
            </w:r>
            <w:r>
              <w:rPr>
                <w:rFonts w:eastAsia="宋体"/>
                <w:color w:val="333333"/>
                <w:kern w:val="0"/>
                <w:sz w:val="18"/>
                <w:szCs w:val="18"/>
              </w:rPr>
              <w:br/>
            </w:r>
            <w:r>
              <w:rPr>
                <w:rFonts w:eastAsia="宋体"/>
                <w:color w:val="333333"/>
                <w:kern w:val="0"/>
                <w:sz w:val="18"/>
                <w:szCs w:val="18"/>
              </w:rPr>
              <w:t>做好征地超转人员服务保障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78"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3</w:t>
            </w:r>
          </w:p>
        </w:tc>
        <w:tc>
          <w:tcPr>
            <w:tcW w:w="3293"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r>
              <w:rPr>
                <w:rFonts w:eastAsia="宋体"/>
                <w:color w:val="333333"/>
                <w:kern w:val="0"/>
                <w:sz w:val="18"/>
                <w:szCs w:val="18"/>
              </w:rPr>
              <w:t>协调指导各区、各有关单位开展社区党建工作；协调指导社会组织开展党建工作。</w:t>
            </w:r>
          </w:p>
        </w:tc>
        <w:tc>
          <w:tcPr>
            <w:tcW w:w="1097"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全面加强社会领域党的建设</w:t>
            </w:r>
          </w:p>
        </w:tc>
        <w:tc>
          <w:tcPr>
            <w:tcW w:w="1097"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持续加强社会领域党的建设</w:t>
            </w:r>
          </w:p>
        </w:tc>
        <w:tc>
          <w:tcPr>
            <w:tcW w:w="2909"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rPr>
                <w:rFonts w:eastAsia="宋体"/>
                <w:color w:val="333333"/>
                <w:kern w:val="0"/>
                <w:sz w:val="18"/>
                <w:szCs w:val="18"/>
              </w:rPr>
            </w:pPr>
            <w:r>
              <w:rPr>
                <w:rFonts w:eastAsia="宋体"/>
                <w:color w:val="333333"/>
                <w:kern w:val="0"/>
                <w:sz w:val="18"/>
                <w:szCs w:val="18"/>
              </w:rPr>
              <w:t>建设社区书记工作室示范点50个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78"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000000"/>
                <w:kern w:val="0"/>
                <w:sz w:val="18"/>
                <w:szCs w:val="18"/>
              </w:rPr>
            </w:pPr>
            <w:r>
              <w:rPr>
                <w:rFonts w:eastAsia="宋体"/>
                <w:color w:val="000000"/>
                <w:kern w:val="0"/>
                <w:sz w:val="18"/>
                <w:szCs w:val="18"/>
              </w:rPr>
              <w:t>4</w:t>
            </w:r>
          </w:p>
        </w:tc>
        <w:tc>
          <w:tcPr>
            <w:tcW w:w="3293"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r>
              <w:rPr>
                <w:rFonts w:eastAsia="宋体"/>
                <w:color w:val="333333"/>
                <w:kern w:val="0"/>
                <w:sz w:val="18"/>
                <w:szCs w:val="18"/>
              </w:rPr>
              <w:t>承担依法对本市社会团体、社会服务机构、基金会进行登记和监督管理责任。指导各区社会团体、社会服务机构的登记管理工作。</w:t>
            </w:r>
          </w:p>
        </w:tc>
        <w:tc>
          <w:tcPr>
            <w:tcW w:w="1097"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改善基本社会服务供给</w:t>
            </w:r>
          </w:p>
        </w:tc>
        <w:tc>
          <w:tcPr>
            <w:tcW w:w="1097"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加强社会心理服务体系建设</w:t>
            </w:r>
          </w:p>
        </w:tc>
        <w:tc>
          <w:tcPr>
            <w:tcW w:w="2909"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rPr>
                <w:rFonts w:eastAsia="宋体"/>
                <w:color w:val="000000"/>
                <w:kern w:val="0"/>
                <w:sz w:val="18"/>
                <w:szCs w:val="18"/>
              </w:rPr>
            </w:pPr>
            <w:r>
              <w:rPr>
                <w:rFonts w:eastAsia="宋体"/>
                <w:color w:val="000000"/>
                <w:kern w:val="0"/>
                <w:sz w:val="18"/>
                <w:szCs w:val="18"/>
              </w:rPr>
              <w:t>在街道（乡镇）建设社会心理服务中心（站）100个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78"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000000"/>
                <w:kern w:val="0"/>
                <w:sz w:val="18"/>
                <w:szCs w:val="18"/>
              </w:rPr>
            </w:pPr>
            <w:r>
              <w:rPr>
                <w:rFonts w:eastAsia="宋体"/>
                <w:color w:val="000000"/>
                <w:kern w:val="0"/>
                <w:sz w:val="18"/>
                <w:szCs w:val="18"/>
              </w:rPr>
              <w:t>5</w:t>
            </w:r>
          </w:p>
        </w:tc>
        <w:tc>
          <w:tcPr>
            <w:tcW w:w="3293"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r>
              <w:rPr>
                <w:rFonts w:eastAsia="宋体"/>
                <w:color w:val="333333"/>
                <w:kern w:val="0"/>
                <w:sz w:val="18"/>
                <w:szCs w:val="18"/>
              </w:rPr>
              <w:t>协调指导本市社会工作人才队伍建设工作，拟订社会工作人才队伍建设的规划和政策措施并组织实施，建立健全以培养、评价、使用、激励为主要内容的制度和机制。</w:t>
            </w:r>
          </w:p>
        </w:tc>
        <w:tc>
          <w:tcPr>
            <w:tcW w:w="1097" w:type="dxa"/>
            <w:vMerge w:val="continue"/>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p>
        </w:tc>
        <w:tc>
          <w:tcPr>
            <w:tcW w:w="1097" w:type="dxa"/>
            <w:vMerge w:val="continue"/>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p>
        </w:tc>
        <w:tc>
          <w:tcPr>
            <w:tcW w:w="2909"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rPr>
                <w:rFonts w:eastAsia="宋体"/>
                <w:color w:val="333333"/>
                <w:kern w:val="0"/>
                <w:sz w:val="18"/>
                <w:szCs w:val="18"/>
              </w:rPr>
            </w:pPr>
            <w:r>
              <w:rPr>
                <w:rFonts w:eastAsia="宋体"/>
                <w:color w:val="333333"/>
                <w:kern w:val="0"/>
                <w:sz w:val="18"/>
                <w:szCs w:val="18"/>
              </w:rPr>
              <w:t>培育社会心理专业人才达到4000名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78"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6</w:t>
            </w:r>
          </w:p>
        </w:tc>
        <w:tc>
          <w:tcPr>
            <w:tcW w:w="3293"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r>
              <w:rPr>
                <w:rFonts w:eastAsia="宋体"/>
                <w:color w:val="333333"/>
                <w:kern w:val="0"/>
                <w:sz w:val="18"/>
                <w:szCs w:val="18"/>
              </w:rPr>
              <w:t>统筹推进本市城乡社区建设，拟订城乡社区建设的规划和政策措施并组织实施。拟订本市城乡基层群众自治建设具体办法并组织实施。</w:t>
            </w:r>
          </w:p>
        </w:tc>
        <w:tc>
          <w:tcPr>
            <w:tcW w:w="1097" w:type="dxa"/>
            <w:vMerge w:val="restart"/>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加强基层社会治理</w:t>
            </w:r>
          </w:p>
        </w:tc>
        <w:tc>
          <w:tcPr>
            <w:tcW w:w="1097"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提升社区服务能力</w:t>
            </w:r>
          </w:p>
        </w:tc>
        <w:tc>
          <w:tcPr>
            <w:tcW w:w="2909"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rPr>
                <w:rFonts w:eastAsia="宋体"/>
                <w:color w:val="000000"/>
                <w:kern w:val="0"/>
                <w:sz w:val="18"/>
                <w:szCs w:val="18"/>
              </w:rPr>
            </w:pPr>
            <w:r>
              <w:rPr>
                <w:rFonts w:eastAsia="宋体"/>
                <w:color w:val="000000"/>
                <w:kern w:val="0"/>
                <w:sz w:val="18"/>
                <w:szCs w:val="18"/>
              </w:rPr>
              <w:t>创建社区服务空间开放式建设示范点100个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778"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000000"/>
                <w:kern w:val="0"/>
                <w:sz w:val="18"/>
                <w:szCs w:val="18"/>
              </w:rPr>
            </w:pPr>
            <w:r>
              <w:rPr>
                <w:rFonts w:eastAsia="宋体"/>
                <w:color w:val="000000"/>
                <w:kern w:val="0"/>
                <w:sz w:val="18"/>
                <w:szCs w:val="18"/>
              </w:rPr>
              <w:t>7</w:t>
            </w:r>
          </w:p>
        </w:tc>
        <w:tc>
          <w:tcPr>
            <w:tcW w:w="3293"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r>
              <w:rPr>
                <w:rFonts w:eastAsia="宋体"/>
                <w:color w:val="333333"/>
                <w:kern w:val="0"/>
                <w:sz w:val="18"/>
                <w:szCs w:val="18"/>
              </w:rPr>
              <w:t>提出加强和改进城乡基层政权建设的建议。联系街道办事处工作，推动基层民主政治建设。</w:t>
            </w:r>
          </w:p>
        </w:tc>
        <w:tc>
          <w:tcPr>
            <w:tcW w:w="1097" w:type="dxa"/>
            <w:vMerge w:val="continue"/>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left"/>
              <w:rPr>
                <w:rFonts w:eastAsia="宋体"/>
                <w:color w:val="333333"/>
                <w:kern w:val="0"/>
                <w:sz w:val="18"/>
                <w:szCs w:val="18"/>
              </w:rPr>
            </w:pPr>
          </w:p>
        </w:tc>
        <w:tc>
          <w:tcPr>
            <w:tcW w:w="1097"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jc w:val="center"/>
              <w:rPr>
                <w:rFonts w:eastAsia="宋体"/>
                <w:color w:val="333333"/>
                <w:kern w:val="0"/>
                <w:sz w:val="18"/>
                <w:szCs w:val="18"/>
              </w:rPr>
            </w:pPr>
            <w:r>
              <w:rPr>
                <w:rFonts w:eastAsia="宋体"/>
                <w:color w:val="333333"/>
                <w:kern w:val="0"/>
                <w:sz w:val="18"/>
                <w:szCs w:val="18"/>
              </w:rPr>
              <w:t>加强和创新基层社会治理</w:t>
            </w:r>
          </w:p>
        </w:tc>
        <w:tc>
          <w:tcPr>
            <w:tcW w:w="2909" w:type="dxa"/>
            <w:tcBorders>
              <w:top w:val="single" w:color="000000" w:sz="4" w:space="0"/>
              <w:left w:val="single" w:color="000000" w:sz="4" w:space="0"/>
              <w:bottom w:val="single" w:color="000000" w:sz="4" w:space="0"/>
              <w:right w:val="single" w:color="000000" w:sz="4" w:space="0"/>
            </w:tcBorders>
            <w:vAlign w:val="center"/>
          </w:tcPr>
          <w:p>
            <w:pPr>
              <w:widowControl/>
              <w:shd w:val="clear" w:color="010000" w:fill="auto"/>
              <w:spacing w:line="240" w:lineRule="auto"/>
              <w:ind w:firstLine="0" w:firstLineChars="0"/>
              <w:rPr>
                <w:rFonts w:eastAsia="宋体"/>
                <w:color w:val="333333"/>
                <w:kern w:val="0"/>
                <w:sz w:val="18"/>
                <w:szCs w:val="18"/>
              </w:rPr>
            </w:pPr>
            <w:r>
              <w:rPr>
                <w:rFonts w:eastAsia="宋体"/>
                <w:color w:val="333333"/>
                <w:kern w:val="0"/>
                <w:sz w:val="18"/>
                <w:szCs w:val="18"/>
              </w:rPr>
              <w:t>新建楼门院治理示范点300个；新建社区协商议事厅示范点100个</w:t>
            </w:r>
          </w:p>
        </w:tc>
      </w:tr>
    </w:tbl>
    <w:p>
      <w:pPr>
        <w:pStyle w:val="4"/>
        <w:shd w:val="clear" w:color="010000" w:fill="auto"/>
        <w:spacing w:before="229" w:beforeLines="50"/>
        <w:ind w:firstLine="640"/>
        <w:rPr>
          <w:rFonts w:ascii="仿宋_GB2312" w:hAnsi="仿宋_GB2312" w:cs="仿宋_GB2312"/>
        </w:rPr>
      </w:pPr>
      <w:r>
        <w:rPr>
          <w:rFonts w:hint="eastAsia" w:ascii="仿宋_GB2312" w:hAnsi="仿宋_GB2312" w:cs="仿宋_GB2312"/>
        </w:rPr>
        <w:t>2.绩效目标合理性</w:t>
      </w:r>
    </w:p>
    <w:p>
      <w:pPr>
        <w:shd w:val="clear" w:color="000000" w:fill="auto"/>
        <w:ind w:firstLine="640"/>
        <w:rPr>
          <w:rFonts w:ascii="仿宋_GB2312" w:hAnsi="仿宋_GB2312" w:cs="仿宋_GB2312"/>
        </w:rPr>
      </w:pPr>
      <w:r>
        <w:rPr>
          <w:rFonts w:hint="eastAsia" w:ascii="仿宋_GB2312" w:hAnsi="仿宋_GB2312" w:cs="仿宋_GB2312"/>
        </w:rPr>
        <w:t>2021年度市委社会工委市民政局设置的部门整体绩效目标与部门职能及年度工作任务基本匹配，能够有效覆盖重点领域重点工作，并设置相对量化的绩效指标。但是，评价发现部门尚未构建形成分行业、分领域的绩效指标体系，一定程度上影响了绩效目标指标设置的科学性与丰富性。</w:t>
      </w:r>
    </w:p>
    <w:p>
      <w:pPr>
        <w:pStyle w:val="2"/>
        <w:shd w:val="clear" w:color="010000" w:fill="auto"/>
        <w:ind w:firstLine="640"/>
      </w:pPr>
      <w:r>
        <w:t>二、当年预算执行情况</w:t>
      </w:r>
    </w:p>
    <w:p>
      <w:pPr>
        <w:shd w:val="clear" w:color="000000" w:fill="auto"/>
        <w:ind w:firstLine="640"/>
        <w:rPr>
          <w:rFonts w:ascii="仿宋_GB2312" w:hAnsi="仿宋_GB2312" w:cs="仿宋_GB2312"/>
          <w:color w:val="000000"/>
          <w:szCs w:val="32"/>
        </w:rPr>
      </w:pPr>
      <w:r>
        <w:rPr>
          <w:rFonts w:hint="eastAsia" w:ascii="仿宋_GB2312" w:hAnsi="仿宋_GB2312" w:cs="仿宋_GB2312"/>
        </w:rPr>
        <w:t>市委社会工委市民政局2021</w:t>
      </w:r>
      <w:r>
        <w:rPr>
          <w:rFonts w:hint="eastAsia" w:ascii="仿宋_GB2312" w:hAnsi="仿宋_GB2312" w:cs="仿宋_GB2312"/>
          <w:color w:val="000000"/>
          <w:szCs w:val="32"/>
        </w:rPr>
        <w:t>年全年预算数</w:t>
      </w:r>
      <w:r>
        <w:rPr>
          <w:rFonts w:hint="eastAsia" w:ascii="仿宋_GB2312" w:hAnsi="仿宋_GB2312" w:cs="仿宋_GB2312"/>
        </w:rPr>
        <w:t>84,925.07万元，其中，基本支出预算数39,303.37万元，项目支出预算数45,604.69万元，其他支出预算数17.02万元</w:t>
      </w:r>
      <w:r>
        <w:rPr>
          <w:rFonts w:hint="eastAsia" w:ascii="仿宋_GB2312" w:hAnsi="仿宋_GB2312" w:cs="仿宋_GB2312"/>
          <w:color w:val="000000"/>
          <w:szCs w:val="32"/>
        </w:rPr>
        <w:t>。</w:t>
      </w:r>
    </w:p>
    <w:p>
      <w:pPr>
        <w:shd w:val="clear" w:color="000000" w:fill="auto"/>
        <w:ind w:firstLine="640"/>
        <w:rPr>
          <w:rFonts w:ascii="仿宋_GB2312" w:hAnsi="仿宋_GB2312" w:cs="仿宋_GB2312"/>
        </w:rPr>
      </w:pPr>
      <w:r>
        <w:rPr>
          <w:rFonts w:hint="eastAsia" w:ascii="仿宋_GB2312" w:hAnsi="仿宋_GB2312" w:cs="仿宋_GB2312"/>
        </w:rPr>
        <w:t>截至2021年12月31日，市委社会工委市民政局预算资金总体支出81,797.21万元，其中，基本支出38,256.06万元，项目支出43,524.14万元，其他支出17.02万元。预算执行率为96.32%。</w:t>
      </w:r>
    </w:p>
    <w:p>
      <w:pPr>
        <w:shd w:val="clear" w:color="000000" w:fill="auto"/>
        <w:adjustRightInd w:val="0"/>
        <w:snapToGrid w:val="0"/>
        <w:spacing w:before="229" w:beforeLines="50" w:line="240" w:lineRule="auto"/>
        <w:ind w:firstLine="0" w:firstLineChars="0"/>
        <w:jc w:val="center"/>
        <w:rPr>
          <w:rFonts w:eastAsia="黑体"/>
          <w:sz w:val="28"/>
          <w:szCs w:val="28"/>
        </w:rPr>
      </w:pPr>
      <w:r>
        <w:rPr>
          <w:rFonts w:eastAsia="黑体"/>
          <w:sz w:val="28"/>
          <w:szCs w:val="28"/>
        </w:rPr>
        <w:t>表5 市委社会工委市民政局2021年部门预算执行情况表</w:t>
      </w:r>
    </w:p>
    <w:p>
      <w:pPr>
        <w:shd w:val="clear" w:color="000000" w:fill="auto"/>
        <w:adjustRightInd w:val="0"/>
        <w:snapToGrid w:val="0"/>
        <w:spacing w:line="240" w:lineRule="auto"/>
        <w:ind w:firstLine="0" w:firstLineChars="0"/>
        <w:jc w:val="right"/>
        <w:rPr>
          <w:rFonts w:eastAsia="黑体"/>
          <w:sz w:val="28"/>
          <w:szCs w:val="28"/>
        </w:rPr>
      </w:pPr>
      <w:r>
        <w:rPr>
          <w:rFonts w:eastAsia="黑体"/>
          <w:sz w:val="28"/>
          <w:szCs w:val="28"/>
        </w:rPr>
        <w:t>单位：万元</w:t>
      </w:r>
    </w:p>
    <w:tbl>
      <w:tblPr>
        <w:tblStyle w:val="13"/>
        <w:tblW w:w="9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1870"/>
        <w:gridCol w:w="1854"/>
        <w:gridCol w:w="1740"/>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blHeader/>
        </w:trPr>
        <w:tc>
          <w:tcPr>
            <w:tcW w:w="2100" w:type="dxa"/>
            <w:shd w:val="clear" w:color="auto" w:fill="D0CECE"/>
            <w:vAlign w:val="center"/>
          </w:tcPr>
          <w:p>
            <w:pPr>
              <w:widowControl/>
              <w:spacing w:line="240" w:lineRule="auto"/>
              <w:ind w:firstLine="0" w:firstLineChars="0"/>
              <w:jc w:val="center"/>
              <w:textAlignment w:val="center"/>
              <w:rPr>
                <w:rFonts w:eastAsia="宋体"/>
                <w:b/>
                <w:bCs/>
                <w:kern w:val="0"/>
                <w:sz w:val="21"/>
                <w:szCs w:val="21"/>
              </w:rPr>
            </w:pPr>
            <w:r>
              <w:rPr>
                <w:rFonts w:eastAsia="宋体"/>
                <w:b/>
                <w:bCs/>
                <w:color w:val="000000"/>
                <w:kern w:val="0"/>
                <w:sz w:val="21"/>
                <w:szCs w:val="21"/>
              </w:rPr>
              <w:t>类别</w:t>
            </w:r>
          </w:p>
        </w:tc>
        <w:tc>
          <w:tcPr>
            <w:tcW w:w="1870" w:type="dxa"/>
            <w:shd w:val="clear" w:color="auto" w:fill="D0CECE"/>
            <w:vAlign w:val="center"/>
          </w:tcPr>
          <w:p>
            <w:pPr>
              <w:widowControl/>
              <w:spacing w:line="240" w:lineRule="auto"/>
              <w:ind w:firstLine="0" w:firstLineChars="0"/>
              <w:jc w:val="center"/>
              <w:textAlignment w:val="center"/>
              <w:rPr>
                <w:rFonts w:eastAsia="宋体"/>
                <w:b/>
                <w:bCs/>
                <w:kern w:val="0"/>
                <w:sz w:val="21"/>
                <w:szCs w:val="21"/>
              </w:rPr>
            </w:pPr>
            <w:r>
              <w:rPr>
                <w:rFonts w:eastAsia="宋体"/>
                <w:b/>
                <w:bCs/>
                <w:color w:val="000000"/>
                <w:kern w:val="0"/>
                <w:sz w:val="21"/>
                <w:szCs w:val="21"/>
              </w:rPr>
              <w:t>年初预算数</w:t>
            </w:r>
          </w:p>
        </w:tc>
        <w:tc>
          <w:tcPr>
            <w:tcW w:w="1854" w:type="dxa"/>
            <w:shd w:val="clear" w:color="auto" w:fill="D0CECE"/>
            <w:vAlign w:val="center"/>
          </w:tcPr>
          <w:p>
            <w:pPr>
              <w:widowControl/>
              <w:spacing w:line="240" w:lineRule="auto"/>
              <w:ind w:firstLine="0" w:firstLineChars="0"/>
              <w:jc w:val="center"/>
              <w:textAlignment w:val="center"/>
              <w:rPr>
                <w:rFonts w:eastAsia="宋体"/>
                <w:b/>
                <w:bCs/>
                <w:kern w:val="0"/>
                <w:sz w:val="21"/>
                <w:szCs w:val="21"/>
              </w:rPr>
            </w:pPr>
            <w:r>
              <w:rPr>
                <w:rFonts w:eastAsia="宋体"/>
                <w:b/>
                <w:bCs/>
                <w:color w:val="000000"/>
                <w:kern w:val="0"/>
                <w:sz w:val="21"/>
                <w:szCs w:val="21"/>
              </w:rPr>
              <w:t>调整预算数</w:t>
            </w:r>
          </w:p>
        </w:tc>
        <w:tc>
          <w:tcPr>
            <w:tcW w:w="1740" w:type="dxa"/>
            <w:shd w:val="clear" w:color="auto" w:fill="D0CECE"/>
            <w:vAlign w:val="center"/>
          </w:tcPr>
          <w:p>
            <w:pPr>
              <w:widowControl/>
              <w:spacing w:line="240" w:lineRule="auto"/>
              <w:ind w:firstLine="0" w:firstLineChars="0"/>
              <w:jc w:val="center"/>
              <w:textAlignment w:val="center"/>
              <w:rPr>
                <w:rFonts w:eastAsia="宋体"/>
                <w:b/>
                <w:bCs/>
                <w:kern w:val="0"/>
                <w:sz w:val="21"/>
                <w:szCs w:val="21"/>
              </w:rPr>
            </w:pPr>
            <w:r>
              <w:rPr>
                <w:rFonts w:eastAsia="宋体"/>
                <w:b/>
                <w:bCs/>
                <w:color w:val="000000"/>
                <w:kern w:val="0"/>
                <w:sz w:val="21"/>
                <w:szCs w:val="21"/>
              </w:rPr>
              <w:t>决算数</w:t>
            </w:r>
          </w:p>
        </w:tc>
        <w:tc>
          <w:tcPr>
            <w:tcW w:w="1610" w:type="dxa"/>
            <w:shd w:val="clear" w:color="auto" w:fill="D0CECE"/>
            <w:vAlign w:val="center"/>
          </w:tcPr>
          <w:p>
            <w:pPr>
              <w:widowControl/>
              <w:spacing w:line="240" w:lineRule="auto"/>
              <w:ind w:firstLine="0" w:firstLineChars="0"/>
              <w:jc w:val="center"/>
              <w:textAlignment w:val="center"/>
              <w:rPr>
                <w:rFonts w:eastAsia="宋体"/>
                <w:b/>
                <w:bCs/>
                <w:kern w:val="0"/>
                <w:sz w:val="21"/>
                <w:szCs w:val="21"/>
              </w:rPr>
            </w:pPr>
            <w:r>
              <w:rPr>
                <w:rFonts w:eastAsia="宋体"/>
                <w:b/>
                <w:bCs/>
                <w:color w:val="000000"/>
                <w:kern w:val="0"/>
                <w:sz w:val="21"/>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firstLine="0" w:firstLineChars="0"/>
              <w:textAlignment w:val="center"/>
              <w:rPr>
                <w:rFonts w:eastAsia="宋体"/>
                <w:kern w:val="0"/>
                <w:sz w:val="21"/>
                <w:szCs w:val="21"/>
              </w:rPr>
            </w:pPr>
            <w:r>
              <w:rPr>
                <w:rFonts w:eastAsia="宋体"/>
                <w:color w:val="000000"/>
                <w:kern w:val="0"/>
                <w:sz w:val="21"/>
                <w:szCs w:val="21"/>
              </w:rPr>
              <w:t>基本支出</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39365.15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39303.37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38256.06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97.34%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left="320" w:leftChars="100" w:firstLine="0" w:firstLineChars="0"/>
              <w:jc w:val="left"/>
              <w:textAlignment w:val="center"/>
              <w:rPr>
                <w:rFonts w:eastAsia="宋体"/>
                <w:kern w:val="0"/>
                <w:sz w:val="21"/>
                <w:szCs w:val="21"/>
              </w:rPr>
            </w:pPr>
            <w:r>
              <w:rPr>
                <w:rFonts w:eastAsia="宋体"/>
                <w:color w:val="000000"/>
                <w:kern w:val="0"/>
                <w:sz w:val="21"/>
                <w:szCs w:val="21"/>
              </w:rPr>
              <w:t>人员经费</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32480.81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32885.16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32565.92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99.03%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left="320" w:leftChars="100" w:firstLine="0" w:firstLineChars="0"/>
              <w:jc w:val="left"/>
              <w:textAlignment w:val="center"/>
              <w:rPr>
                <w:rFonts w:eastAsia="宋体"/>
                <w:kern w:val="0"/>
                <w:sz w:val="21"/>
                <w:szCs w:val="21"/>
              </w:rPr>
            </w:pPr>
            <w:r>
              <w:rPr>
                <w:rFonts w:eastAsia="宋体"/>
                <w:color w:val="000000"/>
                <w:kern w:val="0"/>
                <w:sz w:val="21"/>
                <w:szCs w:val="21"/>
              </w:rPr>
              <w:t>公用经费</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6884.34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6418.21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5690.13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88.66%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firstLine="0" w:firstLineChars="0"/>
              <w:textAlignment w:val="center"/>
              <w:rPr>
                <w:rFonts w:eastAsia="宋体"/>
                <w:kern w:val="0"/>
                <w:sz w:val="21"/>
                <w:szCs w:val="21"/>
              </w:rPr>
            </w:pPr>
            <w:r>
              <w:rPr>
                <w:rFonts w:eastAsia="宋体"/>
                <w:color w:val="000000"/>
                <w:kern w:val="0"/>
                <w:sz w:val="21"/>
                <w:szCs w:val="21"/>
              </w:rPr>
              <w:t>项目支出</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47678.29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45604.69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43524.14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95.44%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firstLine="0" w:firstLineChars="0"/>
              <w:textAlignment w:val="center"/>
              <w:rPr>
                <w:rFonts w:eastAsia="宋体"/>
                <w:kern w:val="0"/>
                <w:sz w:val="21"/>
                <w:szCs w:val="21"/>
              </w:rPr>
            </w:pPr>
            <w:r>
              <w:rPr>
                <w:rFonts w:eastAsia="宋体"/>
                <w:color w:val="000000"/>
                <w:kern w:val="0"/>
                <w:sz w:val="21"/>
                <w:szCs w:val="21"/>
              </w:rPr>
              <w:t>其他支出</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0.00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17.02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17.02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firstLine="0" w:firstLineChars="0"/>
              <w:jc w:val="center"/>
              <w:textAlignment w:val="center"/>
              <w:rPr>
                <w:rFonts w:eastAsia="宋体"/>
                <w:kern w:val="0"/>
                <w:sz w:val="21"/>
                <w:szCs w:val="21"/>
              </w:rPr>
            </w:pPr>
            <w:r>
              <w:rPr>
                <w:rFonts w:eastAsia="宋体"/>
                <w:color w:val="000000"/>
                <w:kern w:val="0"/>
                <w:sz w:val="21"/>
                <w:szCs w:val="21"/>
              </w:rPr>
              <w:t>本年支出合计</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87043.44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84925.07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81797.21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96.32%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firstLine="0" w:firstLineChars="0"/>
              <w:textAlignment w:val="center"/>
              <w:rPr>
                <w:rFonts w:eastAsia="宋体"/>
                <w:kern w:val="0"/>
                <w:sz w:val="21"/>
                <w:szCs w:val="21"/>
              </w:rPr>
            </w:pPr>
            <w:r>
              <w:rPr>
                <w:rFonts w:eastAsia="宋体"/>
                <w:color w:val="000000"/>
                <w:kern w:val="0"/>
                <w:sz w:val="21"/>
                <w:szCs w:val="21"/>
              </w:rPr>
              <w:t>结余分配</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0.00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0.00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147.90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firstLine="0" w:firstLineChars="0"/>
              <w:textAlignment w:val="center"/>
              <w:rPr>
                <w:rFonts w:eastAsia="宋体"/>
                <w:kern w:val="0"/>
                <w:sz w:val="21"/>
                <w:szCs w:val="21"/>
              </w:rPr>
            </w:pPr>
            <w:r>
              <w:rPr>
                <w:rFonts w:eastAsia="宋体"/>
                <w:color w:val="000000"/>
                <w:kern w:val="0"/>
                <w:sz w:val="21"/>
                <w:szCs w:val="21"/>
              </w:rPr>
              <w:t>年末结转和结余</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0.00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0.00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2408.41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100" w:type="dxa"/>
            <w:vAlign w:val="center"/>
          </w:tcPr>
          <w:p>
            <w:pPr>
              <w:widowControl/>
              <w:spacing w:line="240" w:lineRule="auto"/>
              <w:ind w:firstLine="0" w:firstLineChars="0"/>
              <w:jc w:val="center"/>
              <w:textAlignment w:val="center"/>
              <w:rPr>
                <w:rFonts w:eastAsia="宋体"/>
                <w:kern w:val="0"/>
                <w:sz w:val="21"/>
                <w:szCs w:val="21"/>
              </w:rPr>
            </w:pPr>
            <w:r>
              <w:rPr>
                <w:rFonts w:eastAsia="宋体"/>
                <w:color w:val="000000"/>
                <w:kern w:val="0"/>
                <w:sz w:val="21"/>
                <w:szCs w:val="21"/>
              </w:rPr>
              <w:t>总计</w:t>
            </w:r>
          </w:p>
        </w:tc>
        <w:tc>
          <w:tcPr>
            <w:tcW w:w="187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87043.44 </w:t>
            </w:r>
          </w:p>
        </w:tc>
        <w:tc>
          <w:tcPr>
            <w:tcW w:w="1854"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84925.07 </w:t>
            </w:r>
          </w:p>
        </w:tc>
        <w:tc>
          <w:tcPr>
            <w:tcW w:w="174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 xml:space="preserve">84353.52 </w:t>
            </w:r>
          </w:p>
        </w:tc>
        <w:tc>
          <w:tcPr>
            <w:tcW w:w="1610" w:type="dxa"/>
            <w:vAlign w:val="center"/>
          </w:tcPr>
          <w:p>
            <w:pPr>
              <w:widowControl/>
              <w:spacing w:line="240" w:lineRule="auto"/>
              <w:ind w:firstLine="420"/>
              <w:jc w:val="right"/>
              <w:textAlignment w:val="center"/>
              <w:rPr>
                <w:rFonts w:eastAsia="宋体"/>
                <w:kern w:val="0"/>
                <w:sz w:val="21"/>
                <w:szCs w:val="21"/>
              </w:rPr>
            </w:pPr>
            <w:r>
              <w:rPr>
                <w:rFonts w:eastAsia="宋体"/>
                <w:color w:val="000000"/>
                <w:kern w:val="0"/>
                <w:sz w:val="21"/>
                <w:szCs w:val="21"/>
              </w:rPr>
              <w:t>99.33%</w:t>
            </w:r>
          </w:p>
        </w:tc>
      </w:tr>
    </w:tbl>
    <w:p>
      <w:pPr>
        <w:pStyle w:val="2"/>
        <w:shd w:val="clear" w:color="010000" w:fill="auto"/>
        <w:ind w:firstLine="640"/>
      </w:pPr>
      <w:r>
        <w:t>三、整体绩效目标实现情况</w:t>
      </w:r>
    </w:p>
    <w:p>
      <w:pPr>
        <w:pStyle w:val="3"/>
        <w:shd w:val="clear" w:color="010000" w:fill="auto"/>
        <w:ind w:firstLine="640"/>
        <w:rPr>
          <w:rFonts w:ascii="楷体_GB2312" w:hAnsi="楷体_GB2312" w:eastAsia="楷体_GB2312" w:cs="楷体_GB2312"/>
        </w:rPr>
      </w:pPr>
      <w:r>
        <w:rPr>
          <w:rFonts w:hint="eastAsia" w:ascii="楷体_GB2312" w:hAnsi="楷体_GB2312" w:eastAsia="楷体_GB2312" w:cs="楷体_GB2312"/>
        </w:rPr>
        <w:t>（一）产出完成情况分析</w:t>
      </w:r>
    </w:p>
    <w:p>
      <w:pPr>
        <w:pStyle w:val="4"/>
        <w:shd w:val="clear" w:color="010000" w:fill="auto"/>
        <w:ind w:firstLine="640"/>
        <w:rPr>
          <w:rFonts w:ascii="仿宋_GB2312" w:hAnsi="仿宋_GB2312" w:cs="仿宋_GB2312"/>
        </w:rPr>
      </w:pPr>
      <w:r>
        <w:rPr>
          <w:rFonts w:hint="eastAsia" w:ascii="仿宋_GB2312" w:hAnsi="仿宋_GB2312" w:cs="仿宋_GB2312"/>
        </w:rPr>
        <w:t>1.产出数量</w:t>
      </w:r>
    </w:p>
    <w:p>
      <w:pPr>
        <w:shd w:val="clear" w:color="000000" w:fill="auto"/>
        <w:ind w:firstLine="640"/>
        <w:rPr>
          <w:rFonts w:ascii="仿宋_GB2312" w:hAnsi="仿宋_GB2312" w:cs="仿宋_GB2312"/>
        </w:rPr>
      </w:pPr>
      <w:r>
        <w:rPr>
          <w:rFonts w:hint="eastAsia" w:ascii="仿宋_GB2312" w:hAnsi="仿宋_GB2312" w:cs="仿宋_GB2312"/>
        </w:rPr>
        <w:t>2021年度市委社会工委市民政局积极落实市政府重点任务及部门年度重点工作，各项产出指标按计划完成，完成情况如下表所示：</w:t>
      </w:r>
    </w:p>
    <w:p>
      <w:pPr>
        <w:shd w:val="clear" w:color="000000" w:fill="auto"/>
        <w:adjustRightInd w:val="0"/>
        <w:snapToGrid w:val="0"/>
        <w:spacing w:before="229" w:beforeLines="50" w:line="240" w:lineRule="auto"/>
        <w:ind w:firstLine="0" w:firstLineChars="0"/>
        <w:jc w:val="center"/>
        <w:rPr>
          <w:rFonts w:eastAsia="黑体"/>
          <w:sz w:val="28"/>
          <w:szCs w:val="28"/>
        </w:rPr>
      </w:pPr>
      <w:r>
        <w:rPr>
          <w:rFonts w:eastAsia="黑体"/>
          <w:sz w:val="28"/>
          <w:szCs w:val="28"/>
        </w:rPr>
        <w:t>表6 2021年市委社会工委市民政局产出数量指标完成情况</w:t>
      </w:r>
    </w:p>
    <w:tbl>
      <w:tblPr>
        <w:tblStyle w:val="13"/>
        <w:tblW w:w="917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4"/>
        <w:gridCol w:w="4860"/>
        <w:gridCol w:w="1725"/>
        <w:gridCol w:w="16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tblHeader/>
        </w:trPr>
        <w:tc>
          <w:tcPr>
            <w:tcW w:w="934" w:type="dxa"/>
            <w:tcBorders>
              <w:top w:val="single" w:color="auto" w:sz="4" w:space="0"/>
              <w:left w:val="single" w:color="auto" w:sz="4" w:space="0"/>
              <w:bottom w:val="single" w:color="auto" w:sz="4" w:space="0"/>
              <w:right w:val="single" w:color="auto" w:sz="4" w:space="0"/>
            </w:tcBorders>
            <w:shd w:val="clear" w:color="auto" w:fill="CFCECE"/>
            <w:vAlign w:val="center"/>
          </w:tcPr>
          <w:p>
            <w:pPr>
              <w:widowControl/>
              <w:shd w:val="clear" w:color="010000" w:fill="auto"/>
              <w:spacing w:line="240" w:lineRule="auto"/>
              <w:ind w:firstLine="0" w:firstLineChars="0"/>
              <w:jc w:val="center"/>
              <w:rPr>
                <w:rFonts w:eastAsia="宋体"/>
                <w:b/>
                <w:bCs/>
                <w:color w:val="333333"/>
                <w:kern w:val="0"/>
                <w:sz w:val="21"/>
                <w:szCs w:val="21"/>
              </w:rPr>
            </w:pPr>
            <w:r>
              <w:rPr>
                <w:rFonts w:eastAsia="宋体"/>
                <w:b/>
                <w:bCs/>
                <w:color w:val="333333"/>
                <w:kern w:val="0"/>
                <w:sz w:val="21"/>
                <w:szCs w:val="21"/>
              </w:rPr>
              <w:t>序号</w:t>
            </w:r>
          </w:p>
        </w:tc>
        <w:tc>
          <w:tcPr>
            <w:tcW w:w="4860" w:type="dxa"/>
            <w:tcBorders>
              <w:top w:val="single" w:color="auto" w:sz="4" w:space="0"/>
              <w:left w:val="nil"/>
              <w:bottom w:val="single" w:color="auto" w:sz="4" w:space="0"/>
              <w:right w:val="single" w:color="auto" w:sz="4" w:space="0"/>
            </w:tcBorders>
            <w:shd w:val="clear" w:color="auto" w:fill="CFCECE"/>
            <w:vAlign w:val="center"/>
          </w:tcPr>
          <w:p>
            <w:pPr>
              <w:widowControl/>
              <w:shd w:val="clear" w:color="010000" w:fill="auto"/>
              <w:spacing w:line="240" w:lineRule="auto"/>
              <w:ind w:firstLine="0" w:firstLineChars="0"/>
              <w:jc w:val="center"/>
              <w:rPr>
                <w:rFonts w:eastAsia="宋体"/>
                <w:b/>
                <w:bCs/>
                <w:color w:val="333333"/>
                <w:kern w:val="0"/>
                <w:sz w:val="21"/>
                <w:szCs w:val="21"/>
              </w:rPr>
            </w:pPr>
            <w:r>
              <w:rPr>
                <w:rFonts w:eastAsia="宋体"/>
                <w:b/>
                <w:bCs/>
                <w:color w:val="333333"/>
                <w:kern w:val="0"/>
                <w:sz w:val="21"/>
                <w:szCs w:val="21"/>
              </w:rPr>
              <w:t>绩效指标</w:t>
            </w:r>
          </w:p>
        </w:tc>
        <w:tc>
          <w:tcPr>
            <w:tcW w:w="1725" w:type="dxa"/>
            <w:tcBorders>
              <w:top w:val="single" w:color="auto" w:sz="4" w:space="0"/>
              <w:left w:val="nil"/>
              <w:bottom w:val="single" w:color="auto" w:sz="4" w:space="0"/>
              <w:right w:val="single" w:color="auto" w:sz="4" w:space="0"/>
            </w:tcBorders>
            <w:shd w:val="clear" w:color="auto" w:fill="CFCECE"/>
            <w:vAlign w:val="center"/>
          </w:tcPr>
          <w:p>
            <w:pPr>
              <w:widowControl/>
              <w:shd w:val="clear" w:color="010000" w:fill="auto"/>
              <w:spacing w:line="240" w:lineRule="auto"/>
              <w:ind w:firstLine="0" w:firstLineChars="0"/>
              <w:jc w:val="center"/>
              <w:rPr>
                <w:rFonts w:eastAsia="宋体"/>
                <w:b/>
                <w:bCs/>
                <w:color w:val="333333"/>
                <w:kern w:val="0"/>
                <w:sz w:val="21"/>
                <w:szCs w:val="21"/>
              </w:rPr>
            </w:pPr>
            <w:r>
              <w:rPr>
                <w:rFonts w:eastAsia="宋体"/>
                <w:b/>
                <w:bCs/>
                <w:color w:val="333333"/>
                <w:kern w:val="0"/>
                <w:sz w:val="21"/>
                <w:szCs w:val="21"/>
              </w:rPr>
              <w:t>计划值</w:t>
            </w:r>
          </w:p>
        </w:tc>
        <w:tc>
          <w:tcPr>
            <w:tcW w:w="1655" w:type="dxa"/>
            <w:tcBorders>
              <w:top w:val="single" w:color="auto" w:sz="4" w:space="0"/>
              <w:left w:val="nil"/>
              <w:bottom w:val="single" w:color="auto" w:sz="4" w:space="0"/>
              <w:right w:val="single" w:color="auto" w:sz="4" w:space="0"/>
            </w:tcBorders>
            <w:shd w:val="clear" w:color="auto" w:fill="CFCECE"/>
            <w:vAlign w:val="center"/>
          </w:tcPr>
          <w:p>
            <w:pPr>
              <w:widowControl/>
              <w:shd w:val="clear" w:color="010000" w:fill="auto"/>
              <w:spacing w:line="240" w:lineRule="auto"/>
              <w:ind w:firstLine="0" w:firstLineChars="0"/>
              <w:jc w:val="center"/>
              <w:rPr>
                <w:rFonts w:eastAsia="宋体"/>
                <w:b/>
                <w:bCs/>
                <w:color w:val="333333"/>
                <w:kern w:val="0"/>
                <w:sz w:val="21"/>
                <w:szCs w:val="21"/>
              </w:rPr>
            </w:pPr>
            <w:r>
              <w:rPr>
                <w:rFonts w:eastAsia="宋体"/>
                <w:b/>
                <w:bCs/>
                <w:color w:val="333333"/>
                <w:kern w:val="0"/>
                <w:sz w:val="21"/>
                <w:szCs w:val="21"/>
              </w:rPr>
              <w:t>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934" w:type="dxa"/>
            <w:tcBorders>
              <w:top w:val="nil"/>
              <w:left w:val="single" w:color="auto" w:sz="4" w:space="0"/>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w:t>
            </w:r>
          </w:p>
        </w:tc>
        <w:tc>
          <w:tcPr>
            <w:tcW w:w="4860"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left"/>
              <w:rPr>
                <w:rFonts w:eastAsia="宋体"/>
                <w:color w:val="333333"/>
                <w:kern w:val="0"/>
                <w:sz w:val="21"/>
                <w:szCs w:val="21"/>
              </w:rPr>
            </w:pPr>
            <w:r>
              <w:rPr>
                <w:rFonts w:eastAsia="宋体"/>
                <w:color w:val="333333"/>
                <w:kern w:val="0"/>
                <w:sz w:val="21"/>
                <w:szCs w:val="21"/>
              </w:rPr>
              <w:t>在全市建设家庭照护床位</w:t>
            </w:r>
          </w:p>
        </w:tc>
        <w:tc>
          <w:tcPr>
            <w:tcW w:w="172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2000张</w:t>
            </w:r>
          </w:p>
        </w:tc>
        <w:tc>
          <w:tcPr>
            <w:tcW w:w="165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3500张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934" w:type="dxa"/>
            <w:tcBorders>
              <w:top w:val="nil"/>
              <w:left w:val="single" w:color="auto" w:sz="4" w:space="0"/>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2</w:t>
            </w:r>
          </w:p>
        </w:tc>
        <w:tc>
          <w:tcPr>
            <w:tcW w:w="4860"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left"/>
              <w:rPr>
                <w:rFonts w:eastAsia="宋体"/>
                <w:color w:val="333333"/>
                <w:kern w:val="0"/>
                <w:sz w:val="21"/>
                <w:szCs w:val="21"/>
              </w:rPr>
            </w:pPr>
            <w:r>
              <w:rPr>
                <w:rFonts w:eastAsia="宋体"/>
                <w:color w:val="333333"/>
                <w:kern w:val="0"/>
                <w:sz w:val="21"/>
                <w:szCs w:val="21"/>
              </w:rPr>
              <w:t>新建农村邻里互助养老服务点</w:t>
            </w:r>
          </w:p>
        </w:tc>
        <w:tc>
          <w:tcPr>
            <w:tcW w:w="172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200个</w:t>
            </w:r>
          </w:p>
        </w:tc>
        <w:tc>
          <w:tcPr>
            <w:tcW w:w="165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200个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934" w:type="dxa"/>
            <w:tcBorders>
              <w:top w:val="nil"/>
              <w:left w:val="single" w:color="auto" w:sz="4" w:space="0"/>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3</w:t>
            </w:r>
          </w:p>
        </w:tc>
        <w:tc>
          <w:tcPr>
            <w:tcW w:w="4860"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left"/>
              <w:rPr>
                <w:rFonts w:eastAsia="宋体"/>
                <w:color w:val="333333"/>
                <w:kern w:val="0"/>
                <w:sz w:val="21"/>
                <w:szCs w:val="21"/>
              </w:rPr>
            </w:pPr>
            <w:r>
              <w:rPr>
                <w:rFonts w:eastAsia="宋体"/>
                <w:color w:val="333333"/>
                <w:kern w:val="0"/>
                <w:sz w:val="21"/>
                <w:szCs w:val="21"/>
              </w:rPr>
              <w:t>建设社区书记工作室示范点</w:t>
            </w:r>
          </w:p>
        </w:tc>
        <w:tc>
          <w:tcPr>
            <w:tcW w:w="172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50个</w:t>
            </w:r>
          </w:p>
        </w:tc>
        <w:tc>
          <w:tcPr>
            <w:tcW w:w="165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50个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934" w:type="dxa"/>
            <w:tcBorders>
              <w:top w:val="nil"/>
              <w:left w:val="single" w:color="auto" w:sz="4" w:space="0"/>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4</w:t>
            </w:r>
          </w:p>
        </w:tc>
        <w:tc>
          <w:tcPr>
            <w:tcW w:w="4860"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left"/>
              <w:rPr>
                <w:rFonts w:eastAsia="宋体"/>
                <w:color w:val="333333"/>
                <w:kern w:val="0"/>
                <w:sz w:val="21"/>
                <w:szCs w:val="21"/>
              </w:rPr>
            </w:pPr>
            <w:r>
              <w:rPr>
                <w:rFonts w:eastAsia="宋体"/>
                <w:color w:val="333333"/>
                <w:kern w:val="0"/>
                <w:sz w:val="21"/>
                <w:szCs w:val="21"/>
              </w:rPr>
              <w:t>在街道（乡镇）建设社会心理服务中心（站）</w:t>
            </w:r>
          </w:p>
        </w:tc>
        <w:tc>
          <w:tcPr>
            <w:tcW w:w="172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100个</w:t>
            </w:r>
          </w:p>
        </w:tc>
        <w:tc>
          <w:tcPr>
            <w:tcW w:w="165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934" w:type="dxa"/>
            <w:tcBorders>
              <w:top w:val="nil"/>
              <w:left w:val="single" w:color="auto" w:sz="4" w:space="0"/>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5</w:t>
            </w:r>
          </w:p>
        </w:tc>
        <w:tc>
          <w:tcPr>
            <w:tcW w:w="4860"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left"/>
              <w:rPr>
                <w:rFonts w:eastAsia="宋体"/>
                <w:color w:val="333333"/>
                <w:kern w:val="0"/>
                <w:sz w:val="21"/>
                <w:szCs w:val="21"/>
              </w:rPr>
            </w:pPr>
            <w:r>
              <w:rPr>
                <w:rFonts w:eastAsia="宋体"/>
                <w:color w:val="333333"/>
                <w:kern w:val="0"/>
                <w:sz w:val="21"/>
                <w:szCs w:val="21"/>
              </w:rPr>
              <w:t>培育社会心理专业人才</w:t>
            </w:r>
          </w:p>
        </w:tc>
        <w:tc>
          <w:tcPr>
            <w:tcW w:w="172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4000名</w:t>
            </w:r>
          </w:p>
        </w:tc>
        <w:tc>
          <w:tcPr>
            <w:tcW w:w="165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7000名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934" w:type="dxa"/>
            <w:tcBorders>
              <w:top w:val="nil"/>
              <w:left w:val="single" w:color="auto" w:sz="4" w:space="0"/>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6</w:t>
            </w:r>
          </w:p>
        </w:tc>
        <w:tc>
          <w:tcPr>
            <w:tcW w:w="4860"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left"/>
              <w:rPr>
                <w:rFonts w:eastAsia="宋体"/>
                <w:color w:val="333333"/>
                <w:kern w:val="0"/>
                <w:sz w:val="21"/>
                <w:szCs w:val="21"/>
              </w:rPr>
            </w:pPr>
            <w:r>
              <w:rPr>
                <w:rFonts w:eastAsia="宋体"/>
                <w:color w:val="333333"/>
                <w:kern w:val="0"/>
                <w:sz w:val="21"/>
                <w:szCs w:val="21"/>
              </w:rPr>
              <w:t>创建社区服务空间开放式建设示范点</w:t>
            </w:r>
          </w:p>
        </w:tc>
        <w:tc>
          <w:tcPr>
            <w:tcW w:w="172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100个</w:t>
            </w:r>
          </w:p>
        </w:tc>
        <w:tc>
          <w:tcPr>
            <w:tcW w:w="165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934" w:type="dxa"/>
            <w:tcBorders>
              <w:top w:val="nil"/>
              <w:left w:val="single" w:color="auto" w:sz="4" w:space="0"/>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7</w:t>
            </w:r>
          </w:p>
        </w:tc>
        <w:tc>
          <w:tcPr>
            <w:tcW w:w="4860"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left"/>
              <w:rPr>
                <w:rFonts w:eastAsia="宋体"/>
                <w:color w:val="333333"/>
                <w:kern w:val="0"/>
                <w:sz w:val="21"/>
                <w:szCs w:val="21"/>
              </w:rPr>
            </w:pPr>
            <w:r>
              <w:rPr>
                <w:rFonts w:eastAsia="宋体"/>
                <w:color w:val="333333"/>
                <w:kern w:val="0"/>
                <w:sz w:val="21"/>
                <w:szCs w:val="21"/>
              </w:rPr>
              <w:t>新建楼门院治理示范点</w:t>
            </w:r>
          </w:p>
        </w:tc>
        <w:tc>
          <w:tcPr>
            <w:tcW w:w="172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300个</w:t>
            </w:r>
          </w:p>
        </w:tc>
        <w:tc>
          <w:tcPr>
            <w:tcW w:w="165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330个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934" w:type="dxa"/>
            <w:tcBorders>
              <w:top w:val="nil"/>
              <w:left w:val="single" w:color="auto" w:sz="4" w:space="0"/>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8</w:t>
            </w:r>
          </w:p>
        </w:tc>
        <w:tc>
          <w:tcPr>
            <w:tcW w:w="4860"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left"/>
              <w:rPr>
                <w:rFonts w:eastAsia="宋体"/>
                <w:color w:val="333333"/>
                <w:kern w:val="0"/>
                <w:sz w:val="21"/>
                <w:szCs w:val="21"/>
              </w:rPr>
            </w:pPr>
            <w:r>
              <w:rPr>
                <w:rFonts w:eastAsia="宋体"/>
                <w:color w:val="333333"/>
                <w:kern w:val="0"/>
                <w:sz w:val="21"/>
                <w:szCs w:val="21"/>
              </w:rPr>
              <w:t>新建社区协商议事厅示范点</w:t>
            </w:r>
          </w:p>
        </w:tc>
        <w:tc>
          <w:tcPr>
            <w:tcW w:w="172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100个</w:t>
            </w:r>
          </w:p>
        </w:tc>
        <w:tc>
          <w:tcPr>
            <w:tcW w:w="1655" w:type="dxa"/>
            <w:tcBorders>
              <w:top w:val="nil"/>
              <w:left w:val="nil"/>
              <w:bottom w:val="single" w:color="auto" w:sz="4" w:space="0"/>
              <w:right w:val="single" w:color="auto" w:sz="4" w:space="0"/>
            </w:tcBorders>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115个</w:t>
            </w:r>
          </w:p>
        </w:tc>
      </w:tr>
    </w:tbl>
    <w:p>
      <w:pPr>
        <w:shd w:val="clear" w:color="000000" w:fill="auto"/>
        <w:ind w:firstLine="640"/>
        <w:rPr>
          <w:rFonts w:ascii="仿宋_GB2312" w:hAnsi="仿宋_GB2312" w:cs="仿宋_GB2312"/>
        </w:rPr>
      </w:pPr>
      <w:r>
        <w:rPr>
          <w:rFonts w:hint="eastAsia" w:ascii="仿宋_GB2312" w:hAnsi="仿宋_GB2312" w:cs="仿宋_GB2312"/>
        </w:rPr>
        <w:t>市委社会工委市民政局在构建大城市养老服务体系、健全困难群众精准帮扶体系、加强社会领域党的建设、改善基本社会服务供给、加强基层社会治理等重点业务领域方面均较好完成产出数量指标。</w:t>
      </w:r>
    </w:p>
    <w:p>
      <w:pPr>
        <w:pStyle w:val="4"/>
        <w:shd w:val="clear" w:color="010000" w:fill="auto"/>
        <w:ind w:firstLine="640"/>
        <w:rPr>
          <w:rFonts w:ascii="仿宋_GB2312" w:hAnsi="仿宋_GB2312" w:cs="仿宋_GB2312"/>
        </w:rPr>
      </w:pPr>
      <w:r>
        <w:rPr>
          <w:rFonts w:hint="eastAsia" w:ascii="仿宋_GB2312" w:hAnsi="仿宋_GB2312" w:cs="仿宋_GB2312"/>
        </w:rPr>
        <w:t>2.产出质量</w:t>
      </w:r>
    </w:p>
    <w:p>
      <w:pPr>
        <w:shd w:val="clear" w:color="000000" w:fill="auto"/>
        <w:ind w:firstLine="640"/>
        <w:rPr>
          <w:rFonts w:ascii="仿宋_GB2312" w:hAnsi="仿宋_GB2312" w:cs="仿宋_GB2312"/>
        </w:rPr>
      </w:pPr>
      <w:r>
        <w:rPr>
          <w:rFonts w:hint="eastAsia" w:ascii="仿宋_GB2312" w:hAnsi="仿宋_GB2312" w:cs="仿宋_GB2312"/>
        </w:rPr>
        <w:t>市委社会工委市民政局2021年度</w:t>
      </w:r>
      <w:r>
        <w:rPr>
          <w:rFonts w:hint="eastAsia" w:ascii="仿宋_GB2312" w:hAnsi="仿宋_GB2312" w:cs="仿宋_GB2312"/>
          <w:szCs w:val="32"/>
        </w:rPr>
        <w:t>按照《关于加快推进养老服务发展的实施方案》（京政办发〔2020〕17号）《关于加强农村养老服务的意见》《中共北京市委社会工作委员会北京市民政局社会心理服务体系建设三年行动计划（2020—2022）》《巩固社区疫情防控成果推进首都社区治理工作方案》等文件要求，</w:t>
      </w:r>
      <w:r>
        <w:rPr>
          <w:rFonts w:hint="eastAsia" w:ascii="仿宋_GB2312" w:hAnsi="仿宋_GB2312" w:cs="仿宋_GB2312"/>
        </w:rPr>
        <w:t>建设养老家庭照护床位、农村邻里互助养老服务点、</w:t>
      </w:r>
      <w:r>
        <w:rPr>
          <w:rFonts w:hint="eastAsia" w:ascii="仿宋_GB2312" w:hAnsi="仿宋_GB2312" w:cs="仿宋_GB2312"/>
          <w:szCs w:val="32"/>
        </w:rPr>
        <w:t>社会心理服务站点、社区协商议事厅和楼门院（村组）治理示范点、社区服务站“开放空间”示范点等，政府购买服务项目全部验收合格，项目产出质量良好。</w:t>
      </w:r>
    </w:p>
    <w:p>
      <w:pPr>
        <w:pStyle w:val="4"/>
        <w:shd w:val="clear" w:color="010000" w:fill="auto"/>
        <w:ind w:firstLine="640"/>
        <w:rPr>
          <w:rFonts w:ascii="仿宋_GB2312" w:hAnsi="仿宋_GB2312" w:cs="仿宋_GB2312"/>
        </w:rPr>
      </w:pPr>
      <w:r>
        <w:rPr>
          <w:rFonts w:hint="eastAsia" w:ascii="仿宋_GB2312" w:hAnsi="仿宋_GB2312" w:cs="仿宋_GB2312"/>
        </w:rPr>
        <w:t>3.产出进度</w:t>
      </w:r>
    </w:p>
    <w:p>
      <w:pPr>
        <w:shd w:val="clear" w:color="000000" w:fill="auto"/>
        <w:ind w:firstLine="640"/>
        <w:rPr>
          <w:rFonts w:ascii="仿宋_GB2312" w:hAnsi="仿宋_GB2312" w:cs="仿宋_GB2312"/>
        </w:rPr>
      </w:pPr>
      <w:r>
        <w:rPr>
          <w:rFonts w:hint="eastAsia" w:ascii="仿宋_GB2312" w:hAnsi="仿宋_GB2312" w:cs="仿宋_GB2312"/>
        </w:rPr>
        <w:t>根据部门整体产出目标完成情况分析，市委市政府重点工作及市委社会工委市民政局年度重点工作均按照计划要求完成。通过年度各项工作有序推进落实，有效保障了项目实施进度及产出时效性。</w:t>
      </w:r>
    </w:p>
    <w:p>
      <w:pPr>
        <w:pStyle w:val="4"/>
        <w:shd w:val="clear" w:color="010000" w:fill="auto"/>
        <w:ind w:firstLine="640"/>
        <w:rPr>
          <w:rFonts w:ascii="仿宋_GB2312" w:hAnsi="仿宋_GB2312" w:cs="仿宋_GB2312"/>
        </w:rPr>
      </w:pPr>
      <w:r>
        <w:rPr>
          <w:rFonts w:hint="eastAsia" w:ascii="仿宋_GB2312" w:hAnsi="仿宋_GB2312" w:cs="仿宋_GB2312"/>
        </w:rPr>
        <w:t>4.产出成本</w:t>
      </w:r>
    </w:p>
    <w:p>
      <w:pPr>
        <w:shd w:val="clear" w:color="000000" w:fill="auto"/>
        <w:ind w:firstLine="640"/>
        <w:rPr>
          <w:rFonts w:ascii="仿宋_GB2312" w:hAnsi="仿宋_GB2312" w:cs="仿宋_GB2312"/>
        </w:rPr>
      </w:pPr>
      <w:r>
        <w:rPr>
          <w:rFonts w:hint="eastAsia" w:ascii="仿宋_GB2312" w:hAnsi="仿宋_GB2312" w:cs="仿宋_GB2312"/>
        </w:rPr>
        <w:t>在委托业务方面，按照部门内部控制采购审批程序确定委托合同价格，合理控制部门经费支出成本；在部门预算执行过程中，通过“财务集成平台”有效履行预算资金审批使用相关规定，采取厉行节约措施，有效控制各项费用支出，委托业务经费支出严格按合同执行，经费支出符合部门履职范围，部门总体资金支出控制在预算范围内，未出现超支情况。此外，为加强项目成本控制，将“过紧日子”落到实处，实现降本增效，市委社会工委市民政局开展项目成本预算绩效分析工作，充分实现了项目成本的有效压减，部门整体成本控制情况较好。</w:t>
      </w:r>
    </w:p>
    <w:p>
      <w:pPr>
        <w:pStyle w:val="3"/>
        <w:shd w:val="clear" w:color="010000" w:fill="auto"/>
        <w:ind w:firstLine="640"/>
        <w:rPr>
          <w:rFonts w:ascii="楷体_GB2312" w:hAnsi="楷体_GB2312" w:eastAsia="楷体_GB2312" w:cs="楷体_GB2312"/>
        </w:rPr>
      </w:pPr>
      <w:r>
        <w:rPr>
          <w:rFonts w:hint="eastAsia" w:ascii="楷体_GB2312" w:hAnsi="楷体_GB2312" w:eastAsia="楷体_GB2312" w:cs="楷体_GB2312"/>
        </w:rPr>
        <w:t>（二）效果实现情况分析</w:t>
      </w:r>
    </w:p>
    <w:p>
      <w:pPr>
        <w:pStyle w:val="4"/>
        <w:shd w:val="clear" w:color="010000" w:fill="auto"/>
        <w:ind w:firstLine="640"/>
        <w:rPr>
          <w:rFonts w:ascii="仿宋_GB2312" w:hAnsi="仿宋_GB2312" w:cs="仿宋_GB2312"/>
        </w:rPr>
      </w:pPr>
      <w:r>
        <w:rPr>
          <w:rFonts w:hint="eastAsia" w:ascii="仿宋_GB2312" w:hAnsi="仿宋_GB2312" w:cs="仿宋_GB2312"/>
        </w:rPr>
        <w:t>1.社会效益</w:t>
      </w:r>
    </w:p>
    <w:p>
      <w:pPr>
        <w:shd w:val="clear" w:color="000000" w:fill="auto"/>
        <w:ind w:firstLine="640"/>
        <w:rPr>
          <w:rFonts w:ascii="仿宋_GB2312" w:hAnsi="仿宋_GB2312" w:cs="仿宋_GB2312"/>
        </w:rPr>
      </w:pPr>
      <w:r>
        <w:rPr>
          <w:rFonts w:hint="eastAsia" w:ascii="仿宋_GB2312" w:hAnsi="仿宋_GB2312" w:cs="仿宋_GB2312"/>
        </w:rPr>
        <w:t>2021年度市委社会工委市民政局通过加强社会领域党的建设、构建大城市养老服务体系、健全困难群众精准帮扶体系、改善基本社会服务供给、加强基层社会治理等工作的落实，进一步完善了养老服务体系，夯实了基层治理基础，有效提升了民生保障水平和基本社会服务能力。具体表现如下：</w:t>
      </w:r>
    </w:p>
    <w:p>
      <w:pPr>
        <w:shd w:val="clear" w:color="000000" w:fill="auto"/>
        <w:ind w:firstLine="643"/>
        <w:rPr>
          <w:rFonts w:ascii="仿宋_GB2312" w:hAnsi="仿宋_GB2312" w:cs="仿宋_GB2312"/>
          <w:b/>
          <w:bCs/>
        </w:rPr>
      </w:pPr>
      <w:r>
        <w:rPr>
          <w:rFonts w:hint="eastAsia" w:ascii="仿宋_GB2312" w:hAnsi="仿宋_GB2312" w:cs="仿宋_GB2312"/>
          <w:b/>
          <w:bCs/>
        </w:rPr>
        <w:t>（1）养老服务体系日益完善</w:t>
      </w:r>
    </w:p>
    <w:p>
      <w:pPr>
        <w:shd w:val="clear" w:color="000000" w:fill="auto"/>
        <w:ind w:firstLine="643"/>
        <w:rPr>
          <w:rFonts w:ascii="仿宋_GB2312" w:hAnsi="仿宋_GB2312" w:cs="仿宋_GB2312"/>
          <w:b/>
          <w:bCs/>
        </w:rPr>
      </w:pPr>
      <w:r>
        <w:rPr>
          <w:rFonts w:hint="eastAsia" w:ascii="仿宋_GB2312" w:hAnsi="仿宋_GB2312" w:cs="仿宋_GB2312"/>
          <w:b/>
          <w:bCs/>
        </w:rPr>
        <w:t>一是</w:t>
      </w:r>
      <w:r>
        <w:rPr>
          <w:rFonts w:hint="eastAsia" w:ascii="仿宋_GB2312" w:hAnsi="仿宋_GB2312" w:cs="仿宋_GB2312"/>
          <w:b/>
          <w:bCs/>
          <w:szCs w:val="32"/>
        </w:rPr>
        <w:t>加强了养老服务统筹力度。</w:t>
      </w:r>
      <w:r>
        <w:rPr>
          <w:rFonts w:hint="eastAsia" w:ascii="仿宋_GB2312" w:hAnsi="仿宋_GB2312" w:cs="仿宋_GB2312"/>
        </w:rPr>
        <w:t>市委社会工委市民政局编制出台《北京市养老服务专项规划（2021年—2035年）》，</w:t>
      </w:r>
      <w:r>
        <w:rPr>
          <w:rFonts w:hint="eastAsia" w:ascii="仿宋_GB2312" w:hAnsi="仿宋_GB2312" w:cs="仿宋_GB2312"/>
          <w:szCs w:val="32"/>
        </w:rPr>
        <w:t>优化养老服务设施布局，推进地区平衡和结构合理；组织召开全市养老服务部门联席会议第一次全体会议，建立健全议事决策、督查督办、述职评议等制度。</w:t>
      </w:r>
      <w:r>
        <w:rPr>
          <w:rFonts w:hint="eastAsia" w:ascii="仿宋_GB2312" w:hAnsi="仿宋_GB2312" w:cs="仿宋_GB2312"/>
          <w:b/>
          <w:bCs/>
          <w:szCs w:val="32"/>
        </w:rPr>
        <w:t>二是</w:t>
      </w:r>
      <w:r>
        <w:rPr>
          <w:rFonts w:hint="eastAsia" w:ascii="仿宋_GB2312" w:hAnsi="仿宋_GB2312" w:cs="仿宋_GB2312"/>
          <w:b/>
          <w:bCs/>
        </w:rPr>
        <w:t>完善了基本养老服务制度。</w:t>
      </w:r>
      <w:r>
        <w:rPr>
          <w:rFonts w:hint="eastAsia" w:ascii="仿宋_GB2312" w:hAnsi="仿宋_GB2312" w:cs="仿宋_GB2312"/>
          <w:szCs w:val="32"/>
        </w:rPr>
        <w:t>研究制定《北京市基本养老服务清单》，明确了养老服务保障内容、保障标准等；完善老年福利政策，将城乡特困老年人和重度残疾人纳入困境家庭服务对象入住养老机构补助范围</w:t>
      </w:r>
      <w:r>
        <w:rPr>
          <w:rFonts w:hint="eastAsia" w:ascii="仿宋_GB2312" w:hAnsi="仿宋_GB2312" w:cs="仿宋_GB2312"/>
        </w:rPr>
        <w:t>。</w:t>
      </w:r>
      <w:r>
        <w:rPr>
          <w:rFonts w:hint="eastAsia" w:ascii="仿宋_GB2312" w:hAnsi="仿宋_GB2312" w:cs="仿宋_GB2312"/>
          <w:b/>
          <w:bCs/>
        </w:rPr>
        <w:t>三是提升了养老服务供给能力。</w:t>
      </w:r>
      <w:r>
        <w:rPr>
          <w:rFonts w:hint="eastAsia" w:ascii="仿宋_GB2312" w:hAnsi="仿宋_GB2312" w:cs="仿宋_GB2312"/>
        </w:rPr>
        <w:t>在持续加密养老服务基础设施的同时，制定《关于提升北京市养老助餐服务管理水平的实施意见》，建成养老助餐点1007个；加强养老服务人才队伍建设，培训养老护理员6400名。</w:t>
      </w:r>
      <w:r>
        <w:rPr>
          <w:rFonts w:hint="eastAsia" w:ascii="仿宋_GB2312" w:hAnsi="仿宋_GB2312" w:cs="仿宋_GB2312"/>
          <w:b/>
          <w:bCs/>
        </w:rPr>
        <w:t>四是进一步强化养老服务综合监管。</w:t>
      </w:r>
      <w:r>
        <w:rPr>
          <w:rFonts w:hint="eastAsia" w:ascii="仿宋_GB2312" w:hAnsi="仿宋_GB2312" w:cs="仿宋_GB2312"/>
        </w:rPr>
        <w:t>研究制定了《北京市养老机构综合监管办法》；</w:t>
      </w:r>
      <w:r>
        <w:rPr>
          <w:rFonts w:hint="eastAsia" w:ascii="仿宋_GB2312" w:hAnsi="仿宋_GB2312" w:cs="仿宋_GB2312"/>
          <w:szCs w:val="32"/>
        </w:rPr>
        <w:t>实施社区养老服务驿站管理办法，建立驿站主体清单、责任清单和服务清单，全面实行驿站准入、退出机制和管理负面清单制度；持续开展</w:t>
      </w:r>
      <w:r>
        <w:rPr>
          <w:rFonts w:hint="eastAsia" w:ascii="仿宋_GB2312" w:hAnsi="仿宋_GB2312" w:cs="仿宋_GB2312"/>
        </w:rPr>
        <w:t>养老服务机构星级评定，2021年新增三星级驿站5</w:t>
      </w:r>
      <w:r>
        <w:rPr>
          <w:rFonts w:hint="eastAsia" w:ascii="仿宋_GB2312" w:hAnsi="仿宋_GB2312" w:cs="仿宋_GB2312"/>
          <w:szCs w:val="32"/>
        </w:rPr>
        <w:t>家、二星级驿站154家。通过以上工作的有效落实，基本实现保基本、优体系、通堵点、强管理的效益目标。</w:t>
      </w:r>
    </w:p>
    <w:p>
      <w:pPr>
        <w:shd w:val="clear" w:color="000000" w:fill="auto"/>
        <w:ind w:firstLine="643"/>
        <w:rPr>
          <w:rFonts w:ascii="仿宋_GB2312" w:hAnsi="仿宋_GB2312" w:cs="仿宋_GB2312"/>
          <w:b/>
          <w:bCs/>
          <w:szCs w:val="32"/>
        </w:rPr>
      </w:pPr>
      <w:r>
        <w:rPr>
          <w:rFonts w:hint="eastAsia" w:ascii="仿宋_GB2312" w:hAnsi="仿宋_GB2312" w:cs="仿宋_GB2312"/>
          <w:b/>
          <w:bCs/>
          <w:szCs w:val="32"/>
        </w:rPr>
        <w:t>（2）民生保障水平持续提升</w:t>
      </w:r>
    </w:p>
    <w:p>
      <w:pPr>
        <w:shd w:val="clear" w:color="000000" w:fill="auto"/>
        <w:ind w:firstLine="643"/>
        <w:rPr>
          <w:rFonts w:ascii="仿宋_GB2312" w:hAnsi="仿宋_GB2312" w:cs="仿宋_GB2312"/>
          <w:sz w:val="21"/>
        </w:rPr>
      </w:pPr>
      <w:r>
        <w:rPr>
          <w:rFonts w:hint="eastAsia" w:ascii="仿宋_GB2312" w:hAnsi="仿宋_GB2312" w:cs="仿宋_GB2312"/>
          <w:b/>
          <w:bCs/>
          <w:szCs w:val="32"/>
        </w:rPr>
        <w:t>一是完善了社会救助制度。</w:t>
      </w:r>
      <w:r>
        <w:rPr>
          <w:rFonts w:hint="eastAsia" w:ascii="仿宋_GB2312" w:hAnsi="仿宋_GB2312" w:cs="仿宋_GB2312"/>
          <w:szCs w:val="32"/>
        </w:rPr>
        <w:t>市委社会工委市民政局制定了《北京市社会救助管理办法》，并开展了《北京市社会救助条例》立项调研，调整了相关救助标准，有效提升社会救助水平。</w:t>
      </w:r>
      <w:r>
        <w:rPr>
          <w:rFonts w:hint="eastAsia" w:ascii="仿宋_GB2312" w:hAnsi="仿宋_GB2312" w:cs="仿宋_GB2312"/>
          <w:b/>
          <w:bCs/>
        </w:rPr>
        <w:t>二是加强孤困儿童关爱服务。</w:t>
      </w:r>
      <w:r>
        <w:rPr>
          <w:rFonts w:hint="eastAsia" w:ascii="仿宋_GB2312" w:hAnsi="仿宋_GB2312" w:cs="仿宋_GB2312"/>
        </w:rPr>
        <w:t>开展《北京市未成年人保护条例》修订立项论证；开通全市统一的12345未成年人保护热线；深入实施困境儿童分类保障制度，调整了孤儿弃婴、事实无人抚养儿童等困境儿童救助标准；实施事实无人抚养儿童助学工程，为事实无人抚养儿童发放助学金。</w:t>
      </w:r>
      <w:r>
        <w:rPr>
          <w:rFonts w:hint="eastAsia" w:ascii="仿宋_GB2312" w:hAnsi="仿宋_GB2312" w:cs="仿宋_GB2312"/>
          <w:b/>
          <w:bCs/>
        </w:rPr>
        <w:t>三是加强残疾人福利保障。</w:t>
      </w:r>
      <w:r>
        <w:rPr>
          <w:rFonts w:hint="eastAsia" w:ascii="仿宋_GB2312" w:hAnsi="仿宋_GB2312" w:cs="仿宋_GB2312"/>
        </w:rPr>
        <w:t>持续推进残疾人“两项补贴”政策落细落实，在全国率先实现“两项补贴”资格认定跨省通办。积极推进康复辅助器具产业健康发展，指导石景山区成功申报国家第二批康复辅助器具产业综合创新试点，督导完成康复辅助器具社区租赁服务试点。积极开展市属民生领域无障碍建设工作，完成4147户困难老年人家庭适老化改造工作。</w:t>
      </w:r>
      <w:r>
        <w:rPr>
          <w:rFonts w:hint="eastAsia" w:ascii="仿宋_GB2312" w:hAnsi="仿宋_GB2312" w:cs="仿宋_GB2312"/>
          <w:b/>
          <w:bCs/>
        </w:rPr>
        <w:t>四是提升流浪乞讨人员救助水平。</w:t>
      </w:r>
      <w:r>
        <w:rPr>
          <w:rFonts w:hint="eastAsia" w:ascii="仿宋_GB2312" w:hAnsi="仿宋_GB2312" w:cs="仿宋_GB2312"/>
        </w:rPr>
        <w:t>完善救助管理机制，</w:t>
      </w:r>
      <w:r>
        <w:rPr>
          <w:rFonts w:hint="eastAsia" w:ascii="仿宋_GB2312" w:hAnsi="仿宋_GB2312" w:cs="仿宋_GB2312"/>
          <w:szCs w:val="32"/>
        </w:rPr>
        <w:t>深入推进流浪乞讨精神病人救助管理事权下沉；</w:t>
      </w:r>
      <w:r>
        <w:rPr>
          <w:rFonts w:hint="eastAsia" w:ascii="仿宋_GB2312" w:hAnsi="仿宋_GB2312" w:cs="仿宋_GB2312"/>
        </w:rPr>
        <w:t>积极创新、持续推进长期滞留受助人员寻亲工作，年内帮助46名长期滞留人员成功返乡。</w:t>
      </w:r>
      <w:r>
        <w:rPr>
          <w:rFonts w:hint="eastAsia" w:ascii="仿宋_GB2312" w:hAnsi="仿宋_GB2312" w:cs="仿宋_GB2312"/>
          <w:b/>
          <w:bCs/>
        </w:rPr>
        <w:t>五是做好征地超转人员服务保障。</w:t>
      </w:r>
      <w:r>
        <w:rPr>
          <w:rFonts w:hint="eastAsia" w:ascii="仿宋_GB2312" w:hAnsi="仿宋_GB2312" w:cs="仿宋_GB2312"/>
        </w:rPr>
        <w:t>及时足额发放征地超转人员生活补助，并积极保障征地超转人员就医需求，</w:t>
      </w:r>
      <w:r>
        <w:rPr>
          <w:rFonts w:hint="eastAsia" w:ascii="仿宋_GB2312" w:hAnsi="仿宋_GB2312" w:cs="仿宋_GB2312"/>
          <w:szCs w:val="32"/>
        </w:rPr>
        <w:t>确定本年度超转人员医疗费用接收标准；</w:t>
      </w:r>
      <w:r>
        <w:rPr>
          <w:rFonts w:hint="eastAsia" w:ascii="仿宋_GB2312" w:hAnsi="仿宋_GB2312" w:cs="仿宋_GB2312"/>
        </w:rPr>
        <w:t>改革超转人员“基层首诊制”，方便超转人员就医。</w:t>
      </w:r>
    </w:p>
    <w:p>
      <w:pPr>
        <w:shd w:val="clear" w:color="000000" w:fill="auto"/>
        <w:adjustRightInd w:val="0"/>
        <w:snapToGrid w:val="0"/>
        <w:ind w:firstLine="643"/>
        <w:rPr>
          <w:rFonts w:ascii="仿宋_GB2312" w:hAnsi="仿宋_GB2312" w:cs="仿宋_GB2312"/>
        </w:rPr>
      </w:pPr>
      <w:r>
        <w:rPr>
          <w:rFonts w:hint="eastAsia" w:ascii="仿宋_GB2312" w:hAnsi="仿宋_GB2312" w:cs="仿宋_GB2312"/>
          <w:b/>
          <w:bCs/>
        </w:rPr>
        <w:t>（3）基层治理基础不断夯实</w:t>
      </w:r>
    </w:p>
    <w:p>
      <w:pPr>
        <w:shd w:val="clear" w:color="000000" w:fill="auto"/>
        <w:adjustRightInd w:val="0"/>
        <w:snapToGrid w:val="0"/>
        <w:ind w:firstLine="643"/>
        <w:rPr>
          <w:rFonts w:ascii="仿宋_GB2312" w:hAnsi="仿宋_GB2312" w:cs="仿宋_GB2312"/>
          <w:szCs w:val="32"/>
        </w:rPr>
      </w:pPr>
      <w:r>
        <w:rPr>
          <w:rFonts w:hint="eastAsia" w:ascii="仿宋_GB2312" w:hAnsi="仿宋_GB2312" w:cs="仿宋_GB2312"/>
          <w:b/>
          <w:bCs/>
        </w:rPr>
        <w:t>一是持续深化街道社区改革。</w:t>
      </w:r>
      <w:r>
        <w:rPr>
          <w:rFonts w:hint="eastAsia" w:ascii="仿宋_GB2312" w:hAnsi="仿宋_GB2312" w:cs="仿宋_GB2312"/>
        </w:rPr>
        <w:t>推进“回天地区”基层社会治理及社区精细化治理，完成77个5000户以上超大社区拆分，54个3000户以上社区规模调整，101个村撤村建居；加强社区协商议事厅和楼门院（村组）治理建设；改善社区服务品质，在建设社区服务站“开放空间”改革试点的基础上，重点打造32个“社区之家”样板，完成20个国际化社区试点建设；同时加强社区人才保障，修订了《北京市社区工作者管理办法》等政策。</w:t>
      </w:r>
      <w:r>
        <w:rPr>
          <w:rFonts w:hint="eastAsia" w:ascii="仿宋_GB2312" w:hAnsi="仿宋_GB2312" w:cs="仿宋_GB2312"/>
          <w:b/>
          <w:bCs/>
        </w:rPr>
        <w:t>二是加强社会组织监督管理。</w:t>
      </w:r>
      <w:r>
        <w:rPr>
          <w:rFonts w:hint="eastAsia" w:ascii="仿宋_GB2312" w:hAnsi="仿宋_GB2312" w:cs="仿宋_GB2312"/>
        </w:rPr>
        <w:t>将678家社会组织列入活动异常名录、154家社会组织列入严重违法失信名单。开展社会组织专项整治行动，对全市1491家“僵尸型”社会组织进行清理整治，集中查处“中国国学院大学”“全国政府法律联盟”等一批非法社会组织。</w:t>
      </w:r>
      <w:r>
        <w:rPr>
          <w:rFonts w:hint="eastAsia" w:ascii="仿宋_GB2312" w:hAnsi="仿宋_GB2312" w:cs="仿宋_GB2312"/>
          <w:b/>
          <w:bCs/>
        </w:rPr>
        <w:t>三是加强社会工作平台队伍建设。</w:t>
      </w:r>
      <w:r>
        <w:rPr>
          <w:rFonts w:hint="eastAsia" w:ascii="仿宋_GB2312" w:hAnsi="仿宋_GB2312" w:cs="仿宋_GB2312"/>
          <w:szCs w:val="32"/>
        </w:rPr>
        <w:t>出台《北京市街道（乡镇）社会工作服务中心试点建设实施方案》，在全市选取32个街道（乡镇）进行试点建设，有效整合基层管理服务资源。实施第二批优秀社区社会工作专业人才“优才”计划和第一批高级社工师“陪伴”计划，共组织100余名高素质社会工作专业人才开展脱产培训和岗位锻炼。</w:t>
      </w:r>
      <w:r>
        <w:rPr>
          <w:rFonts w:hint="eastAsia" w:ascii="仿宋_GB2312" w:hAnsi="仿宋_GB2312" w:cs="仿宋_GB2312"/>
          <w:b/>
          <w:bCs/>
          <w:szCs w:val="32"/>
        </w:rPr>
        <w:t>四是规范志愿服务发展。</w:t>
      </w:r>
      <w:r>
        <w:rPr>
          <w:rFonts w:hint="eastAsia" w:ascii="仿宋_GB2312" w:hAnsi="仿宋_GB2312" w:cs="仿宋_GB2312"/>
          <w:szCs w:val="32"/>
        </w:rPr>
        <w:t>开展“银龄伙伴”为老志愿服务关爱行动，在9个区的12个社区（村）开展为老志愿服务体系建设试点。实施社会建设和民生保障领域志愿服务V创投计划，确定养老助残、社区治理、儿童关爱等方面50个优秀志愿服务项目。</w:t>
      </w:r>
      <w:r>
        <w:rPr>
          <w:rFonts w:hint="eastAsia" w:ascii="仿宋_GB2312" w:hAnsi="仿宋_GB2312" w:cs="仿宋_GB2312"/>
          <w:color w:val="000000"/>
          <w:szCs w:val="32"/>
        </w:rPr>
        <w:t>依托“志愿北京”平台开展全市志愿服务数据统计和情况监测，累计实名注册志愿者449.1万人，注册志愿服务团体8万个，发布志愿服务项目</w:t>
      </w:r>
      <w:r>
        <w:rPr>
          <w:rFonts w:hint="eastAsia" w:ascii="仿宋_GB2312" w:hAnsi="仿宋_GB2312" w:cs="仿宋_GB2312"/>
          <w:szCs w:val="32"/>
        </w:rPr>
        <w:t>50.5</w:t>
      </w:r>
      <w:r>
        <w:rPr>
          <w:rFonts w:hint="eastAsia" w:ascii="仿宋_GB2312" w:hAnsi="仿宋_GB2312" w:cs="仿宋_GB2312"/>
          <w:color w:val="000000"/>
          <w:szCs w:val="32"/>
        </w:rPr>
        <w:t>万个，记录志愿服务时间5.6亿小时。</w:t>
      </w:r>
      <w:r>
        <w:rPr>
          <w:rFonts w:hint="eastAsia" w:ascii="仿宋_GB2312" w:hAnsi="仿宋_GB2312" w:cs="仿宋_GB2312"/>
          <w:b/>
          <w:bCs/>
          <w:szCs w:val="32"/>
        </w:rPr>
        <w:t>五是推动社会企业发展。</w:t>
      </w:r>
      <w:r>
        <w:rPr>
          <w:rFonts w:hint="eastAsia" w:ascii="仿宋_GB2312" w:hAnsi="仿宋_GB2312" w:cs="仿宋_GB2312"/>
          <w:color w:val="000000"/>
          <w:szCs w:val="32"/>
        </w:rPr>
        <w:t>修订完善</w:t>
      </w:r>
      <w:r>
        <w:rPr>
          <w:rFonts w:hint="eastAsia" w:ascii="仿宋_GB2312" w:hAnsi="仿宋_GB2312" w:cs="仿宋_GB2312"/>
          <w:szCs w:val="32"/>
        </w:rPr>
        <w:t>《北京市社会企业服务管理办法（试行）》，组织召开社会企业发展论坛暨首届社会企业评优颁奖活动，加大社会企业培育扶持力度。组织召开社会企业认证工作动员会，指导开展第三批社会企业认证，目前共认证社会企业65家。</w:t>
      </w:r>
    </w:p>
    <w:p>
      <w:pPr>
        <w:shd w:val="clear" w:color="000000" w:fill="auto"/>
        <w:ind w:firstLine="643"/>
        <w:rPr>
          <w:rFonts w:ascii="仿宋_GB2312" w:hAnsi="仿宋_GB2312" w:cs="仿宋_GB2312"/>
          <w:b/>
          <w:bCs/>
          <w:szCs w:val="32"/>
        </w:rPr>
      </w:pPr>
      <w:r>
        <w:rPr>
          <w:rFonts w:hint="eastAsia" w:ascii="仿宋_GB2312" w:hAnsi="仿宋_GB2312" w:cs="仿宋_GB2312"/>
          <w:b/>
          <w:bCs/>
          <w:szCs w:val="32"/>
        </w:rPr>
        <w:t>（4）基本社会服务能力提升方面</w:t>
      </w:r>
    </w:p>
    <w:p>
      <w:pPr>
        <w:shd w:val="clear" w:color="000000" w:fill="auto"/>
        <w:ind w:firstLine="643"/>
        <w:rPr>
          <w:rFonts w:ascii="仿宋_GB2312" w:hAnsi="仿宋_GB2312" w:cs="仿宋_GB2312"/>
          <w:szCs w:val="32"/>
        </w:rPr>
      </w:pPr>
      <w:r>
        <w:rPr>
          <w:rFonts w:hint="eastAsia" w:ascii="仿宋_GB2312" w:hAnsi="仿宋_GB2312" w:cs="仿宋_GB2312"/>
          <w:b/>
          <w:bCs/>
          <w:szCs w:val="32"/>
        </w:rPr>
        <w:t>一是优化婚姻登记服务。</w:t>
      </w:r>
      <w:r>
        <w:rPr>
          <w:rFonts w:hint="eastAsia" w:ascii="仿宋_GB2312" w:hAnsi="仿宋_GB2312" w:cs="仿宋_GB2312"/>
          <w:szCs w:val="32"/>
        </w:rPr>
        <w:t>按照《民法典》新规定，重新修订结婚、离婚的条件和程序。窗口单位推出“午间不间断”“早晚弹性办”“周六不休息”等延时服务，最大限度方便群众办事。推进全市婚姻登记档案信息跨部门共享。</w:t>
      </w:r>
      <w:r>
        <w:rPr>
          <w:rFonts w:hint="eastAsia" w:ascii="仿宋_GB2312" w:hAnsi="仿宋_GB2312" w:cs="仿宋_GB2312"/>
          <w:b/>
          <w:bCs/>
          <w:szCs w:val="32"/>
        </w:rPr>
        <w:t>二是加强殡葬服务管理。</w:t>
      </w:r>
      <w:r>
        <w:rPr>
          <w:rFonts w:hint="eastAsia" w:ascii="仿宋_GB2312" w:hAnsi="仿宋_GB2312" w:cs="仿宋_GB2312"/>
          <w:szCs w:val="32"/>
        </w:rPr>
        <w:t>对照新版城市总规，编制出台《北京市殡葬设施专项规划》。深化市属殡葬服务单位改革，有序开展资产清查等转制准备工作。整治殡葬乱象，研究制定历史埋葬点改造提升和散坟治理三年行动计划。聚焦非法运尸车、殡仪服务不规范、太平间违规经营等突出问题，持续深入开展殡仪服务领域漠视群众利益专项整治。积极开展殡葬业价格秩序、公益性安葬设施建设经营专项整治，维护群众合法殡葬权益。</w:t>
      </w:r>
      <w:r>
        <w:rPr>
          <w:rFonts w:hint="eastAsia" w:ascii="仿宋_GB2312" w:hAnsi="仿宋_GB2312" w:cs="仿宋_GB2312"/>
          <w:b/>
          <w:bCs/>
          <w:szCs w:val="32"/>
        </w:rPr>
        <w:t>三是推进慈善事业发展。</w:t>
      </w:r>
      <w:r>
        <w:rPr>
          <w:rFonts w:hint="eastAsia" w:ascii="仿宋_GB2312" w:hAnsi="仿宋_GB2312" w:cs="仿宋_GB2312"/>
          <w:szCs w:val="32"/>
        </w:rPr>
        <w:t>组织开展首届北京市公益创投大赛、第八届慈善北京图片巡展、第三届“首都慈善奖”评选表彰等系列活动，大力弘扬慈善文化，营造浓厚的慈善氛围。规范慈善信托项目运作，累计备案慈善信托事项49个。整合基层慈善资源，建成基层慈善站点54家。积极发挥慈善救助功能，累计设立慈善专项基金269个。规范福利彩票管理销售。</w:t>
      </w:r>
      <w:r>
        <w:rPr>
          <w:rFonts w:hint="eastAsia" w:ascii="仿宋_GB2312" w:hAnsi="仿宋_GB2312" w:cs="仿宋_GB2312"/>
          <w:b/>
          <w:bCs/>
          <w:szCs w:val="32"/>
        </w:rPr>
        <w:t>四是加强社会心理服务。</w:t>
      </w:r>
      <w:r>
        <w:rPr>
          <w:rFonts w:hint="eastAsia" w:ascii="仿宋_GB2312" w:hAnsi="仿宋_GB2312" w:cs="仿宋_GB2312"/>
          <w:szCs w:val="32"/>
        </w:rPr>
        <w:t>制定全国第一个社会心理服务地方标准《社会心理服务站点建设规范》；新建100个基层社会心理服务站点，改善了基本服务供给；培训社会心理人才7000名，夯实了社会心理服务基层基础；加强社会心理知识普及，推进社会心理宣传走进回天社区和城市副中心。</w:t>
      </w:r>
      <w:r>
        <w:rPr>
          <w:rFonts w:hint="eastAsia" w:ascii="仿宋_GB2312" w:hAnsi="仿宋_GB2312" w:cs="仿宋_GB2312"/>
          <w:b/>
          <w:bCs/>
          <w:szCs w:val="32"/>
        </w:rPr>
        <w:t>五是健全见义勇为权益保护工作。</w:t>
      </w:r>
      <w:r>
        <w:rPr>
          <w:rFonts w:hint="eastAsia" w:ascii="仿宋_GB2312" w:hAnsi="仿宋_GB2312" w:cs="仿宋_GB2312"/>
          <w:szCs w:val="32"/>
        </w:rPr>
        <w:t>完善见义勇为部门协同联动机制，规范评审委员会制度，推行见义勇为行为确认、保护和帮扶等重大事项多部门决策机制。组织开展第三届见义勇为宣传月活动。</w:t>
      </w:r>
    </w:p>
    <w:p>
      <w:pPr>
        <w:pStyle w:val="4"/>
        <w:shd w:val="clear" w:color="010000" w:fill="auto"/>
        <w:ind w:firstLine="640"/>
        <w:rPr>
          <w:rFonts w:ascii="仿宋_GB2312" w:hAnsi="仿宋_GB2312" w:cs="仿宋_GB2312"/>
        </w:rPr>
      </w:pPr>
      <w:r>
        <w:rPr>
          <w:rFonts w:hint="eastAsia" w:ascii="仿宋_GB2312" w:hAnsi="仿宋_GB2312" w:cs="仿宋_GB2312"/>
        </w:rPr>
        <w:t>2.服务对象满意度</w:t>
      </w:r>
    </w:p>
    <w:p>
      <w:pPr>
        <w:shd w:val="clear" w:color="000000" w:fill="auto"/>
        <w:ind w:firstLine="640"/>
        <w:rPr>
          <w:rFonts w:ascii="仿宋_GB2312" w:hAnsi="仿宋_GB2312" w:cs="仿宋_GB2312"/>
        </w:rPr>
      </w:pPr>
      <w:r>
        <w:rPr>
          <w:rFonts w:hint="eastAsia" w:ascii="仿宋_GB2312" w:hAnsi="仿宋_GB2312" w:cs="仿宋_GB2312"/>
        </w:rPr>
        <w:t>为客观了解委局全面高效履职效果，准确掌握人民群众对北京市社会建设和民政工作的真实评价，挖掘公众实际需求，不断改进工作、提升服务，2021年市委社会工委市民政局继续在全市范围内开展社会建设和民政工作满意度调查工作，回收有效调查样本76,038份。满意度调查统计分析结果显示，受访对象对2021年北京市社会建设和民政工作整体满意度为87.74分，相较2020年工作整体满意度提高了6.99分，公众对于2021年北京市社会建设和民政工作的整体满意程度较好。但依然存在部分受访对象对个别工作满意度不高的情况，主要原因是对部分政策、工作内容不了解等。</w:t>
      </w:r>
    </w:p>
    <w:p>
      <w:pPr>
        <w:pStyle w:val="2"/>
        <w:shd w:val="clear" w:color="010000" w:fill="auto"/>
        <w:ind w:firstLine="640"/>
      </w:pPr>
      <w:r>
        <w:t>四、预算管理情况分析</w:t>
      </w:r>
    </w:p>
    <w:p>
      <w:pPr>
        <w:pStyle w:val="3"/>
        <w:shd w:val="clear" w:color="010000" w:fill="auto"/>
        <w:ind w:firstLine="640"/>
        <w:rPr>
          <w:rFonts w:ascii="楷体_GB2312" w:hAnsi="楷体_GB2312" w:eastAsia="楷体_GB2312" w:cs="楷体_GB2312"/>
        </w:rPr>
      </w:pPr>
      <w:r>
        <w:rPr>
          <w:rFonts w:hint="eastAsia" w:ascii="楷体_GB2312" w:hAnsi="楷体_GB2312" w:eastAsia="楷体_GB2312" w:cs="楷体_GB2312"/>
        </w:rPr>
        <w:t>（一）财务管理</w:t>
      </w:r>
    </w:p>
    <w:p>
      <w:pPr>
        <w:pStyle w:val="4"/>
        <w:shd w:val="clear" w:color="010000" w:fill="auto"/>
        <w:ind w:firstLine="640"/>
        <w:rPr>
          <w:rFonts w:ascii="仿宋_GB2312" w:hAnsi="仿宋_GB2312" w:cs="仿宋_GB2312"/>
        </w:rPr>
      </w:pPr>
      <w:r>
        <w:rPr>
          <w:rFonts w:hint="eastAsia" w:ascii="仿宋_GB2312" w:hAnsi="仿宋_GB2312" w:cs="仿宋_GB2312"/>
        </w:rPr>
        <w:t>1.财务管理制度健全性</w:t>
      </w:r>
    </w:p>
    <w:p>
      <w:pPr>
        <w:shd w:val="clear" w:color="000000" w:fill="auto"/>
        <w:ind w:firstLine="643"/>
        <w:rPr>
          <w:rFonts w:ascii="仿宋_GB2312" w:hAnsi="仿宋_GB2312" w:cs="仿宋_GB2312"/>
        </w:rPr>
      </w:pPr>
      <w:r>
        <w:rPr>
          <w:rFonts w:hint="eastAsia" w:ascii="仿宋_GB2312" w:hAnsi="仿宋_GB2312" w:cs="仿宋_GB2312"/>
          <w:b/>
          <w:bCs/>
        </w:rPr>
        <w:t>内部控制流程方面，</w:t>
      </w:r>
      <w:r>
        <w:rPr>
          <w:rFonts w:hint="eastAsia" w:ascii="仿宋_GB2312" w:hAnsi="仿宋_GB2312" w:cs="仿宋_GB2312"/>
        </w:rPr>
        <w:t>市委社会工委市民政局根据财政部《行政事业单位内部控制规范（试行）》等相关要求，结合部门业务财务融合管理实际需求，进一步优化完善部门内控手册，细化完善了部门预算管理流程、收支管理流程、采购管理流程、资产管理流程、合同管理流程及建设项目管理流程，部门经济业务层面内部控制流程建立较为健全。</w:t>
      </w:r>
      <w:r>
        <w:rPr>
          <w:rFonts w:hint="eastAsia" w:ascii="仿宋_GB2312" w:hAnsi="仿宋_GB2312" w:cs="仿宋_GB2312"/>
          <w:b/>
          <w:bCs/>
        </w:rPr>
        <w:t>财务管理制度建立方面，</w:t>
      </w:r>
      <w:r>
        <w:rPr>
          <w:rFonts w:hint="eastAsia" w:ascii="仿宋_GB2312" w:hAnsi="仿宋_GB2312" w:cs="仿宋_GB2312"/>
        </w:rPr>
        <w:t>制定了部门《预算资金管理办法》《政府购买服务项目管理办法》《政府采购管理办法》《货物类政府采购实施细则》《服务类政府采购实施细则》《行政事业单位国有资产管理暂行办法》《合同管理办法（试行）》《公共服务设施建设项目管理办法》等财务管理制度。</w:t>
      </w:r>
    </w:p>
    <w:p>
      <w:pPr>
        <w:pStyle w:val="4"/>
        <w:shd w:val="clear" w:color="010000" w:fill="auto"/>
        <w:ind w:firstLine="640"/>
        <w:rPr>
          <w:rFonts w:ascii="仿宋_GB2312" w:hAnsi="仿宋_GB2312" w:cs="仿宋_GB2312"/>
        </w:rPr>
      </w:pPr>
      <w:r>
        <w:rPr>
          <w:rFonts w:hint="eastAsia" w:ascii="仿宋_GB2312" w:hAnsi="仿宋_GB2312" w:cs="仿宋_GB2312"/>
        </w:rPr>
        <w:t>2.资金使用合规性和安全性</w:t>
      </w:r>
    </w:p>
    <w:p>
      <w:pPr>
        <w:shd w:val="clear" w:color="000000" w:fill="auto"/>
        <w:ind w:firstLine="640"/>
        <w:rPr>
          <w:rFonts w:ascii="仿宋_GB2312" w:hAnsi="仿宋_GB2312" w:cs="仿宋_GB2312"/>
        </w:rPr>
      </w:pPr>
      <w:r>
        <w:rPr>
          <w:rFonts w:hint="eastAsia" w:ascii="仿宋_GB2312" w:hAnsi="仿宋_GB2312" w:cs="仿宋_GB2312"/>
        </w:rPr>
        <w:t>严格按照委局《预算资金管理办法》执行，在资金使用监管上，能够落实重大支出集体研究制度，年度资金分配履行了相关报批手续，专项资金使用建立了专户核算、统一管理制度。会计核算方面，对项目资金进行单独建账、独立核算，各项会计凭证资料保存完整、装订规范。</w:t>
      </w:r>
    </w:p>
    <w:p>
      <w:pPr>
        <w:pStyle w:val="4"/>
        <w:shd w:val="clear" w:color="010000" w:fill="auto"/>
        <w:ind w:firstLine="640"/>
        <w:rPr>
          <w:rFonts w:ascii="仿宋_GB2312" w:hAnsi="仿宋_GB2312" w:cs="仿宋_GB2312"/>
        </w:rPr>
      </w:pPr>
      <w:r>
        <w:rPr>
          <w:rFonts w:hint="eastAsia" w:ascii="仿宋_GB2312" w:hAnsi="仿宋_GB2312" w:cs="仿宋_GB2312"/>
        </w:rPr>
        <w:t>3.会计基础信息完善性</w:t>
      </w:r>
    </w:p>
    <w:p>
      <w:pPr>
        <w:shd w:val="clear" w:color="000000" w:fill="auto"/>
        <w:ind w:firstLine="640"/>
        <w:rPr>
          <w:rFonts w:ascii="仿宋_GB2312" w:hAnsi="仿宋_GB2312" w:cs="仿宋_GB2312"/>
        </w:rPr>
      </w:pPr>
      <w:r>
        <w:rPr>
          <w:rFonts w:hint="eastAsia" w:ascii="仿宋_GB2312" w:hAnsi="仿宋_GB2312" w:cs="仿宋_GB2312"/>
        </w:rPr>
        <w:t>严格按照《行政单位会计制度》等要求编制财务资料，本次绩效评价过程中，涉及的部门决算报表、会计记账凭证等基础数据信息和会计信息资料较为完整，未发现基础数据、会计资料不准确、不真实的情况。</w:t>
      </w:r>
    </w:p>
    <w:p>
      <w:pPr>
        <w:pStyle w:val="3"/>
        <w:shd w:val="clear" w:color="010000" w:fill="auto"/>
        <w:ind w:firstLine="640"/>
        <w:rPr>
          <w:rFonts w:ascii="楷体_GB2312" w:hAnsi="楷体_GB2312" w:eastAsia="楷体_GB2312" w:cs="楷体_GB2312"/>
        </w:rPr>
      </w:pPr>
      <w:r>
        <w:rPr>
          <w:rFonts w:hint="eastAsia" w:ascii="楷体_GB2312" w:hAnsi="楷体_GB2312" w:eastAsia="楷体_GB2312" w:cs="楷体_GB2312"/>
        </w:rPr>
        <w:t>（二）资产管理</w:t>
      </w:r>
    </w:p>
    <w:p>
      <w:pPr>
        <w:shd w:val="clear" w:color="000000" w:fill="auto"/>
        <w:ind w:firstLine="640"/>
        <w:rPr>
          <w:rFonts w:ascii="仿宋_GB2312" w:hAnsi="仿宋_GB2312" w:cs="仿宋_GB2312"/>
        </w:rPr>
      </w:pPr>
      <w:r>
        <w:rPr>
          <w:rFonts w:hint="eastAsia" w:ascii="仿宋_GB2312" w:hAnsi="仿宋_GB2312" w:cs="仿宋_GB2312"/>
        </w:rPr>
        <w:t>市委社会工委市民政局为加强资产管理，制定了《国有资产管理暂行管理办法》，明确了资产管理部门及职责、资产配置、资产管理、资产处置、资产出租出借、资产评估与清查、资产信息管理与报告等相关要求。其中，计划财务处负责全局所属单位资产购置计划和购置预算及资产对外投资、出租、出借等事项的审核和监督。行政保卫处负责局所属土地、房屋及构筑物、车辆等国有资产配置、管理、处置的审核和监督，以及全局所属单位利用土地、房屋及构筑物等资产对外投资、出租、出借等事项的审核和监督；标准与信息化处负责局所属单位信息化项目建设过程中产生的国有资产配置、管理、处置等事项的审核与监督。</w:t>
      </w:r>
    </w:p>
    <w:p>
      <w:pPr>
        <w:pStyle w:val="3"/>
        <w:shd w:val="clear" w:color="010000" w:fill="auto"/>
        <w:ind w:firstLine="640"/>
        <w:rPr>
          <w:rFonts w:ascii="楷体_GB2312" w:hAnsi="楷体_GB2312" w:eastAsia="楷体_GB2312" w:cs="楷体_GB2312"/>
        </w:rPr>
      </w:pPr>
      <w:r>
        <w:rPr>
          <w:rFonts w:hint="eastAsia" w:ascii="楷体_GB2312" w:hAnsi="楷体_GB2312" w:eastAsia="楷体_GB2312" w:cs="楷体_GB2312"/>
        </w:rPr>
        <w:t>（三）绩效管理</w:t>
      </w:r>
    </w:p>
    <w:p>
      <w:pPr>
        <w:shd w:val="clear" w:color="000000" w:fill="auto"/>
        <w:ind w:firstLine="640"/>
        <w:rPr>
          <w:rFonts w:ascii="仿宋_GB2312" w:hAnsi="仿宋_GB2312" w:cs="仿宋_GB2312"/>
        </w:rPr>
      </w:pPr>
      <w:r>
        <w:rPr>
          <w:rFonts w:hint="eastAsia" w:ascii="仿宋_GB2312" w:hAnsi="仿宋_GB2312" w:cs="仿宋_GB2312"/>
          <w:szCs w:val="32"/>
        </w:rPr>
        <w:t>贯彻落实全面实施预算绩效管理改革的要求，2021年委局持续压实绩效监督责任，</w:t>
      </w:r>
      <w:r>
        <w:rPr>
          <w:rFonts w:hint="eastAsia" w:ascii="仿宋_GB2312" w:hAnsi="仿宋_GB2312" w:cs="仿宋_GB2312"/>
          <w:b/>
          <w:bCs/>
          <w:szCs w:val="32"/>
        </w:rPr>
        <w:t>一是</w:t>
      </w:r>
      <w:r>
        <w:rPr>
          <w:rFonts w:hint="eastAsia" w:ascii="仿宋_GB2312" w:hAnsi="仿宋_GB2312" w:cs="仿宋_GB2312"/>
          <w:szCs w:val="32"/>
        </w:rPr>
        <w:t>作为首批试点开展部门整体绩效评价</w:t>
      </w:r>
      <w:r>
        <w:rPr>
          <w:rFonts w:hint="eastAsia" w:ascii="仿宋_GB2312" w:hAnsi="仿宋_GB2312" w:cs="仿宋_GB2312"/>
          <w:color w:val="000000"/>
          <w:szCs w:val="32"/>
        </w:rPr>
        <w:t>。委局作为全市两家试点单位之一，推进部门整体绩效评价工作</w:t>
      </w:r>
      <w:r>
        <w:rPr>
          <w:rFonts w:hint="eastAsia" w:ascii="仿宋_GB2312" w:hAnsi="仿宋_GB2312" w:cs="仿宋_GB2312"/>
          <w:szCs w:val="32"/>
        </w:rPr>
        <w:t>。</w:t>
      </w:r>
      <w:r>
        <w:rPr>
          <w:rFonts w:hint="eastAsia" w:ascii="仿宋_GB2312" w:hAnsi="仿宋_GB2312" w:cs="仿宋_GB2312"/>
          <w:b/>
          <w:bCs/>
          <w:szCs w:val="32"/>
        </w:rPr>
        <w:t>二是</w:t>
      </w:r>
      <w:r>
        <w:rPr>
          <w:rFonts w:hint="eastAsia" w:ascii="仿宋_GB2312" w:hAnsi="仿宋_GB2312" w:cs="仿宋_GB2312"/>
          <w:color w:val="000000"/>
          <w:szCs w:val="32"/>
        </w:rPr>
        <w:t>稳步推进民生政策绩效评价。</w:t>
      </w:r>
      <w:r>
        <w:rPr>
          <w:rFonts w:hint="eastAsia" w:ascii="仿宋_GB2312" w:hAnsi="仿宋_GB2312" w:cs="仿宋_GB2312"/>
          <w:szCs w:val="32"/>
        </w:rPr>
        <w:t>涉及老年人养老服务津贴补贴等15项重大民生政策。</w:t>
      </w:r>
      <w:r>
        <w:rPr>
          <w:rFonts w:hint="eastAsia" w:ascii="仿宋_GB2312" w:hAnsi="仿宋_GB2312" w:cs="仿宋_GB2312"/>
          <w:b/>
          <w:bCs/>
          <w:szCs w:val="32"/>
        </w:rPr>
        <w:t>三是</w:t>
      </w:r>
      <w:r>
        <w:rPr>
          <w:rFonts w:hint="eastAsia" w:ascii="仿宋_GB2312" w:hAnsi="仿宋_GB2312" w:cs="仿宋_GB2312"/>
          <w:color w:val="000000"/>
          <w:szCs w:val="32"/>
        </w:rPr>
        <w:t>创新推动重大购买服务项目绩效评价。首次采用“多主体联动”绩效评价工作模式，对重大政府购买服务项目开展绩效评价。</w:t>
      </w:r>
      <w:r>
        <w:rPr>
          <w:rFonts w:hint="eastAsia" w:ascii="仿宋_GB2312" w:hAnsi="仿宋_GB2312" w:cs="仿宋_GB2312"/>
          <w:b/>
          <w:bCs/>
          <w:color w:val="000000"/>
          <w:szCs w:val="32"/>
        </w:rPr>
        <w:t>四是</w:t>
      </w:r>
      <w:r>
        <w:rPr>
          <w:rFonts w:hint="eastAsia" w:ascii="仿宋_GB2312" w:hAnsi="仿宋_GB2312" w:cs="仿宋_GB2312"/>
          <w:color w:val="000000"/>
          <w:szCs w:val="32"/>
        </w:rPr>
        <w:t>扎实开展全成本绩效分析。落实市政府绩效考核要求，对“救助机构受助人员生活照料及专业服务”重点民生项目开展全成本绩效分析。</w:t>
      </w:r>
      <w:r>
        <w:rPr>
          <w:rFonts w:hint="eastAsia" w:ascii="仿宋_GB2312" w:hAnsi="仿宋_GB2312" w:cs="仿宋_GB2312"/>
          <w:b/>
          <w:bCs/>
          <w:color w:val="000000"/>
          <w:szCs w:val="32"/>
        </w:rPr>
        <w:t>五是</w:t>
      </w:r>
      <w:r>
        <w:rPr>
          <w:rFonts w:hint="eastAsia" w:ascii="仿宋_GB2312" w:hAnsi="仿宋_GB2312" w:cs="仿宋_GB2312"/>
          <w:color w:val="000000"/>
          <w:szCs w:val="32"/>
        </w:rPr>
        <w:t>推进绩效管理全面覆盖。完成委局本级预算项目“全覆盖”绩效自评；完成覆盖16区中央福彩公益金和中央困难群众救助补助资金的绩效评价，并对部分区中央困难群众救助补助资金开展重点评价。</w:t>
      </w:r>
    </w:p>
    <w:p>
      <w:pPr>
        <w:pStyle w:val="3"/>
        <w:shd w:val="clear" w:color="010000" w:fill="auto"/>
        <w:ind w:firstLine="640"/>
        <w:rPr>
          <w:rFonts w:ascii="楷体_GB2312" w:hAnsi="楷体_GB2312" w:eastAsia="楷体_GB2312" w:cs="楷体_GB2312"/>
        </w:rPr>
      </w:pPr>
      <w:r>
        <w:rPr>
          <w:rFonts w:hint="eastAsia" w:ascii="楷体_GB2312" w:hAnsi="楷体_GB2312" w:eastAsia="楷体_GB2312" w:cs="楷体_GB2312"/>
        </w:rPr>
        <w:t>（四）结转结余率</w:t>
      </w:r>
    </w:p>
    <w:p>
      <w:pPr>
        <w:shd w:val="clear" w:color="000000" w:fill="auto"/>
        <w:ind w:firstLine="640"/>
        <w:rPr>
          <w:rFonts w:ascii="仿宋_GB2312" w:hAnsi="仿宋_GB2312" w:cs="仿宋_GB2312"/>
        </w:rPr>
      </w:pPr>
      <w:r>
        <w:rPr>
          <w:rFonts w:hint="eastAsia" w:ascii="仿宋_GB2312" w:hAnsi="仿宋_GB2312" w:cs="仿宋_GB2312"/>
        </w:rPr>
        <w:t>2021年市委社会工委市民政局年末结转结余资金总额为2,408.41万元，全年支出预算数为84,925.07万元，资金结转结余率为2.84%，较上一年度下降了6.65%。</w:t>
      </w:r>
    </w:p>
    <w:p>
      <w:pPr>
        <w:pStyle w:val="3"/>
        <w:shd w:val="clear" w:color="010000" w:fill="auto"/>
        <w:ind w:firstLine="640"/>
        <w:rPr>
          <w:rFonts w:ascii="楷体_GB2312" w:hAnsi="楷体_GB2312" w:eastAsia="楷体_GB2312" w:cs="楷体_GB2312"/>
        </w:rPr>
      </w:pPr>
      <w:r>
        <w:rPr>
          <w:rFonts w:hint="eastAsia" w:ascii="楷体_GB2312" w:hAnsi="楷体_GB2312" w:eastAsia="楷体_GB2312" w:cs="楷体_GB2312"/>
        </w:rPr>
        <w:t>（五）部门预决算差异率</w:t>
      </w:r>
    </w:p>
    <w:p>
      <w:pPr>
        <w:shd w:val="clear" w:color="000000" w:fill="auto"/>
        <w:ind w:firstLine="640"/>
        <w:rPr>
          <w:rFonts w:ascii="仿宋_GB2312" w:hAnsi="仿宋_GB2312" w:cs="仿宋_GB2312"/>
        </w:rPr>
      </w:pPr>
      <w:r>
        <w:rPr>
          <w:rFonts w:hint="eastAsia" w:ascii="仿宋_GB2312" w:hAnsi="仿宋_GB2312" w:cs="仿宋_GB2312"/>
        </w:rPr>
        <w:t>2021年市委社会工委市民政局年初预算数为87,043.44万元，部门年度决算数为84,353.52万元，部门预决算差异率为-3.09%，较上一年度下降了11.27%。</w:t>
      </w:r>
    </w:p>
    <w:p>
      <w:pPr>
        <w:pStyle w:val="2"/>
        <w:shd w:val="clear" w:color="010000" w:fill="auto"/>
        <w:ind w:firstLine="640"/>
      </w:pPr>
      <w:r>
        <w:t>五、总体评价结论</w:t>
      </w:r>
    </w:p>
    <w:p>
      <w:pPr>
        <w:pStyle w:val="3"/>
        <w:shd w:val="clear" w:color="050000" w:fill="auto"/>
        <w:ind w:firstLine="640"/>
        <w:rPr>
          <w:rFonts w:ascii="楷体_GB2312" w:hAnsi="楷体_GB2312" w:eastAsia="楷体_GB2312" w:cs="楷体_GB2312"/>
        </w:rPr>
      </w:pPr>
      <w:r>
        <w:rPr>
          <w:rFonts w:hint="eastAsia" w:ascii="楷体_GB2312" w:hAnsi="楷体_GB2312" w:eastAsia="楷体_GB2312" w:cs="楷体_GB2312"/>
        </w:rPr>
        <w:t>（一）评价得分情况</w:t>
      </w:r>
    </w:p>
    <w:p>
      <w:pPr>
        <w:shd w:val="clear" w:color="000000" w:fill="auto"/>
        <w:ind w:firstLine="640"/>
        <w:rPr>
          <w:rFonts w:ascii="仿宋_GB2312" w:hAnsi="仿宋_GB2312" w:cs="仿宋_GB2312"/>
        </w:rPr>
      </w:pPr>
      <w:r>
        <w:rPr>
          <w:rFonts w:hint="eastAsia" w:ascii="仿宋_GB2312" w:hAnsi="仿宋_GB2312" w:cs="仿宋_GB2312"/>
        </w:rPr>
        <w:t>2021年市委社会工委市民政局部门整体绩效评价得分为97.04分，综合评价等级为“优”，各一级指标得分情况如下表所示：</w:t>
      </w:r>
    </w:p>
    <w:p>
      <w:pPr>
        <w:shd w:val="clear" w:color="000000" w:fill="auto"/>
        <w:adjustRightInd w:val="0"/>
        <w:snapToGrid w:val="0"/>
        <w:spacing w:before="229" w:beforeLines="50" w:line="240" w:lineRule="auto"/>
        <w:ind w:firstLine="0" w:firstLineChars="0"/>
        <w:jc w:val="center"/>
        <w:rPr>
          <w:rFonts w:eastAsia="黑体"/>
          <w:sz w:val="28"/>
          <w:szCs w:val="28"/>
        </w:rPr>
      </w:pPr>
      <w:r>
        <w:rPr>
          <w:rFonts w:eastAsia="黑体"/>
          <w:sz w:val="28"/>
          <w:szCs w:val="28"/>
        </w:rPr>
        <w:t>表7 2021年市委社会工委市民政局部门整体绩效得分情况表</w:t>
      </w:r>
    </w:p>
    <w:tbl>
      <w:tblPr>
        <w:tblStyle w:val="13"/>
        <w:tblW w:w="9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0"/>
        <w:gridCol w:w="2038"/>
        <w:gridCol w:w="2038"/>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3130" w:type="dxa"/>
            <w:shd w:val="clear" w:color="auto" w:fill="CFCECE"/>
            <w:vAlign w:val="center"/>
          </w:tcPr>
          <w:p>
            <w:pPr>
              <w:widowControl/>
              <w:shd w:val="clear" w:color="010000" w:fill="auto"/>
              <w:spacing w:line="240" w:lineRule="auto"/>
              <w:ind w:firstLine="0" w:firstLineChars="0"/>
              <w:jc w:val="center"/>
              <w:rPr>
                <w:rFonts w:eastAsia="宋体"/>
                <w:b/>
                <w:bCs/>
                <w:color w:val="333333"/>
                <w:kern w:val="0"/>
                <w:sz w:val="21"/>
                <w:szCs w:val="21"/>
              </w:rPr>
            </w:pPr>
            <w:r>
              <w:rPr>
                <w:rFonts w:eastAsia="宋体"/>
                <w:b/>
                <w:bCs/>
                <w:color w:val="333333"/>
                <w:kern w:val="0"/>
                <w:sz w:val="21"/>
                <w:szCs w:val="21"/>
              </w:rPr>
              <w:t>一级指标</w:t>
            </w:r>
          </w:p>
        </w:tc>
        <w:tc>
          <w:tcPr>
            <w:tcW w:w="2038" w:type="dxa"/>
            <w:shd w:val="clear" w:color="auto" w:fill="CFCECE"/>
            <w:vAlign w:val="center"/>
          </w:tcPr>
          <w:p>
            <w:pPr>
              <w:widowControl/>
              <w:shd w:val="clear" w:color="010000" w:fill="auto"/>
              <w:spacing w:line="240" w:lineRule="auto"/>
              <w:ind w:firstLine="0" w:firstLineChars="0"/>
              <w:jc w:val="center"/>
              <w:rPr>
                <w:rFonts w:eastAsia="宋体"/>
                <w:b/>
                <w:bCs/>
                <w:color w:val="333333"/>
                <w:kern w:val="0"/>
                <w:sz w:val="21"/>
                <w:szCs w:val="21"/>
              </w:rPr>
            </w:pPr>
            <w:r>
              <w:rPr>
                <w:rFonts w:eastAsia="宋体"/>
                <w:b/>
                <w:bCs/>
                <w:color w:val="333333"/>
                <w:kern w:val="0"/>
                <w:sz w:val="21"/>
                <w:szCs w:val="21"/>
              </w:rPr>
              <w:t>分值</w:t>
            </w:r>
          </w:p>
        </w:tc>
        <w:tc>
          <w:tcPr>
            <w:tcW w:w="2038" w:type="dxa"/>
            <w:shd w:val="clear" w:color="auto" w:fill="CFCECE"/>
            <w:vAlign w:val="center"/>
          </w:tcPr>
          <w:p>
            <w:pPr>
              <w:widowControl/>
              <w:shd w:val="clear" w:color="010000" w:fill="auto"/>
              <w:spacing w:line="240" w:lineRule="auto"/>
              <w:ind w:firstLine="0" w:firstLineChars="0"/>
              <w:jc w:val="center"/>
              <w:rPr>
                <w:rFonts w:eastAsia="宋体"/>
                <w:b/>
                <w:bCs/>
                <w:color w:val="333333"/>
                <w:kern w:val="0"/>
                <w:sz w:val="21"/>
                <w:szCs w:val="21"/>
              </w:rPr>
            </w:pPr>
            <w:r>
              <w:rPr>
                <w:rFonts w:eastAsia="宋体"/>
                <w:b/>
                <w:bCs/>
                <w:color w:val="333333"/>
                <w:kern w:val="0"/>
                <w:sz w:val="21"/>
                <w:szCs w:val="21"/>
              </w:rPr>
              <w:t>得分</w:t>
            </w:r>
          </w:p>
        </w:tc>
        <w:tc>
          <w:tcPr>
            <w:tcW w:w="1968" w:type="dxa"/>
            <w:shd w:val="clear" w:color="auto" w:fill="CFCECE"/>
            <w:vAlign w:val="center"/>
          </w:tcPr>
          <w:p>
            <w:pPr>
              <w:widowControl/>
              <w:shd w:val="clear" w:color="010000" w:fill="auto"/>
              <w:spacing w:line="240" w:lineRule="auto"/>
              <w:ind w:firstLine="0" w:firstLineChars="0"/>
              <w:jc w:val="center"/>
              <w:rPr>
                <w:rFonts w:eastAsia="宋体"/>
                <w:b/>
                <w:bCs/>
                <w:color w:val="333333"/>
                <w:kern w:val="0"/>
                <w:sz w:val="21"/>
                <w:szCs w:val="21"/>
              </w:rPr>
            </w:pPr>
            <w:r>
              <w:rPr>
                <w:rFonts w:eastAsia="宋体"/>
                <w:b/>
                <w:bCs/>
                <w:color w:val="333333"/>
                <w:kern w:val="0"/>
                <w:sz w:val="21"/>
                <w:szCs w:val="21"/>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3130"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当年预算执行情况</w:t>
            </w:r>
          </w:p>
        </w:tc>
        <w:tc>
          <w:tcPr>
            <w:tcW w:w="203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20</w:t>
            </w:r>
          </w:p>
        </w:tc>
        <w:tc>
          <w:tcPr>
            <w:tcW w:w="203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19.26</w:t>
            </w:r>
          </w:p>
        </w:tc>
        <w:tc>
          <w:tcPr>
            <w:tcW w:w="196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96.30%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3130"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整体绩效目标实现情况</w:t>
            </w:r>
          </w:p>
        </w:tc>
        <w:tc>
          <w:tcPr>
            <w:tcW w:w="203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60</w:t>
            </w:r>
          </w:p>
        </w:tc>
        <w:tc>
          <w:tcPr>
            <w:tcW w:w="203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5</w:t>
            </w:r>
            <w:r>
              <w:rPr>
                <w:rFonts w:hint="eastAsia" w:eastAsia="宋体"/>
                <w:color w:val="333333"/>
                <w:kern w:val="0"/>
                <w:sz w:val="21"/>
                <w:szCs w:val="21"/>
              </w:rPr>
              <w:t>7.78</w:t>
            </w:r>
          </w:p>
        </w:tc>
        <w:tc>
          <w:tcPr>
            <w:tcW w:w="196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96</w:t>
            </w:r>
            <w:r>
              <w:rPr>
                <w:rFonts w:hint="eastAsia" w:eastAsia="宋体"/>
                <w:color w:val="333333"/>
                <w:kern w:val="0"/>
                <w:sz w:val="21"/>
                <w:szCs w:val="21"/>
              </w:rPr>
              <w:t>.3</w:t>
            </w:r>
            <w:r>
              <w:rPr>
                <w:rFonts w:eastAsia="宋体"/>
                <w:color w:val="333333"/>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3130"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预算管理情况</w:t>
            </w:r>
          </w:p>
        </w:tc>
        <w:tc>
          <w:tcPr>
            <w:tcW w:w="203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20</w:t>
            </w:r>
          </w:p>
        </w:tc>
        <w:tc>
          <w:tcPr>
            <w:tcW w:w="203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20</w:t>
            </w:r>
          </w:p>
        </w:tc>
        <w:tc>
          <w:tcPr>
            <w:tcW w:w="196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3130"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合计</w:t>
            </w:r>
          </w:p>
        </w:tc>
        <w:tc>
          <w:tcPr>
            <w:tcW w:w="203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100</w:t>
            </w:r>
          </w:p>
        </w:tc>
        <w:tc>
          <w:tcPr>
            <w:tcW w:w="203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9</w:t>
            </w:r>
            <w:r>
              <w:rPr>
                <w:rFonts w:hint="eastAsia" w:eastAsia="宋体"/>
                <w:color w:val="333333"/>
                <w:kern w:val="0"/>
                <w:sz w:val="21"/>
                <w:szCs w:val="21"/>
              </w:rPr>
              <w:t>7.04</w:t>
            </w:r>
          </w:p>
        </w:tc>
        <w:tc>
          <w:tcPr>
            <w:tcW w:w="1968" w:type="dxa"/>
            <w:vAlign w:val="center"/>
          </w:tcPr>
          <w:p>
            <w:pPr>
              <w:widowControl/>
              <w:shd w:val="clear" w:color="010000" w:fill="auto"/>
              <w:spacing w:line="240" w:lineRule="auto"/>
              <w:ind w:firstLine="0" w:firstLineChars="0"/>
              <w:jc w:val="center"/>
              <w:rPr>
                <w:rFonts w:eastAsia="宋体"/>
                <w:color w:val="333333"/>
                <w:kern w:val="0"/>
                <w:sz w:val="21"/>
                <w:szCs w:val="21"/>
              </w:rPr>
            </w:pPr>
            <w:r>
              <w:rPr>
                <w:rFonts w:eastAsia="宋体"/>
                <w:color w:val="333333"/>
                <w:kern w:val="0"/>
                <w:sz w:val="21"/>
                <w:szCs w:val="21"/>
              </w:rPr>
              <w:t>9</w:t>
            </w:r>
            <w:r>
              <w:rPr>
                <w:rFonts w:hint="eastAsia" w:eastAsia="宋体"/>
                <w:color w:val="333333"/>
                <w:kern w:val="0"/>
                <w:sz w:val="21"/>
                <w:szCs w:val="21"/>
              </w:rPr>
              <w:t>7.04</w:t>
            </w:r>
            <w:r>
              <w:rPr>
                <w:rFonts w:eastAsia="宋体"/>
                <w:color w:val="333333"/>
                <w:kern w:val="0"/>
                <w:sz w:val="21"/>
                <w:szCs w:val="21"/>
              </w:rPr>
              <w:t>%</w:t>
            </w:r>
          </w:p>
        </w:tc>
      </w:tr>
    </w:tbl>
    <w:p>
      <w:pPr>
        <w:pStyle w:val="3"/>
        <w:shd w:val="clear" w:color="010000" w:fill="auto"/>
        <w:spacing w:before="229" w:beforeLines="50"/>
        <w:ind w:firstLine="640"/>
        <w:rPr>
          <w:rFonts w:ascii="楷体_GB2312" w:hAnsi="楷体_GB2312" w:eastAsia="楷体_GB2312" w:cs="楷体_GB2312"/>
        </w:rPr>
      </w:pPr>
      <w:r>
        <w:rPr>
          <w:rFonts w:hint="eastAsia" w:ascii="楷体_GB2312" w:hAnsi="楷体_GB2312" w:eastAsia="楷体_GB2312" w:cs="楷体_GB2312"/>
        </w:rPr>
        <w:t>（二）存在的问题及原因分析</w:t>
      </w:r>
    </w:p>
    <w:p>
      <w:pPr>
        <w:shd w:val="clear" w:color="000000" w:fill="auto"/>
        <w:ind w:firstLine="643"/>
        <w:rPr>
          <w:rFonts w:ascii="仿宋_GB2312" w:hAnsi="仿宋_GB2312" w:cs="仿宋_GB2312"/>
          <w:b/>
          <w:bCs/>
        </w:rPr>
      </w:pPr>
      <w:bookmarkStart w:id="2" w:name="_Toc72439023"/>
      <w:bookmarkStart w:id="3" w:name="_Toc72438602"/>
      <w:r>
        <w:rPr>
          <w:rFonts w:hint="eastAsia" w:ascii="仿宋_GB2312" w:hAnsi="仿宋_GB2312" w:cs="仿宋_GB2312"/>
          <w:b/>
          <w:bCs/>
        </w:rPr>
        <w:t>1.</w:t>
      </w:r>
      <w:bookmarkEnd w:id="2"/>
      <w:bookmarkEnd w:id="3"/>
      <w:r>
        <w:rPr>
          <w:rFonts w:hint="eastAsia" w:ascii="仿宋_GB2312" w:hAnsi="仿宋_GB2312" w:cs="仿宋_GB2312"/>
          <w:b/>
          <w:bCs/>
        </w:rPr>
        <w:t>尚未构建形成社会建设和民政领域预算绩效指标体系，绩效目标指标与中长期发展规划缺乏衔接。</w:t>
      </w:r>
    </w:p>
    <w:p>
      <w:pPr>
        <w:pStyle w:val="8"/>
        <w:shd w:val="clear" w:color="010000" w:fill="auto"/>
        <w:snapToGrid w:val="0"/>
        <w:spacing w:before="0" w:beforeAutospacing="0" w:after="0" w:afterAutospacing="0" w:line="560" w:lineRule="exact"/>
        <w:ind w:firstLine="640" w:firstLineChars="200"/>
        <w:jc w:val="both"/>
        <w:rPr>
          <w:rFonts w:ascii="仿宋_GB2312" w:hAnsi="仿宋_GB2312" w:eastAsia="仿宋_GB2312" w:cs="仿宋_GB2312"/>
          <w:kern w:val="2"/>
          <w:sz w:val="32"/>
        </w:rPr>
      </w:pPr>
      <w:r>
        <w:rPr>
          <w:rFonts w:hint="eastAsia" w:ascii="仿宋_GB2312" w:hAnsi="仿宋_GB2312" w:eastAsia="仿宋_GB2312" w:cs="仿宋_GB2312"/>
          <w:kern w:val="2"/>
          <w:sz w:val="32"/>
        </w:rPr>
        <w:t>几年来，随着市委社会工委市民政局预算绩效目标管理工作的持续加强，绩效目标填报的规范性、科学性逐年提升。但是对照市委市政府《关于全面实施预算绩效管理的实施意见》关于“各行业主管部门要加快构建分行业、分领域、分层次的核心绩效指标和标准体系”的要求，尚未研究形成社会建设和民政领域预算绩效指标体系，存在部分绩效指标与中长期发展规划缺乏衔接的情况。</w:t>
      </w:r>
    </w:p>
    <w:p>
      <w:pPr>
        <w:numPr>
          <w:ilvl w:val="0"/>
          <w:numId w:val="1"/>
        </w:numPr>
        <w:shd w:val="clear" w:color="000000" w:fill="auto"/>
        <w:ind w:firstLine="643"/>
        <w:rPr>
          <w:rFonts w:ascii="仿宋_GB2312" w:hAnsi="仿宋_GB2312" w:cs="仿宋_GB2312"/>
          <w:b/>
          <w:bCs/>
        </w:rPr>
      </w:pPr>
      <w:r>
        <w:rPr>
          <w:rFonts w:hint="eastAsia" w:ascii="仿宋_GB2312" w:hAnsi="仿宋_GB2312" w:cs="仿宋_GB2312"/>
          <w:b/>
          <w:bCs/>
        </w:rPr>
        <w:t>政策宣传解读有待加强，政策公众知晓率需要进一步提升。</w:t>
      </w:r>
    </w:p>
    <w:p>
      <w:pPr>
        <w:shd w:val="clear" w:color="000000" w:fill="auto"/>
        <w:ind w:firstLine="640"/>
        <w:rPr>
          <w:rFonts w:ascii="仿宋_GB2312" w:hAnsi="仿宋_GB2312" w:cs="仿宋_GB2312"/>
        </w:rPr>
      </w:pPr>
      <w:r>
        <w:rPr>
          <w:rFonts w:hint="eastAsia" w:ascii="仿宋_GB2312" w:hAnsi="仿宋_GB2312" w:cs="仿宋_GB2312"/>
        </w:rPr>
        <w:t>2021年度社会建设和民政工作满意度调查结果显示，公众满意度有了较大幅度提升。但依然存在部分受访对象对个别政策、工作内容不了解的情况。民生政策公众知晓率偏低主要原因，一方面是部分地区群众获取信息的渠道单一，同时缺乏主动了解政策的意识；另一方面受制于政策信息传播问题，在移动互联网时代，以往抽象、宏大的政策信息内容大多采用“文件式”传播，难以贴近公众碎片化、生活化的个性接收信息需求，公众难以与之产生共鸣互动，进而影响惠民政策的传播效果。</w:t>
      </w:r>
    </w:p>
    <w:p>
      <w:pPr>
        <w:pStyle w:val="2"/>
        <w:shd w:val="clear" w:color="010000" w:fill="auto"/>
        <w:ind w:firstLine="640"/>
      </w:pPr>
      <w:r>
        <w:t>六、</w:t>
      </w:r>
      <w:r>
        <w:rPr>
          <w:rFonts w:hint="eastAsia"/>
        </w:rPr>
        <w:t>下一步工作举措</w:t>
      </w:r>
    </w:p>
    <w:p>
      <w:pPr>
        <w:shd w:val="clear" w:color="000000" w:fill="auto"/>
        <w:ind w:firstLine="640"/>
        <w:rPr>
          <w:rFonts w:hint="eastAsia" w:ascii="楷体_GB2312" w:hAnsi="楷体_GB2312" w:eastAsia="楷体_GB2312" w:cs="楷体_GB2312"/>
        </w:rPr>
      </w:pPr>
      <w:r>
        <w:rPr>
          <w:rFonts w:hint="eastAsia" w:ascii="楷体_GB2312" w:hAnsi="楷体_GB2312" w:eastAsia="楷体_GB2312" w:cs="楷体_GB2312"/>
        </w:rPr>
        <w:t>（一）加快构建社会建设和民政领域预算绩效指标体系，进一步提升绩效目标指标编制的规范性与科学性</w:t>
      </w:r>
    </w:p>
    <w:p>
      <w:pPr>
        <w:shd w:val="clear" w:color="000000" w:fill="auto"/>
        <w:ind w:firstLine="640"/>
        <w:rPr>
          <w:rFonts w:hint="eastAsia" w:ascii="仿宋_GB2312" w:hAnsi="仿宋_GB2312" w:eastAsia="仿宋_GB2312" w:cs="仿宋_GB2312"/>
          <w:sz w:val="32"/>
          <w:szCs w:val="24"/>
        </w:rPr>
      </w:pPr>
      <w:r>
        <w:rPr>
          <w:rFonts w:hint="eastAsia" w:ascii="仿宋_GB2312" w:hAnsi="仿宋_GB2312" w:eastAsia="仿宋_GB2312" w:cs="仿宋_GB2312"/>
          <w:kern w:val="2"/>
          <w:sz w:val="32"/>
          <w:szCs w:val="24"/>
        </w:rPr>
        <w:t>加快构建分行业、分领域预算绩效指标体系。一是坚持全面覆盖，细化分类。结合部门职责职能和社会建设民政工作中长期发展规划，对标对表，研究形成对应部门职责、重点任务、预算项目的绩效指标体系。二是坚持定量为主，细化量化。通过对近年来部门预算项目执行情况分析，结合行业标准，不断补充计划标准、行业标准、历史标准等信息，努力实现绩效指标可比可测。三是坚持共建共享，以用促建。充分借鉴中央及外省市指标库建设经验，同时参考全市通用指标库体系，以用促建，推进社会建设和民政领域预算绩效指标体系建设。并结合实际，实现动态管理。</w:t>
      </w:r>
    </w:p>
    <w:p>
      <w:pPr>
        <w:shd w:val="clear" w:color="000000" w:fill="auto"/>
        <w:ind w:firstLine="640"/>
        <w:rPr>
          <w:rFonts w:ascii="楷体_GB2312" w:hAnsi="楷体_GB2312" w:eastAsia="楷体_GB2312" w:cs="楷体_GB2312"/>
        </w:rPr>
      </w:pPr>
      <w:r>
        <w:rPr>
          <w:rFonts w:hint="eastAsia" w:ascii="楷体_GB2312" w:hAnsi="楷体_GB2312" w:eastAsia="楷体_GB2312" w:cs="楷体_GB2312"/>
        </w:rPr>
        <w:t>（二）持续加强民生政策宣传引导，提高政策服务知晓率</w:t>
      </w:r>
    </w:p>
    <w:p>
      <w:pPr>
        <w:shd w:val="clear" w:color="000000" w:fill="auto"/>
        <w:ind w:firstLine="640"/>
        <w:rPr>
          <w:rFonts w:ascii="仿宋_GB2312" w:hAnsi="仿宋_GB2312" w:cs="仿宋_GB2312"/>
        </w:rPr>
      </w:pPr>
      <w:r>
        <w:rPr>
          <w:rFonts w:hint="eastAsia" w:ascii="仿宋_GB2312" w:hAnsi="仿宋_GB2312" w:cs="仿宋_GB2312"/>
        </w:rPr>
        <w:t>持续加大政策宣传力度。一是创新政策宣传的渠道，充分发挥微信、微博等新媒体的作用，主动推送政策解读、高层声音、基层动态等群众关心的内容。强化线下宣传引导，充分发挥居（村）委会、楼层长、社工的作用，直接对潜在服务对象开展政策宣传，引导其采用线上了解政策内容的方式，及时获取政策和服务信息。二是加强正向舆论引导，获得舆情工作主动权。重视负面舆情的应对，加强民政舆情监测工作，做到早发现、早应对、不遗漏，赢得舆情工作主动权。此外，通过网络舆情倾听社会呼声，及时了解民意。三是以满意度调查为抓手，建立政策优化完善机制。持续开展满意度调查工作，通过对数据的分析整理，进一步了解自身工作的长处和短板，形成相对完善、细化、成体系的内部的调度机制，夯实基础，补齐短板，优化政策。</w:t>
      </w:r>
    </w:p>
    <w:p>
      <w:pPr>
        <w:shd w:val="clear" w:color="000000" w:fill="auto"/>
        <w:ind w:firstLine="0" w:firstLineChars="0"/>
        <w:rPr>
          <w:rFonts w:hint="eastAsia"/>
        </w:rPr>
      </w:pPr>
    </w:p>
    <w:sectPr>
      <w:footerReference r:id="rId4" w:type="default"/>
      <w:pgSz w:w="11906" w:h="16838"/>
      <w:pgMar w:top="2041" w:right="1474" w:bottom="1814" w:left="1474" w:header="851" w:footer="992" w:gutter="0"/>
      <w:cols w:space="720" w:num="1"/>
      <w:docGrid w:type="lines" w:linePitch="44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New Roman (标题 CS)">
    <w:altName w:val="宋体"/>
    <w:panose1 w:val="020B0604020202020204"/>
    <w:charset w:val="86"/>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framePr w:wrap="around" w:vAnchor="text" w:hAnchor="margin" w:xAlign="center" w:y="1"/>
      <w:ind w:firstLine="360"/>
      <w:rPr>
        <w:rStyle w:val="11"/>
      </w:rPr>
    </w:pPr>
    <w:r>
      <w:rPr>
        <w:rStyle w:val="11"/>
      </w:rPr>
      <w:fldChar w:fldCharType="begin"/>
    </w:r>
    <w:r>
      <w:rPr>
        <w:rStyle w:val="11"/>
      </w:rPr>
      <w:instrText xml:space="preserve"> PAGE </w:instrText>
    </w:r>
    <w:r>
      <w:rPr>
        <w:rStyle w:val="11"/>
      </w:rPr>
      <w:fldChar w:fldCharType="separate"/>
    </w:r>
    <w:r>
      <w:rPr>
        <w:rStyle w:val="11"/>
      </w:rPr>
      <w:t>1</w:t>
    </w:r>
    <w:r>
      <w:rPr>
        <w:rStyle w:val="11"/>
      </w:rPr>
      <w:fldChar w:fldCharType="end"/>
    </w:r>
  </w:p>
  <w:p>
    <w:pPr>
      <w:pStyle w:val="7"/>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52955900">
    <w:nsid w:val="62861AFC"/>
    <w:multiLevelType w:val="singleLevel"/>
    <w:tmpl w:val="62861AFC"/>
    <w:lvl w:ilvl="0" w:tentative="1">
      <w:start w:val="2"/>
      <w:numFmt w:val="decimal"/>
      <w:suff w:val="nothing"/>
      <w:lvlText w:val="%1."/>
      <w:lvlJc w:val="left"/>
    </w:lvl>
  </w:abstractNum>
  <w:num w:numId="1">
    <w:abstractNumId w:val="165295590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val="1"/>
  <w:bordersDoNotSurroundFooter w:val="1"/>
  <w:documentProtection w:enforcement="0"/>
  <w:defaultTabStop w:val="420"/>
  <w:drawingGridVerticalSpacing w:val="23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NTQ3ZGY3N2U1ZTg0NWY5M2ZiZmUyZTRlYmNjNzhmNDMifQ=="/>
  </w:docVars>
  <w:rsids>
    <w:rsidRoot w:val="00F8428C"/>
    <w:rsid w:val="000008FA"/>
    <w:rsid w:val="00002223"/>
    <w:rsid w:val="00004260"/>
    <w:rsid w:val="00006AB5"/>
    <w:rsid w:val="0000721A"/>
    <w:rsid w:val="00010D16"/>
    <w:rsid w:val="00010E26"/>
    <w:rsid w:val="0001387A"/>
    <w:rsid w:val="0001529C"/>
    <w:rsid w:val="00015EB1"/>
    <w:rsid w:val="000211C2"/>
    <w:rsid w:val="000238A4"/>
    <w:rsid w:val="00025940"/>
    <w:rsid w:val="00025F85"/>
    <w:rsid w:val="00025FCB"/>
    <w:rsid w:val="00032994"/>
    <w:rsid w:val="00032BB0"/>
    <w:rsid w:val="00036DCD"/>
    <w:rsid w:val="00041226"/>
    <w:rsid w:val="00043C31"/>
    <w:rsid w:val="00044CA3"/>
    <w:rsid w:val="00045D9E"/>
    <w:rsid w:val="000460D4"/>
    <w:rsid w:val="000473E9"/>
    <w:rsid w:val="00052F7C"/>
    <w:rsid w:val="00054330"/>
    <w:rsid w:val="000553D4"/>
    <w:rsid w:val="000570D5"/>
    <w:rsid w:val="000578AB"/>
    <w:rsid w:val="00061377"/>
    <w:rsid w:val="0006190D"/>
    <w:rsid w:val="00062AE4"/>
    <w:rsid w:val="00063782"/>
    <w:rsid w:val="000640FE"/>
    <w:rsid w:val="00064835"/>
    <w:rsid w:val="00064F33"/>
    <w:rsid w:val="00066D4C"/>
    <w:rsid w:val="00066F64"/>
    <w:rsid w:val="0006700D"/>
    <w:rsid w:val="00070B53"/>
    <w:rsid w:val="00072EF7"/>
    <w:rsid w:val="000735BD"/>
    <w:rsid w:val="00074310"/>
    <w:rsid w:val="00074C3D"/>
    <w:rsid w:val="0007553B"/>
    <w:rsid w:val="0007609D"/>
    <w:rsid w:val="00076214"/>
    <w:rsid w:val="00077EE3"/>
    <w:rsid w:val="00080924"/>
    <w:rsid w:val="00082DFF"/>
    <w:rsid w:val="0008518C"/>
    <w:rsid w:val="0009001B"/>
    <w:rsid w:val="00091682"/>
    <w:rsid w:val="00094603"/>
    <w:rsid w:val="0009464C"/>
    <w:rsid w:val="00096E85"/>
    <w:rsid w:val="000A120F"/>
    <w:rsid w:val="000A1E93"/>
    <w:rsid w:val="000A4F67"/>
    <w:rsid w:val="000A512C"/>
    <w:rsid w:val="000A5C62"/>
    <w:rsid w:val="000B2099"/>
    <w:rsid w:val="000B337E"/>
    <w:rsid w:val="000B4A8F"/>
    <w:rsid w:val="000B5F60"/>
    <w:rsid w:val="000B67E0"/>
    <w:rsid w:val="000B68C3"/>
    <w:rsid w:val="000B70C8"/>
    <w:rsid w:val="000C1C62"/>
    <w:rsid w:val="000C3161"/>
    <w:rsid w:val="000C61C5"/>
    <w:rsid w:val="000C67A9"/>
    <w:rsid w:val="000C68B8"/>
    <w:rsid w:val="000D0548"/>
    <w:rsid w:val="000D07DA"/>
    <w:rsid w:val="000D4BEB"/>
    <w:rsid w:val="000D4ECE"/>
    <w:rsid w:val="000E025B"/>
    <w:rsid w:val="000E0DF5"/>
    <w:rsid w:val="000E2949"/>
    <w:rsid w:val="000E5AD8"/>
    <w:rsid w:val="000F0480"/>
    <w:rsid w:val="000F15E3"/>
    <w:rsid w:val="000F3250"/>
    <w:rsid w:val="000F3FF6"/>
    <w:rsid w:val="000F68E3"/>
    <w:rsid w:val="000F7657"/>
    <w:rsid w:val="000F7C16"/>
    <w:rsid w:val="000F7D51"/>
    <w:rsid w:val="00101DA0"/>
    <w:rsid w:val="00102C57"/>
    <w:rsid w:val="00103E70"/>
    <w:rsid w:val="00103EED"/>
    <w:rsid w:val="00103F1F"/>
    <w:rsid w:val="00104361"/>
    <w:rsid w:val="001138D8"/>
    <w:rsid w:val="00114BF4"/>
    <w:rsid w:val="001154E3"/>
    <w:rsid w:val="001156B5"/>
    <w:rsid w:val="00115F85"/>
    <w:rsid w:val="001179E1"/>
    <w:rsid w:val="00122171"/>
    <w:rsid w:val="0012244B"/>
    <w:rsid w:val="00122D4D"/>
    <w:rsid w:val="001230F0"/>
    <w:rsid w:val="00123A65"/>
    <w:rsid w:val="00124CC3"/>
    <w:rsid w:val="0012655E"/>
    <w:rsid w:val="00126EA6"/>
    <w:rsid w:val="001313CF"/>
    <w:rsid w:val="0013216B"/>
    <w:rsid w:val="00132C53"/>
    <w:rsid w:val="00134376"/>
    <w:rsid w:val="00135BD6"/>
    <w:rsid w:val="0013604E"/>
    <w:rsid w:val="00137845"/>
    <w:rsid w:val="001445F8"/>
    <w:rsid w:val="00144B19"/>
    <w:rsid w:val="00145266"/>
    <w:rsid w:val="0014623E"/>
    <w:rsid w:val="00147269"/>
    <w:rsid w:val="00147342"/>
    <w:rsid w:val="0015023E"/>
    <w:rsid w:val="00152B46"/>
    <w:rsid w:val="001532FB"/>
    <w:rsid w:val="00153985"/>
    <w:rsid w:val="00153E56"/>
    <w:rsid w:val="00156AD1"/>
    <w:rsid w:val="001602E0"/>
    <w:rsid w:val="0016133E"/>
    <w:rsid w:val="001615AF"/>
    <w:rsid w:val="001629B7"/>
    <w:rsid w:val="001632F8"/>
    <w:rsid w:val="0016401E"/>
    <w:rsid w:val="00164F65"/>
    <w:rsid w:val="0016523E"/>
    <w:rsid w:val="00171E5C"/>
    <w:rsid w:val="001738E1"/>
    <w:rsid w:val="001758CE"/>
    <w:rsid w:val="001768BA"/>
    <w:rsid w:val="001768F9"/>
    <w:rsid w:val="0017789C"/>
    <w:rsid w:val="00177B2D"/>
    <w:rsid w:val="00177ED8"/>
    <w:rsid w:val="001837EF"/>
    <w:rsid w:val="001844DB"/>
    <w:rsid w:val="0018516F"/>
    <w:rsid w:val="0018579E"/>
    <w:rsid w:val="00185D68"/>
    <w:rsid w:val="0018686C"/>
    <w:rsid w:val="00186E3A"/>
    <w:rsid w:val="00190129"/>
    <w:rsid w:val="001926E0"/>
    <w:rsid w:val="00195E62"/>
    <w:rsid w:val="001973EA"/>
    <w:rsid w:val="00197F46"/>
    <w:rsid w:val="001A0E3C"/>
    <w:rsid w:val="001A0EB5"/>
    <w:rsid w:val="001A1FAC"/>
    <w:rsid w:val="001A45DC"/>
    <w:rsid w:val="001A5C6F"/>
    <w:rsid w:val="001A6625"/>
    <w:rsid w:val="001B0141"/>
    <w:rsid w:val="001B373D"/>
    <w:rsid w:val="001B3ABD"/>
    <w:rsid w:val="001B3BBD"/>
    <w:rsid w:val="001B5453"/>
    <w:rsid w:val="001B7587"/>
    <w:rsid w:val="001B7894"/>
    <w:rsid w:val="001C6544"/>
    <w:rsid w:val="001C68B9"/>
    <w:rsid w:val="001C73C5"/>
    <w:rsid w:val="001D4635"/>
    <w:rsid w:val="001D4B89"/>
    <w:rsid w:val="001D6644"/>
    <w:rsid w:val="001D69EE"/>
    <w:rsid w:val="001D6D93"/>
    <w:rsid w:val="001E0136"/>
    <w:rsid w:val="001E1D6B"/>
    <w:rsid w:val="001E28D9"/>
    <w:rsid w:val="001E33CC"/>
    <w:rsid w:val="001E4949"/>
    <w:rsid w:val="001E55E7"/>
    <w:rsid w:val="001E733A"/>
    <w:rsid w:val="001E7A78"/>
    <w:rsid w:val="001F3B2A"/>
    <w:rsid w:val="001F3D6C"/>
    <w:rsid w:val="001F5023"/>
    <w:rsid w:val="001F5683"/>
    <w:rsid w:val="001F5E09"/>
    <w:rsid w:val="001F608D"/>
    <w:rsid w:val="001F6C2A"/>
    <w:rsid w:val="001F7CE8"/>
    <w:rsid w:val="00201652"/>
    <w:rsid w:val="00202A99"/>
    <w:rsid w:val="00202F4D"/>
    <w:rsid w:val="002049E0"/>
    <w:rsid w:val="002051EF"/>
    <w:rsid w:val="00207FB7"/>
    <w:rsid w:val="0021289A"/>
    <w:rsid w:val="00213472"/>
    <w:rsid w:val="00217F20"/>
    <w:rsid w:val="00217FF7"/>
    <w:rsid w:val="00220159"/>
    <w:rsid w:val="00222364"/>
    <w:rsid w:val="00222522"/>
    <w:rsid w:val="002229DA"/>
    <w:rsid w:val="00222EF0"/>
    <w:rsid w:val="00223B1B"/>
    <w:rsid w:val="00224165"/>
    <w:rsid w:val="00225948"/>
    <w:rsid w:val="00226223"/>
    <w:rsid w:val="002270AA"/>
    <w:rsid w:val="00230B2F"/>
    <w:rsid w:val="002311B7"/>
    <w:rsid w:val="00232096"/>
    <w:rsid w:val="00233F8F"/>
    <w:rsid w:val="0023545C"/>
    <w:rsid w:val="00237E08"/>
    <w:rsid w:val="0024151E"/>
    <w:rsid w:val="00247BFB"/>
    <w:rsid w:val="00247F52"/>
    <w:rsid w:val="00250856"/>
    <w:rsid w:val="00250A8A"/>
    <w:rsid w:val="0025265B"/>
    <w:rsid w:val="00252A89"/>
    <w:rsid w:val="00252F0D"/>
    <w:rsid w:val="00254287"/>
    <w:rsid w:val="00254FEA"/>
    <w:rsid w:val="002550BD"/>
    <w:rsid w:val="00256EEF"/>
    <w:rsid w:val="00260747"/>
    <w:rsid w:val="00261AA2"/>
    <w:rsid w:val="00261BFF"/>
    <w:rsid w:val="002624B5"/>
    <w:rsid w:val="0026343C"/>
    <w:rsid w:val="002659B3"/>
    <w:rsid w:val="00265ACA"/>
    <w:rsid w:val="002664BB"/>
    <w:rsid w:val="00267A26"/>
    <w:rsid w:val="00270B0E"/>
    <w:rsid w:val="00270EC4"/>
    <w:rsid w:val="002722E6"/>
    <w:rsid w:val="00272A6A"/>
    <w:rsid w:val="0027448E"/>
    <w:rsid w:val="00274F2E"/>
    <w:rsid w:val="00275C9F"/>
    <w:rsid w:val="00275D3D"/>
    <w:rsid w:val="0028016A"/>
    <w:rsid w:val="0028138D"/>
    <w:rsid w:val="0028201F"/>
    <w:rsid w:val="00282A88"/>
    <w:rsid w:val="00282AC3"/>
    <w:rsid w:val="0028365B"/>
    <w:rsid w:val="002855DA"/>
    <w:rsid w:val="002867D1"/>
    <w:rsid w:val="00286B86"/>
    <w:rsid w:val="00290BB2"/>
    <w:rsid w:val="00290CA5"/>
    <w:rsid w:val="00290EA8"/>
    <w:rsid w:val="00292E18"/>
    <w:rsid w:val="00293ADF"/>
    <w:rsid w:val="00293F1D"/>
    <w:rsid w:val="00294F66"/>
    <w:rsid w:val="00295548"/>
    <w:rsid w:val="00297A05"/>
    <w:rsid w:val="002A02C1"/>
    <w:rsid w:val="002A052C"/>
    <w:rsid w:val="002A10D8"/>
    <w:rsid w:val="002A1A58"/>
    <w:rsid w:val="002A241B"/>
    <w:rsid w:val="002A317F"/>
    <w:rsid w:val="002A34FF"/>
    <w:rsid w:val="002A49E7"/>
    <w:rsid w:val="002A57C6"/>
    <w:rsid w:val="002A5D63"/>
    <w:rsid w:val="002A5D76"/>
    <w:rsid w:val="002A6B05"/>
    <w:rsid w:val="002A785F"/>
    <w:rsid w:val="002B0051"/>
    <w:rsid w:val="002B0251"/>
    <w:rsid w:val="002B04E8"/>
    <w:rsid w:val="002B0715"/>
    <w:rsid w:val="002B0EA3"/>
    <w:rsid w:val="002B4553"/>
    <w:rsid w:val="002B5061"/>
    <w:rsid w:val="002B647A"/>
    <w:rsid w:val="002B6655"/>
    <w:rsid w:val="002C09E5"/>
    <w:rsid w:val="002C13C1"/>
    <w:rsid w:val="002C2A3A"/>
    <w:rsid w:val="002C2B3D"/>
    <w:rsid w:val="002C2F2C"/>
    <w:rsid w:val="002C3485"/>
    <w:rsid w:val="002C4059"/>
    <w:rsid w:val="002C4193"/>
    <w:rsid w:val="002D0291"/>
    <w:rsid w:val="002D22C8"/>
    <w:rsid w:val="002D298A"/>
    <w:rsid w:val="002D5272"/>
    <w:rsid w:val="002D5CAB"/>
    <w:rsid w:val="002D6BD0"/>
    <w:rsid w:val="002E130F"/>
    <w:rsid w:val="002E217D"/>
    <w:rsid w:val="002E393D"/>
    <w:rsid w:val="002F08C5"/>
    <w:rsid w:val="002F2290"/>
    <w:rsid w:val="002F232F"/>
    <w:rsid w:val="002F2751"/>
    <w:rsid w:val="002F42F6"/>
    <w:rsid w:val="002F4FB7"/>
    <w:rsid w:val="002F59B9"/>
    <w:rsid w:val="002F7CD1"/>
    <w:rsid w:val="00300395"/>
    <w:rsid w:val="003003AB"/>
    <w:rsid w:val="00302FF2"/>
    <w:rsid w:val="00303909"/>
    <w:rsid w:val="00305690"/>
    <w:rsid w:val="00305775"/>
    <w:rsid w:val="00306E47"/>
    <w:rsid w:val="00310131"/>
    <w:rsid w:val="00310904"/>
    <w:rsid w:val="00310EAF"/>
    <w:rsid w:val="00310FE9"/>
    <w:rsid w:val="00311AD2"/>
    <w:rsid w:val="00312486"/>
    <w:rsid w:val="00316A37"/>
    <w:rsid w:val="003217A1"/>
    <w:rsid w:val="0032640F"/>
    <w:rsid w:val="00326C6A"/>
    <w:rsid w:val="00327077"/>
    <w:rsid w:val="003311B1"/>
    <w:rsid w:val="00331309"/>
    <w:rsid w:val="00331EEA"/>
    <w:rsid w:val="00332654"/>
    <w:rsid w:val="00335CE7"/>
    <w:rsid w:val="0033664E"/>
    <w:rsid w:val="0033754D"/>
    <w:rsid w:val="0033768A"/>
    <w:rsid w:val="00340367"/>
    <w:rsid w:val="003406E5"/>
    <w:rsid w:val="00343195"/>
    <w:rsid w:val="00343569"/>
    <w:rsid w:val="0034382A"/>
    <w:rsid w:val="003440A5"/>
    <w:rsid w:val="00344E7E"/>
    <w:rsid w:val="00347ADF"/>
    <w:rsid w:val="0035123A"/>
    <w:rsid w:val="00351557"/>
    <w:rsid w:val="003522D4"/>
    <w:rsid w:val="00353236"/>
    <w:rsid w:val="003543D1"/>
    <w:rsid w:val="00354782"/>
    <w:rsid w:val="00355C3D"/>
    <w:rsid w:val="00356519"/>
    <w:rsid w:val="0035726C"/>
    <w:rsid w:val="00357FC7"/>
    <w:rsid w:val="0036299E"/>
    <w:rsid w:val="00364A88"/>
    <w:rsid w:val="00365527"/>
    <w:rsid w:val="00372922"/>
    <w:rsid w:val="003757DA"/>
    <w:rsid w:val="00380612"/>
    <w:rsid w:val="00380858"/>
    <w:rsid w:val="00381B6A"/>
    <w:rsid w:val="0038391A"/>
    <w:rsid w:val="00383B14"/>
    <w:rsid w:val="00385F0D"/>
    <w:rsid w:val="003862CF"/>
    <w:rsid w:val="00387C01"/>
    <w:rsid w:val="00387CC3"/>
    <w:rsid w:val="0039166C"/>
    <w:rsid w:val="003938A8"/>
    <w:rsid w:val="00393F05"/>
    <w:rsid w:val="0039466A"/>
    <w:rsid w:val="00394868"/>
    <w:rsid w:val="0039614A"/>
    <w:rsid w:val="003973E7"/>
    <w:rsid w:val="0039790E"/>
    <w:rsid w:val="003A0265"/>
    <w:rsid w:val="003A0743"/>
    <w:rsid w:val="003A0AE9"/>
    <w:rsid w:val="003A25F2"/>
    <w:rsid w:val="003A36C5"/>
    <w:rsid w:val="003A3B25"/>
    <w:rsid w:val="003A4E48"/>
    <w:rsid w:val="003A5AC4"/>
    <w:rsid w:val="003A5ECD"/>
    <w:rsid w:val="003A62EF"/>
    <w:rsid w:val="003A67C8"/>
    <w:rsid w:val="003B044C"/>
    <w:rsid w:val="003B0A12"/>
    <w:rsid w:val="003B1281"/>
    <w:rsid w:val="003B3F29"/>
    <w:rsid w:val="003B460C"/>
    <w:rsid w:val="003B5DC2"/>
    <w:rsid w:val="003B6B6B"/>
    <w:rsid w:val="003B7AFF"/>
    <w:rsid w:val="003C0C7D"/>
    <w:rsid w:val="003C2371"/>
    <w:rsid w:val="003C294C"/>
    <w:rsid w:val="003C3A02"/>
    <w:rsid w:val="003C41D1"/>
    <w:rsid w:val="003C431F"/>
    <w:rsid w:val="003C4A67"/>
    <w:rsid w:val="003C5646"/>
    <w:rsid w:val="003C6355"/>
    <w:rsid w:val="003D09DA"/>
    <w:rsid w:val="003D0CFC"/>
    <w:rsid w:val="003D2EB3"/>
    <w:rsid w:val="003D3431"/>
    <w:rsid w:val="003D36E0"/>
    <w:rsid w:val="003D41D2"/>
    <w:rsid w:val="003D46E0"/>
    <w:rsid w:val="003D4919"/>
    <w:rsid w:val="003D6160"/>
    <w:rsid w:val="003D6BBF"/>
    <w:rsid w:val="003D749F"/>
    <w:rsid w:val="003D787E"/>
    <w:rsid w:val="003D7E0F"/>
    <w:rsid w:val="003E0017"/>
    <w:rsid w:val="003E4183"/>
    <w:rsid w:val="003E50E0"/>
    <w:rsid w:val="003E6A31"/>
    <w:rsid w:val="003F042C"/>
    <w:rsid w:val="003F1266"/>
    <w:rsid w:val="003F1B0E"/>
    <w:rsid w:val="003F6A25"/>
    <w:rsid w:val="0040204C"/>
    <w:rsid w:val="00402338"/>
    <w:rsid w:val="00402766"/>
    <w:rsid w:val="00405076"/>
    <w:rsid w:val="00406162"/>
    <w:rsid w:val="00411039"/>
    <w:rsid w:val="00412617"/>
    <w:rsid w:val="004164A6"/>
    <w:rsid w:val="00416623"/>
    <w:rsid w:val="004207A7"/>
    <w:rsid w:val="0042088B"/>
    <w:rsid w:val="00420CE9"/>
    <w:rsid w:val="00420FC5"/>
    <w:rsid w:val="00421C86"/>
    <w:rsid w:val="00423E97"/>
    <w:rsid w:val="004273A3"/>
    <w:rsid w:val="00430546"/>
    <w:rsid w:val="00430763"/>
    <w:rsid w:val="00430F4A"/>
    <w:rsid w:val="0043461A"/>
    <w:rsid w:val="00435D2B"/>
    <w:rsid w:val="00440384"/>
    <w:rsid w:val="0044599B"/>
    <w:rsid w:val="00447F1A"/>
    <w:rsid w:val="004505D0"/>
    <w:rsid w:val="00451692"/>
    <w:rsid w:val="004528BA"/>
    <w:rsid w:val="00452A9B"/>
    <w:rsid w:val="00453668"/>
    <w:rsid w:val="00453DC8"/>
    <w:rsid w:val="00456AA8"/>
    <w:rsid w:val="004600C7"/>
    <w:rsid w:val="0046192E"/>
    <w:rsid w:val="00463286"/>
    <w:rsid w:val="004634BD"/>
    <w:rsid w:val="004646BF"/>
    <w:rsid w:val="00464E70"/>
    <w:rsid w:val="00467276"/>
    <w:rsid w:val="00471E66"/>
    <w:rsid w:val="00472455"/>
    <w:rsid w:val="00475B91"/>
    <w:rsid w:val="004772E1"/>
    <w:rsid w:val="004812C4"/>
    <w:rsid w:val="004813C9"/>
    <w:rsid w:val="00483710"/>
    <w:rsid w:val="004859B6"/>
    <w:rsid w:val="004867A0"/>
    <w:rsid w:val="004877DC"/>
    <w:rsid w:val="00491471"/>
    <w:rsid w:val="00491C74"/>
    <w:rsid w:val="004926B7"/>
    <w:rsid w:val="00492C78"/>
    <w:rsid w:val="00494EA5"/>
    <w:rsid w:val="00495A13"/>
    <w:rsid w:val="004A0A6B"/>
    <w:rsid w:val="004A1477"/>
    <w:rsid w:val="004A1F53"/>
    <w:rsid w:val="004A1F81"/>
    <w:rsid w:val="004A4B71"/>
    <w:rsid w:val="004A5B01"/>
    <w:rsid w:val="004A5B6B"/>
    <w:rsid w:val="004B0356"/>
    <w:rsid w:val="004B1B7B"/>
    <w:rsid w:val="004B1D47"/>
    <w:rsid w:val="004B6565"/>
    <w:rsid w:val="004B67A2"/>
    <w:rsid w:val="004B69E2"/>
    <w:rsid w:val="004B7DDB"/>
    <w:rsid w:val="004C100F"/>
    <w:rsid w:val="004C1404"/>
    <w:rsid w:val="004C1D69"/>
    <w:rsid w:val="004C2604"/>
    <w:rsid w:val="004C2804"/>
    <w:rsid w:val="004C2CAF"/>
    <w:rsid w:val="004C41FE"/>
    <w:rsid w:val="004C4FE7"/>
    <w:rsid w:val="004C7A6E"/>
    <w:rsid w:val="004D0116"/>
    <w:rsid w:val="004D1950"/>
    <w:rsid w:val="004E084F"/>
    <w:rsid w:val="004E0F98"/>
    <w:rsid w:val="004E14CF"/>
    <w:rsid w:val="004E2611"/>
    <w:rsid w:val="004E3D42"/>
    <w:rsid w:val="004E3E96"/>
    <w:rsid w:val="004E442C"/>
    <w:rsid w:val="004E4E94"/>
    <w:rsid w:val="004E71FA"/>
    <w:rsid w:val="004F166E"/>
    <w:rsid w:val="004F1C09"/>
    <w:rsid w:val="004F2799"/>
    <w:rsid w:val="004F57B7"/>
    <w:rsid w:val="004F6223"/>
    <w:rsid w:val="004F6C9C"/>
    <w:rsid w:val="0050535F"/>
    <w:rsid w:val="0050543B"/>
    <w:rsid w:val="005069A1"/>
    <w:rsid w:val="00507621"/>
    <w:rsid w:val="0051268E"/>
    <w:rsid w:val="00513F2D"/>
    <w:rsid w:val="00513F7F"/>
    <w:rsid w:val="00515F25"/>
    <w:rsid w:val="005161A1"/>
    <w:rsid w:val="00523653"/>
    <w:rsid w:val="00524E9E"/>
    <w:rsid w:val="005250D3"/>
    <w:rsid w:val="005263C6"/>
    <w:rsid w:val="005267A5"/>
    <w:rsid w:val="005270CB"/>
    <w:rsid w:val="005309F9"/>
    <w:rsid w:val="00531AB7"/>
    <w:rsid w:val="00533C4F"/>
    <w:rsid w:val="00534750"/>
    <w:rsid w:val="00536340"/>
    <w:rsid w:val="00537727"/>
    <w:rsid w:val="00537DA2"/>
    <w:rsid w:val="0054014A"/>
    <w:rsid w:val="005401B6"/>
    <w:rsid w:val="0054181E"/>
    <w:rsid w:val="005419E1"/>
    <w:rsid w:val="005421E5"/>
    <w:rsid w:val="00543033"/>
    <w:rsid w:val="00544CB9"/>
    <w:rsid w:val="00546B76"/>
    <w:rsid w:val="00546E5C"/>
    <w:rsid w:val="00547E6C"/>
    <w:rsid w:val="00551DD6"/>
    <w:rsid w:val="00552FA8"/>
    <w:rsid w:val="0055453B"/>
    <w:rsid w:val="005550A3"/>
    <w:rsid w:val="00557640"/>
    <w:rsid w:val="00557C9D"/>
    <w:rsid w:val="005612CE"/>
    <w:rsid w:val="00562E78"/>
    <w:rsid w:val="00564DDA"/>
    <w:rsid w:val="00565D35"/>
    <w:rsid w:val="00566965"/>
    <w:rsid w:val="00566DBE"/>
    <w:rsid w:val="00572C55"/>
    <w:rsid w:val="00573719"/>
    <w:rsid w:val="0057522D"/>
    <w:rsid w:val="00575293"/>
    <w:rsid w:val="00575E3E"/>
    <w:rsid w:val="00575E71"/>
    <w:rsid w:val="0057631B"/>
    <w:rsid w:val="0057775B"/>
    <w:rsid w:val="00580D6E"/>
    <w:rsid w:val="00581155"/>
    <w:rsid w:val="00581209"/>
    <w:rsid w:val="00581571"/>
    <w:rsid w:val="0058228F"/>
    <w:rsid w:val="0058276E"/>
    <w:rsid w:val="005835F0"/>
    <w:rsid w:val="00584170"/>
    <w:rsid w:val="00584598"/>
    <w:rsid w:val="0058526F"/>
    <w:rsid w:val="005906A8"/>
    <w:rsid w:val="005913BB"/>
    <w:rsid w:val="00594AA8"/>
    <w:rsid w:val="00597022"/>
    <w:rsid w:val="005A2C86"/>
    <w:rsid w:val="005A619D"/>
    <w:rsid w:val="005A6A23"/>
    <w:rsid w:val="005A6C19"/>
    <w:rsid w:val="005A701E"/>
    <w:rsid w:val="005A7600"/>
    <w:rsid w:val="005B5872"/>
    <w:rsid w:val="005B6633"/>
    <w:rsid w:val="005C0567"/>
    <w:rsid w:val="005C32CB"/>
    <w:rsid w:val="005C4534"/>
    <w:rsid w:val="005D1238"/>
    <w:rsid w:val="005D3F7F"/>
    <w:rsid w:val="005D62BE"/>
    <w:rsid w:val="005E0848"/>
    <w:rsid w:val="005E0FB6"/>
    <w:rsid w:val="005E19C3"/>
    <w:rsid w:val="005E1C59"/>
    <w:rsid w:val="005E22DB"/>
    <w:rsid w:val="005E4031"/>
    <w:rsid w:val="005E55A2"/>
    <w:rsid w:val="005E5712"/>
    <w:rsid w:val="005E5DA0"/>
    <w:rsid w:val="005E793D"/>
    <w:rsid w:val="005F0C8C"/>
    <w:rsid w:val="005F10D8"/>
    <w:rsid w:val="005F1DF7"/>
    <w:rsid w:val="005F1E86"/>
    <w:rsid w:val="005F29BA"/>
    <w:rsid w:val="005F2C5C"/>
    <w:rsid w:val="005F3782"/>
    <w:rsid w:val="005F3B6B"/>
    <w:rsid w:val="005F41B3"/>
    <w:rsid w:val="005F6541"/>
    <w:rsid w:val="005F6BCB"/>
    <w:rsid w:val="005F7417"/>
    <w:rsid w:val="005F77DB"/>
    <w:rsid w:val="00600496"/>
    <w:rsid w:val="00600EB4"/>
    <w:rsid w:val="00600F11"/>
    <w:rsid w:val="00601AC4"/>
    <w:rsid w:val="00603857"/>
    <w:rsid w:val="00603D8A"/>
    <w:rsid w:val="006068CC"/>
    <w:rsid w:val="00606FA8"/>
    <w:rsid w:val="0061409F"/>
    <w:rsid w:val="00614138"/>
    <w:rsid w:val="0062095E"/>
    <w:rsid w:val="006209A6"/>
    <w:rsid w:val="00620BAB"/>
    <w:rsid w:val="006219BA"/>
    <w:rsid w:val="00622418"/>
    <w:rsid w:val="0062349A"/>
    <w:rsid w:val="00624097"/>
    <w:rsid w:val="00624E1D"/>
    <w:rsid w:val="00633CE5"/>
    <w:rsid w:val="00634DDC"/>
    <w:rsid w:val="0063520A"/>
    <w:rsid w:val="00635F54"/>
    <w:rsid w:val="00636996"/>
    <w:rsid w:val="00640918"/>
    <w:rsid w:val="006409E6"/>
    <w:rsid w:val="006413C9"/>
    <w:rsid w:val="00641A5C"/>
    <w:rsid w:val="00641C12"/>
    <w:rsid w:val="00643829"/>
    <w:rsid w:val="00643E6A"/>
    <w:rsid w:val="00647F03"/>
    <w:rsid w:val="006515F2"/>
    <w:rsid w:val="00651E2B"/>
    <w:rsid w:val="00651F35"/>
    <w:rsid w:val="00652889"/>
    <w:rsid w:val="0065485E"/>
    <w:rsid w:val="0065648B"/>
    <w:rsid w:val="00660912"/>
    <w:rsid w:val="00662949"/>
    <w:rsid w:val="0066450B"/>
    <w:rsid w:val="00664563"/>
    <w:rsid w:val="006667F3"/>
    <w:rsid w:val="00666DB9"/>
    <w:rsid w:val="00671E02"/>
    <w:rsid w:val="00672CAF"/>
    <w:rsid w:val="00675390"/>
    <w:rsid w:val="006804D4"/>
    <w:rsid w:val="00682312"/>
    <w:rsid w:val="006824A2"/>
    <w:rsid w:val="0068263A"/>
    <w:rsid w:val="00682720"/>
    <w:rsid w:val="00684599"/>
    <w:rsid w:val="00691C6F"/>
    <w:rsid w:val="00692D59"/>
    <w:rsid w:val="00694C9C"/>
    <w:rsid w:val="00694D29"/>
    <w:rsid w:val="006952E1"/>
    <w:rsid w:val="006953C2"/>
    <w:rsid w:val="00696F08"/>
    <w:rsid w:val="006A0E43"/>
    <w:rsid w:val="006A421F"/>
    <w:rsid w:val="006A677D"/>
    <w:rsid w:val="006A7657"/>
    <w:rsid w:val="006B25E2"/>
    <w:rsid w:val="006B2870"/>
    <w:rsid w:val="006B52FB"/>
    <w:rsid w:val="006B5D73"/>
    <w:rsid w:val="006B6224"/>
    <w:rsid w:val="006B7602"/>
    <w:rsid w:val="006C0271"/>
    <w:rsid w:val="006C04BF"/>
    <w:rsid w:val="006C11BC"/>
    <w:rsid w:val="006C24CC"/>
    <w:rsid w:val="006C2D98"/>
    <w:rsid w:val="006C4582"/>
    <w:rsid w:val="006C7F6C"/>
    <w:rsid w:val="006D028E"/>
    <w:rsid w:val="006D3CB3"/>
    <w:rsid w:val="006D402D"/>
    <w:rsid w:val="006D411F"/>
    <w:rsid w:val="006D47AB"/>
    <w:rsid w:val="006D7F63"/>
    <w:rsid w:val="006E4FF9"/>
    <w:rsid w:val="006E5422"/>
    <w:rsid w:val="006E5A86"/>
    <w:rsid w:val="006E7B04"/>
    <w:rsid w:val="006F0448"/>
    <w:rsid w:val="006F3845"/>
    <w:rsid w:val="006F3C0D"/>
    <w:rsid w:val="006F3C22"/>
    <w:rsid w:val="006F4012"/>
    <w:rsid w:val="006F4860"/>
    <w:rsid w:val="006F6C75"/>
    <w:rsid w:val="006F7246"/>
    <w:rsid w:val="006F7292"/>
    <w:rsid w:val="007023FB"/>
    <w:rsid w:val="00702A22"/>
    <w:rsid w:val="00703073"/>
    <w:rsid w:val="00703D64"/>
    <w:rsid w:val="00704F25"/>
    <w:rsid w:val="00711A26"/>
    <w:rsid w:val="00714AB7"/>
    <w:rsid w:val="0071586A"/>
    <w:rsid w:val="00726AEB"/>
    <w:rsid w:val="00726CE9"/>
    <w:rsid w:val="0073111E"/>
    <w:rsid w:val="007376CA"/>
    <w:rsid w:val="007406DB"/>
    <w:rsid w:val="00740971"/>
    <w:rsid w:val="007410C0"/>
    <w:rsid w:val="00743C99"/>
    <w:rsid w:val="007459DC"/>
    <w:rsid w:val="00746A2A"/>
    <w:rsid w:val="007471AA"/>
    <w:rsid w:val="0074759A"/>
    <w:rsid w:val="007503A6"/>
    <w:rsid w:val="007506AA"/>
    <w:rsid w:val="0075282F"/>
    <w:rsid w:val="007529DE"/>
    <w:rsid w:val="00753093"/>
    <w:rsid w:val="007534E0"/>
    <w:rsid w:val="00754EB6"/>
    <w:rsid w:val="00755765"/>
    <w:rsid w:val="00755A3B"/>
    <w:rsid w:val="007567EC"/>
    <w:rsid w:val="00761FB9"/>
    <w:rsid w:val="00762C51"/>
    <w:rsid w:val="00763AC6"/>
    <w:rsid w:val="0076422C"/>
    <w:rsid w:val="00764A1B"/>
    <w:rsid w:val="00764B52"/>
    <w:rsid w:val="00765AA5"/>
    <w:rsid w:val="00767822"/>
    <w:rsid w:val="00770967"/>
    <w:rsid w:val="00773998"/>
    <w:rsid w:val="00774B9C"/>
    <w:rsid w:val="00774F24"/>
    <w:rsid w:val="007800B8"/>
    <w:rsid w:val="00780C0D"/>
    <w:rsid w:val="00782558"/>
    <w:rsid w:val="00785A45"/>
    <w:rsid w:val="00786B54"/>
    <w:rsid w:val="00787566"/>
    <w:rsid w:val="00790669"/>
    <w:rsid w:val="0079082B"/>
    <w:rsid w:val="0079084B"/>
    <w:rsid w:val="007910D8"/>
    <w:rsid w:val="007927DB"/>
    <w:rsid w:val="00792EAD"/>
    <w:rsid w:val="00793B71"/>
    <w:rsid w:val="00793EE7"/>
    <w:rsid w:val="007967C0"/>
    <w:rsid w:val="00797AC3"/>
    <w:rsid w:val="007A1578"/>
    <w:rsid w:val="007A17B9"/>
    <w:rsid w:val="007A4A06"/>
    <w:rsid w:val="007A4C20"/>
    <w:rsid w:val="007A7CA5"/>
    <w:rsid w:val="007B2080"/>
    <w:rsid w:val="007B2D1B"/>
    <w:rsid w:val="007B3B27"/>
    <w:rsid w:val="007B57EB"/>
    <w:rsid w:val="007C346F"/>
    <w:rsid w:val="007C5554"/>
    <w:rsid w:val="007C6BB9"/>
    <w:rsid w:val="007D0254"/>
    <w:rsid w:val="007D19C7"/>
    <w:rsid w:val="007D1B14"/>
    <w:rsid w:val="007D20E3"/>
    <w:rsid w:val="007D2ABA"/>
    <w:rsid w:val="007D2C35"/>
    <w:rsid w:val="007D3436"/>
    <w:rsid w:val="007D45A3"/>
    <w:rsid w:val="007D5A09"/>
    <w:rsid w:val="007D6631"/>
    <w:rsid w:val="007D742F"/>
    <w:rsid w:val="007E164B"/>
    <w:rsid w:val="007E1C4F"/>
    <w:rsid w:val="007E1D1A"/>
    <w:rsid w:val="007E3F1D"/>
    <w:rsid w:val="007E4C83"/>
    <w:rsid w:val="007E6B97"/>
    <w:rsid w:val="007E73A0"/>
    <w:rsid w:val="007E7B0F"/>
    <w:rsid w:val="007E7BE6"/>
    <w:rsid w:val="007E7F70"/>
    <w:rsid w:val="007F19E9"/>
    <w:rsid w:val="007F1C41"/>
    <w:rsid w:val="007F2E7F"/>
    <w:rsid w:val="007F3E2D"/>
    <w:rsid w:val="007F45B0"/>
    <w:rsid w:val="007F49A4"/>
    <w:rsid w:val="007F5F5C"/>
    <w:rsid w:val="007F6BB0"/>
    <w:rsid w:val="007F7A02"/>
    <w:rsid w:val="00800155"/>
    <w:rsid w:val="00801378"/>
    <w:rsid w:val="00803A2E"/>
    <w:rsid w:val="00805451"/>
    <w:rsid w:val="00806796"/>
    <w:rsid w:val="008128E5"/>
    <w:rsid w:val="0081292F"/>
    <w:rsid w:val="008129D5"/>
    <w:rsid w:val="008132AA"/>
    <w:rsid w:val="00813A5D"/>
    <w:rsid w:val="00816AD2"/>
    <w:rsid w:val="00824FFC"/>
    <w:rsid w:val="00826A49"/>
    <w:rsid w:val="00826EAC"/>
    <w:rsid w:val="0082721D"/>
    <w:rsid w:val="00830E6B"/>
    <w:rsid w:val="0083158F"/>
    <w:rsid w:val="008340E0"/>
    <w:rsid w:val="00834612"/>
    <w:rsid w:val="00835240"/>
    <w:rsid w:val="008416C1"/>
    <w:rsid w:val="00841F79"/>
    <w:rsid w:val="00843C5B"/>
    <w:rsid w:val="008440C9"/>
    <w:rsid w:val="008445A3"/>
    <w:rsid w:val="0084497F"/>
    <w:rsid w:val="00844D46"/>
    <w:rsid w:val="00847849"/>
    <w:rsid w:val="00847DC2"/>
    <w:rsid w:val="00857932"/>
    <w:rsid w:val="00862A38"/>
    <w:rsid w:val="008637A0"/>
    <w:rsid w:val="00867B38"/>
    <w:rsid w:val="00870FE3"/>
    <w:rsid w:val="00871123"/>
    <w:rsid w:val="0087124F"/>
    <w:rsid w:val="00873396"/>
    <w:rsid w:val="0087350A"/>
    <w:rsid w:val="008740DC"/>
    <w:rsid w:val="00874F98"/>
    <w:rsid w:val="00875D21"/>
    <w:rsid w:val="008764BB"/>
    <w:rsid w:val="00876BB0"/>
    <w:rsid w:val="00880CEC"/>
    <w:rsid w:val="008810F4"/>
    <w:rsid w:val="00881F27"/>
    <w:rsid w:val="00882B1C"/>
    <w:rsid w:val="0088333F"/>
    <w:rsid w:val="00883914"/>
    <w:rsid w:val="00885352"/>
    <w:rsid w:val="00890503"/>
    <w:rsid w:val="0089055B"/>
    <w:rsid w:val="00890B7C"/>
    <w:rsid w:val="008910A5"/>
    <w:rsid w:val="00894080"/>
    <w:rsid w:val="008945EE"/>
    <w:rsid w:val="008953BC"/>
    <w:rsid w:val="00896BE2"/>
    <w:rsid w:val="008977D2"/>
    <w:rsid w:val="008A0FCE"/>
    <w:rsid w:val="008A16D6"/>
    <w:rsid w:val="008A35B6"/>
    <w:rsid w:val="008A3C98"/>
    <w:rsid w:val="008A48E1"/>
    <w:rsid w:val="008A49D6"/>
    <w:rsid w:val="008A50F6"/>
    <w:rsid w:val="008A5F83"/>
    <w:rsid w:val="008A6D8A"/>
    <w:rsid w:val="008A76BB"/>
    <w:rsid w:val="008B16AE"/>
    <w:rsid w:val="008B2F0C"/>
    <w:rsid w:val="008B4300"/>
    <w:rsid w:val="008B4949"/>
    <w:rsid w:val="008B4A8F"/>
    <w:rsid w:val="008B4E05"/>
    <w:rsid w:val="008B768F"/>
    <w:rsid w:val="008C0736"/>
    <w:rsid w:val="008C347C"/>
    <w:rsid w:val="008C3897"/>
    <w:rsid w:val="008C434F"/>
    <w:rsid w:val="008C4651"/>
    <w:rsid w:val="008C6EA1"/>
    <w:rsid w:val="008C7CB0"/>
    <w:rsid w:val="008D00D9"/>
    <w:rsid w:val="008D0B2B"/>
    <w:rsid w:val="008D2CFF"/>
    <w:rsid w:val="008D34F9"/>
    <w:rsid w:val="008D3A41"/>
    <w:rsid w:val="008D4AF9"/>
    <w:rsid w:val="008D4F53"/>
    <w:rsid w:val="008D5D9D"/>
    <w:rsid w:val="008D6DD2"/>
    <w:rsid w:val="008D73C7"/>
    <w:rsid w:val="008E0A10"/>
    <w:rsid w:val="008E0B14"/>
    <w:rsid w:val="008E3C26"/>
    <w:rsid w:val="008E62AD"/>
    <w:rsid w:val="008E77DA"/>
    <w:rsid w:val="008F02D1"/>
    <w:rsid w:val="008F23CF"/>
    <w:rsid w:val="008F485E"/>
    <w:rsid w:val="008F4CE4"/>
    <w:rsid w:val="008F53E0"/>
    <w:rsid w:val="008F5D1E"/>
    <w:rsid w:val="009003E6"/>
    <w:rsid w:val="0090093E"/>
    <w:rsid w:val="00901454"/>
    <w:rsid w:val="00901B89"/>
    <w:rsid w:val="00902066"/>
    <w:rsid w:val="009031D4"/>
    <w:rsid w:val="00907168"/>
    <w:rsid w:val="009079E2"/>
    <w:rsid w:val="00907EC7"/>
    <w:rsid w:val="00910EA7"/>
    <w:rsid w:val="0091173D"/>
    <w:rsid w:val="00912006"/>
    <w:rsid w:val="009122B3"/>
    <w:rsid w:val="00912A7D"/>
    <w:rsid w:val="00915E86"/>
    <w:rsid w:val="00917E9F"/>
    <w:rsid w:val="00922907"/>
    <w:rsid w:val="00922A9F"/>
    <w:rsid w:val="00924F85"/>
    <w:rsid w:val="00926167"/>
    <w:rsid w:val="009272A0"/>
    <w:rsid w:val="0092796B"/>
    <w:rsid w:val="00927EE8"/>
    <w:rsid w:val="009314A4"/>
    <w:rsid w:val="00931BE1"/>
    <w:rsid w:val="00931EB5"/>
    <w:rsid w:val="00932AE1"/>
    <w:rsid w:val="00933B6D"/>
    <w:rsid w:val="0093457B"/>
    <w:rsid w:val="00935005"/>
    <w:rsid w:val="00935AF0"/>
    <w:rsid w:val="0093756A"/>
    <w:rsid w:val="00937D19"/>
    <w:rsid w:val="00940125"/>
    <w:rsid w:val="00942B3D"/>
    <w:rsid w:val="00943D0E"/>
    <w:rsid w:val="00944D95"/>
    <w:rsid w:val="00947119"/>
    <w:rsid w:val="00950B82"/>
    <w:rsid w:val="009511BB"/>
    <w:rsid w:val="00952089"/>
    <w:rsid w:val="0095240E"/>
    <w:rsid w:val="00954C04"/>
    <w:rsid w:val="00955DAC"/>
    <w:rsid w:val="00956A40"/>
    <w:rsid w:val="00960117"/>
    <w:rsid w:val="009616B1"/>
    <w:rsid w:val="00961988"/>
    <w:rsid w:val="00962982"/>
    <w:rsid w:val="00963518"/>
    <w:rsid w:val="009660EC"/>
    <w:rsid w:val="009662DE"/>
    <w:rsid w:val="00966547"/>
    <w:rsid w:val="00971C10"/>
    <w:rsid w:val="009727FA"/>
    <w:rsid w:val="00974110"/>
    <w:rsid w:val="00975010"/>
    <w:rsid w:val="00975A55"/>
    <w:rsid w:val="00975ED3"/>
    <w:rsid w:val="009767E2"/>
    <w:rsid w:val="0098325D"/>
    <w:rsid w:val="00983BC5"/>
    <w:rsid w:val="009844C9"/>
    <w:rsid w:val="00986890"/>
    <w:rsid w:val="00986C1C"/>
    <w:rsid w:val="00991643"/>
    <w:rsid w:val="00992C3F"/>
    <w:rsid w:val="00994916"/>
    <w:rsid w:val="00995913"/>
    <w:rsid w:val="009977A8"/>
    <w:rsid w:val="009A04B9"/>
    <w:rsid w:val="009A0A29"/>
    <w:rsid w:val="009A12F5"/>
    <w:rsid w:val="009A3A4E"/>
    <w:rsid w:val="009A4737"/>
    <w:rsid w:val="009A49EC"/>
    <w:rsid w:val="009A4F78"/>
    <w:rsid w:val="009A5622"/>
    <w:rsid w:val="009B0363"/>
    <w:rsid w:val="009B0426"/>
    <w:rsid w:val="009B16F4"/>
    <w:rsid w:val="009B1905"/>
    <w:rsid w:val="009B1AFC"/>
    <w:rsid w:val="009B2965"/>
    <w:rsid w:val="009B6F43"/>
    <w:rsid w:val="009B77ED"/>
    <w:rsid w:val="009C0DB5"/>
    <w:rsid w:val="009C3CF6"/>
    <w:rsid w:val="009C4E64"/>
    <w:rsid w:val="009C7CBE"/>
    <w:rsid w:val="009D04F0"/>
    <w:rsid w:val="009D1B10"/>
    <w:rsid w:val="009D210C"/>
    <w:rsid w:val="009D2B73"/>
    <w:rsid w:val="009D37F0"/>
    <w:rsid w:val="009D38AA"/>
    <w:rsid w:val="009D3D8A"/>
    <w:rsid w:val="009D4412"/>
    <w:rsid w:val="009D5F8A"/>
    <w:rsid w:val="009D6F23"/>
    <w:rsid w:val="009D786F"/>
    <w:rsid w:val="009D7C47"/>
    <w:rsid w:val="009D7CED"/>
    <w:rsid w:val="009D7FD9"/>
    <w:rsid w:val="009E06D2"/>
    <w:rsid w:val="009E09F6"/>
    <w:rsid w:val="009E1AE6"/>
    <w:rsid w:val="009E2509"/>
    <w:rsid w:val="009E2B99"/>
    <w:rsid w:val="009E2CF0"/>
    <w:rsid w:val="009E431F"/>
    <w:rsid w:val="009E5F18"/>
    <w:rsid w:val="009F13DB"/>
    <w:rsid w:val="009F39C2"/>
    <w:rsid w:val="009F3C8D"/>
    <w:rsid w:val="009F41BA"/>
    <w:rsid w:val="00A00128"/>
    <w:rsid w:val="00A005C5"/>
    <w:rsid w:val="00A00C0F"/>
    <w:rsid w:val="00A0277B"/>
    <w:rsid w:val="00A03196"/>
    <w:rsid w:val="00A03364"/>
    <w:rsid w:val="00A034A2"/>
    <w:rsid w:val="00A03D14"/>
    <w:rsid w:val="00A0528F"/>
    <w:rsid w:val="00A077B0"/>
    <w:rsid w:val="00A10237"/>
    <w:rsid w:val="00A102D2"/>
    <w:rsid w:val="00A15343"/>
    <w:rsid w:val="00A15456"/>
    <w:rsid w:val="00A161E3"/>
    <w:rsid w:val="00A17E5F"/>
    <w:rsid w:val="00A20711"/>
    <w:rsid w:val="00A22234"/>
    <w:rsid w:val="00A22524"/>
    <w:rsid w:val="00A310EA"/>
    <w:rsid w:val="00A31425"/>
    <w:rsid w:val="00A326CB"/>
    <w:rsid w:val="00A3295D"/>
    <w:rsid w:val="00A32A4E"/>
    <w:rsid w:val="00A331CA"/>
    <w:rsid w:val="00A338C8"/>
    <w:rsid w:val="00A33F16"/>
    <w:rsid w:val="00A3698F"/>
    <w:rsid w:val="00A4102B"/>
    <w:rsid w:val="00A43619"/>
    <w:rsid w:val="00A43C6A"/>
    <w:rsid w:val="00A44114"/>
    <w:rsid w:val="00A460F8"/>
    <w:rsid w:val="00A461AD"/>
    <w:rsid w:val="00A464E6"/>
    <w:rsid w:val="00A5194C"/>
    <w:rsid w:val="00A547E7"/>
    <w:rsid w:val="00A550E9"/>
    <w:rsid w:val="00A55200"/>
    <w:rsid w:val="00A55B48"/>
    <w:rsid w:val="00A55FF8"/>
    <w:rsid w:val="00A564F3"/>
    <w:rsid w:val="00A565B4"/>
    <w:rsid w:val="00A57B94"/>
    <w:rsid w:val="00A61716"/>
    <w:rsid w:val="00A6207F"/>
    <w:rsid w:val="00A65C32"/>
    <w:rsid w:val="00A7020C"/>
    <w:rsid w:val="00A71946"/>
    <w:rsid w:val="00A72AE4"/>
    <w:rsid w:val="00A75848"/>
    <w:rsid w:val="00A75A2A"/>
    <w:rsid w:val="00A76831"/>
    <w:rsid w:val="00A80591"/>
    <w:rsid w:val="00A81B40"/>
    <w:rsid w:val="00A821EF"/>
    <w:rsid w:val="00A8322C"/>
    <w:rsid w:val="00A8742B"/>
    <w:rsid w:val="00A87DA6"/>
    <w:rsid w:val="00A90720"/>
    <w:rsid w:val="00A920BB"/>
    <w:rsid w:val="00A92AFA"/>
    <w:rsid w:val="00A93CFA"/>
    <w:rsid w:val="00A9564E"/>
    <w:rsid w:val="00A9656F"/>
    <w:rsid w:val="00A97959"/>
    <w:rsid w:val="00AA304A"/>
    <w:rsid w:val="00AA5D46"/>
    <w:rsid w:val="00AA5E63"/>
    <w:rsid w:val="00AB2F06"/>
    <w:rsid w:val="00AB3871"/>
    <w:rsid w:val="00AB414B"/>
    <w:rsid w:val="00AB41E1"/>
    <w:rsid w:val="00AB4870"/>
    <w:rsid w:val="00AB5269"/>
    <w:rsid w:val="00AB57A7"/>
    <w:rsid w:val="00AB62C7"/>
    <w:rsid w:val="00AC0E81"/>
    <w:rsid w:val="00AC16BC"/>
    <w:rsid w:val="00AC27B7"/>
    <w:rsid w:val="00AC30FE"/>
    <w:rsid w:val="00AD1F8D"/>
    <w:rsid w:val="00AD2637"/>
    <w:rsid w:val="00AD4A0D"/>
    <w:rsid w:val="00AD4EEF"/>
    <w:rsid w:val="00AD51C8"/>
    <w:rsid w:val="00AD5913"/>
    <w:rsid w:val="00AD5F0D"/>
    <w:rsid w:val="00AD609B"/>
    <w:rsid w:val="00AD63DD"/>
    <w:rsid w:val="00AD769E"/>
    <w:rsid w:val="00AE1BC6"/>
    <w:rsid w:val="00AE2A71"/>
    <w:rsid w:val="00AE2FF0"/>
    <w:rsid w:val="00AE3DBE"/>
    <w:rsid w:val="00AE4966"/>
    <w:rsid w:val="00AE5225"/>
    <w:rsid w:val="00AE54A3"/>
    <w:rsid w:val="00AF0517"/>
    <w:rsid w:val="00AF279E"/>
    <w:rsid w:val="00AF4C77"/>
    <w:rsid w:val="00AF4E52"/>
    <w:rsid w:val="00AF60C2"/>
    <w:rsid w:val="00AF63CD"/>
    <w:rsid w:val="00AF70C4"/>
    <w:rsid w:val="00AF77AD"/>
    <w:rsid w:val="00B00689"/>
    <w:rsid w:val="00B00F63"/>
    <w:rsid w:val="00B013AD"/>
    <w:rsid w:val="00B01AF8"/>
    <w:rsid w:val="00B020A1"/>
    <w:rsid w:val="00B0296D"/>
    <w:rsid w:val="00B06F28"/>
    <w:rsid w:val="00B10797"/>
    <w:rsid w:val="00B10EBA"/>
    <w:rsid w:val="00B10F1D"/>
    <w:rsid w:val="00B1171C"/>
    <w:rsid w:val="00B1423B"/>
    <w:rsid w:val="00B14407"/>
    <w:rsid w:val="00B14746"/>
    <w:rsid w:val="00B1534B"/>
    <w:rsid w:val="00B16F54"/>
    <w:rsid w:val="00B204C8"/>
    <w:rsid w:val="00B20537"/>
    <w:rsid w:val="00B2079E"/>
    <w:rsid w:val="00B21078"/>
    <w:rsid w:val="00B21DCC"/>
    <w:rsid w:val="00B22AE5"/>
    <w:rsid w:val="00B24E47"/>
    <w:rsid w:val="00B26732"/>
    <w:rsid w:val="00B26B2C"/>
    <w:rsid w:val="00B27AC7"/>
    <w:rsid w:val="00B30886"/>
    <w:rsid w:val="00B329AE"/>
    <w:rsid w:val="00B35184"/>
    <w:rsid w:val="00B35305"/>
    <w:rsid w:val="00B369E6"/>
    <w:rsid w:val="00B407DD"/>
    <w:rsid w:val="00B40929"/>
    <w:rsid w:val="00B4208A"/>
    <w:rsid w:val="00B427CD"/>
    <w:rsid w:val="00B458BC"/>
    <w:rsid w:val="00B47529"/>
    <w:rsid w:val="00B50743"/>
    <w:rsid w:val="00B51B13"/>
    <w:rsid w:val="00B52458"/>
    <w:rsid w:val="00B52723"/>
    <w:rsid w:val="00B53321"/>
    <w:rsid w:val="00B54247"/>
    <w:rsid w:val="00B55EC1"/>
    <w:rsid w:val="00B571A2"/>
    <w:rsid w:val="00B608E5"/>
    <w:rsid w:val="00B62545"/>
    <w:rsid w:val="00B66C2C"/>
    <w:rsid w:val="00B70AE7"/>
    <w:rsid w:val="00B70C6D"/>
    <w:rsid w:val="00B72405"/>
    <w:rsid w:val="00B72A51"/>
    <w:rsid w:val="00B73947"/>
    <w:rsid w:val="00B74E8D"/>
    <w:rsid w:val="00B7591E"/>
    <w:rsid w:val="00B75F44"/>
    <w:rsid w:val="00B75FEB"/>
    <w:rsid w:val="00B80A80"/>
    <w:rsid w:val="00B818AB"/>
    <w:rsid w:val="00B81FE4"/>
    <w:rsid w:val="00B832D3"/>
    <w:rsid w:val="00B84697"/>
    <w:rsid w:val="00B84D14"/>
    <w:rsid w:val="00B86A8A"/>
    <w:rsid w:val="00B86AA2"/>
    <w:rsid w:val="00B90616"/>
    <w:rsid w:val="00B91ABC"/>
    <w:rsid w:val="00B91DCA"/>
    <w:rsid w:val="00B92274"/>
    <w:rsid w:val="00B939B2"/>
    <w:rsid w:val="00B944EB"/>
    <w:rsid w:val="00B95E1D"/>
    <w:rsid w:val="00B963FD"/>
    <w:rsid w:val="00BA0961"/>
    <w:rsid w:val="00BA097B"/>
    <w:rsid w:val="00BA34E2"/>
    <w:rsid w:val="00BA3678"/>
    <w:rsid w:val="00BA5727"/>
    <w:rsid w:val="00BA5B54"/>
    <w:rsid w:val="00BA5F65"/>
    <w:rsid w:val="00BA7CD7"/>
    <w:rsid w:val="00BB01EA"/>
    <w:rsid w:val="00BB10C4"/>
    <w:rsid w:val="00BB2208"/>
    <w:rsid w:val="00BB27CA"/>
    <w:rsid w:val="00BB3716"/>
    <w:rsid w:val="00BB522F"/>
    <w:rsid w:val="00BB7CFD"/>
    <w:rsid w:val="00BC08C7"/>
    <w:rsid w:val="00BC0D24"/>
    <w:rsid w:val="00BC1807"/>
    <w:rsid w:val="00BC3143"/>
    <w:rsid w:val="00BC642B"/>
    <w:rsid w:val="00BD1EDB"/>
    <w:rsid w:val="00BD366E"/>
    <w:rsid w:val="00BD366F"/>
    <w:rsid w:val="00BD46C9"/>
    <w:rsid w:val="00BD5DCD"/>
    <w:rsid w:val="00BE2AF9"/>
    <w:rsid w:val="00BE312F"/>
    <w:rsid w:val="00BE4AED"/>
    <w:rsid w:val="00BE5DA0"/>
    <w:rsid w:val="00BE6AAC"/>
    <w:rsid w:val="00BF27EB"/>
    <w:rsid w:val="00BF2887"/>
    <w:rsid w:val="00BF46D2"/>
    <w:rsid w:val="00BF47A2"/>
    <w:rsid w:val="00BF5EB1"/>
    <w:rsid w:val="00BF68F4"/>
    <w:rsid w:val="00C00795"/>
    <w:rsid w:val="00C0182A"/>
    <w:rsid w:val="00C037A9"/>
    <w:rsid w:val="00C0550F"/>
    <w:rsid w:val="00C05739"/>
    <w:rsid w:val="00C059DD"/>
    <w:rsid w:val="00C05AB9"/>
    <w:rsid w:val="00C060CB"/>
    <w:rsid w:val="00C06217"/>
    <w:rsid w:val="00C062DA"/>
    <w:rsid w:val="00C10E7B"/>
    <w:rsid w:val="00C114FC"/>
    <w:rsid w:val="00C12042"/>
    <w:rsid w:val="00C126A9"/>
    <w:rsid w:val="00C12868"/>
    <w:rsid w:val="00C1297E"/>
    <w:rsid w:val="00C13D90"/>
    <w:rsid w:val="00C13F54"/>
    <w:rsid w:val="00C155B7"/>
    <w:rsid w:val="00C16E6D"/>
    <w:rsid w:val="00C178E8"/>
    <w:rsid w:val="00C2222D"/>
    <w:rsid w:val="00C22B05"/>
    <w:rsid w:val="00C22D45"/>
    <w:rsid w:val="00C23E1D"/>
    <w:rsid w:val="00C2481C"/>
    <w:rsid w:val="00C25A35"/>
    <w:rsid w:val="00C260DA"/>
    <w:rsid w:val="00C26248"/>
    <w:rsid w:val="00C26457"/>
    <w:rsid w:val="00C27802"/>
    <w:rsid w:val="00C339A6"/>
    <w:rsid w:val="00C34201"/>
    <w:rsid w:val="00C35E5C"/>
    <w:rsid w:val="00C3647B"/>
    <w:rsid w:val="00C40A16"/>
    <w:rsid w:val="00C40B2B"/>
    <w:rsid w:val="00C40C43"/>
    <w:rsid w:val="00C44A79"/>
    <w:rsid w:val="00C463C2"/>
    <w:rsid w:val="00C501D9"/>
    <w:rsid w:val="00C5368F"/>
    <w:rsid w:val="00C54525"/>
    <w:rsid w:val="00C54582"/>
    <w:rsid w:val="00C5464C"/>
    <w:rsid w:val="00C62610"/>
    <w:rsid w:val="00C6343B"/>
    <w:rsid w:val="00C64B9D"/>
    <w:rsid w:val="00C64C05"/>
    <w:rsid w:val="00C663FA"/>
    <w:rsid w:val="00C66FBD"/>
    <w:rsid w:val="00C671CB"/>
    <w:rsid w:val="00C72651"/>
    <w:rsid w:val="00C741BD"/>
    <w:rsid w:val="00C75478"/>
    <w:rsid w:val="00C80394"/>
    <w:rsid w:val="00C80CBE"/>
    <w:rsid w:val="00C82807"/>
    <w:rsid w:val="00C83C66"/>
    <w:rsid w:val="00C853A9"/>
    <w:rsid w:val="00C8614C"/>
    <w:rsid w:val="00C91AC0"/>
    <w:rsid w:val="00C92720"/>
    <w:rsid w:val="00C92A33"/>
    <w:rsid w:val="00C93DC0"/>
    <w:rsid w:val="00C96701"/>
    <w:rsid w:val="00C97496"/>
    <w:rsid w:val="00C97564"/>
    <w:rsid w:val="00C977BD"/>
    <w:rsid w:val="00C97BBA"/>
    <w:rsid w:val="00CA0DAE"/>
    <w:rsid w:val="00CA7100"/>
    <w:rsid w:val="00CB11E5"/>
    <w:rsid w:val="00CB1D80"/>
    <w:rsid w:val="00CB2483"/>
    <w:rsid w:val="00CB5FB5"/>
    <w:rsid w:val="00CB63B1"/>
    <w:rsid w:val="00CB6892"/>
    <w:rsid w:val="00CC57AA"/>
    <w:rsid w:val="00CC656B"/>
    <w:rsid w:val="00CD279D"/>
    <w:rsid w:val="00CD28BF"/>
    <w:rsid w:val="00CD2CE8"/>
    <w:rsid w:val="00CD327D"/>
    <w:rsid w:val="00CD468B"/>
    <w:rsid w:val="00CD477F"/>
    <w:rsid w:val="00CD74DD"/>
    <w:rsid w:val="00CD7501"/>
    <w:rsid w:val="00CD7667"/>
    <w:rsid w:val="00CE247E"/>
    <w:rsid w:val="00CE6290"/>
    <w:rsid w:val="00CE7845"/>
    <w:rsid w:val="00CF1830"/>
    <w:rsid w:val="00CF1E6A"/>
    <w:rsid w:val="00CF4295"/>
    <w:rsid w:val="00CF432E"/>
    <w:rsid w:val="00CF57CC"/>
    <w:rsid w:val="00CF5FF0"/>
    <w:rsid w:val="00CF6A5C"/>
    <w:rsid w:val="00CF6CD6"/>
    <w:rsid w:val="00CF7D33"/>
    <w:rsid w:val="00D0059B"/>
    <w:rsid w:val="00D015B8"/>
    <w:rsid w:val="00D01730"/>
    <w:rsid w:val="00D01797"/>
    <w:rsid w:val="00D01A37"/>
    <w:rsid w:val="00D03261"/>
    <w:rsid w:val="00D03F04"/>
    <w:rsid w:val="00D06085"/>
    <w:rsid w:val="00D075B0"/>
    <w:rsid w:val="00D10A23"/>
    <w:rsid w:val="00D10C0E"/>
    <w:rsid w:val="00D12B89"/>
    <w:rsid w:val="00D1521C"/>
    <w:rsid w:val="00D153F1"/>
    <w:rsid w:val="00D157F6"/>
    <w:rsid w:val="00D17443"/>
    <w:rsid w:val="00D177AA"/>
    <w:rsid w:val="00D201B4"/>
    <w:rsid w:val="00D20475"/>
    <w:rsid w:val="00D2098F"/>
    <w:rsid w:val="00D221D4"/>
    <w:rsid w:val="00D225EF"/>
    <w:rsid w:val="00D23738"/>
    <w:rsid w:val="00D239A7"/>
    <w:rsid w:val="00D2569B"/>
    <w:rsid w:val="00D25AE2"/>
    <w:rsid w:val="00D30036"/>
    <w:rsid w:val="00D30411"/>
    <w:rsid w:val="00D327AE"/>
    <w:rsid w:val="00D348DF"/>
    <w:rsid w:val="00D3509B"/>
    <w:rsid w:val="00D35111"/>
    <w:rsid w:val="00D35B52"/>
    <w:rsid w:val="00D36CD8"/>
    <w:rsid w:val="00D40196"/>
    <w:rsid w:val="00D42C03"/>
    <w:rsid w:val="00D50564"/>
    <w:rsid w:val="00D511AE"/>
    <w:rsid w:val="00D519D1"/>
    <w:rsid w:val="00D51D1B"/>
    <w:rsid w:val="00D525FC"/>
    <w:rsid w:val="00D54BB9"/>
    <w:rsid w:val="00D573D6"/>
    <w:rsid w:val="00D60E69"/>
    <w:rsid w:val="00D61A38"/>
    <w:rsid w:val="00D6244C"/>
    <w:rsid w:val="00D6329E"/>
    <w:rsid w:val="00D63F21"/>
    <w:rsid w:val="00D653CF"/>
    <w:rsid w:val="00D65D9E"/>
    <w:rsid w:val="00D729A7"/>
    <w:rsid w:val="00D72DA6"/>
    <w:rsid w:val="00D72DF9"/>
    <w:rsid w:val="00D7326D"/>
    <w:rsid w:val="00D7412C"/>
    <w:rsid w:val="00D75152"/>
    <w:rsid w:val="00D76A37"/>
    <w:rsid w:val="00D82668"/>
    <w:rsid w:val="00D828B5"/>
    <w:rsid w:val="00D82B7E"/>
    <w:rsid w:val="00D8397E"/>
    <w:rsid w:val="00D842C1"/>
    <w:rsid w:val="00D86AD0"/>
    <w:rsid w:val="00D86D40"/>
    <w:rsid w:val="00D91DCF"/>
    <w:rsid w:val="00D92D87"/>
    <w:rsid w:val="00D92EA1"/>
    <w:rsid w:val="00D9368D"/>
    <w:rsid w:val="00D94260"/>
    <w:rsid w:val="00D978BD"/>
    <w:rsid w:val="00DA070C"/>
    <w:rsid w:val="00DA0872"/>
    <w:rsid w:val="00DA0D07"/>
    <w:rsid w:val="00DA2088"/>
    <w:rsid w:val="00DA247C"/>
    <w:rsid w:val="00DA2BE6"/>
    <w:rsid w:val="00DA5361"/>
    <w:rsid w:val="00DA62C6"/>
    <w:rsid w:val="00DB0644"/>
    <w:rsid w:val="00DB3719"/>
    <w:rsid w:val="00DB475D"/>
    <w:rsid w:val="00DB47CD"/>
    <w:rsid w:val="00DB57D2"/>
    <w:rsid w:val="00DC2FE8"/>
    <w:rsid w:val="00DC5A17"/>
    <w:rsid w:val="00DD3FE5"/>
    <w:rsid w:val="00DD52EA"/>
    <w:rsid w:val="00DD5717"/>
    <w:rsid w:val="00DD6A2E"/>
    <w:rsid w:val="00DD6CCD"/>
    <w:rsid w:val="00DD78DE"/>
    <w:rsid w:val="00DE127F"/>
    <w:rsid w:val="00DE13E2"/>
    <w:rsid w:val="00DE2367"/>
    <w:rsid w:val="00DE2430"/>
    <w:rsid w:val="00DE342E"/>
    <w:rsid w:val="00DE441B"/>
    <w:rsid w:val="00DE6D76"/>
    <w:rsid w:val="00DE6DE7"/>
    <w:rsid w:val="00DF024C"/>
    <w:rsid w:val="00DF04DA"/>
    <w:rsid w:val="00DF1B35"/>
    <w:rsid w:val="00DF316E"/>
    <w:rsid w:val="00DF36DC"/>
    <w:rsid w:val="00DF3C79"/>
    <w:rsid w:val="00DF4721"/>
    <w:rsid w:val="00DF4D9D"/>
    <w:rsid w:val="00DF5A9E"/>
    <w:rsid w:val="00DF63AD"/>
    <w:rsid w:val="00DF6723"/>
    <w:rsid w:val="00DF7430"/>
    <w:rsid w:val="00E00A77"/>
    <w:rsid w:val="00E01099"/>
    <w:rsid w:val="00E062CC"/>
    <w:rsid w:val="00E06BEC"/>
    <w:rsid w:val="00E06D51"/>
    <w:rsid w:val="00E10F5B"/>
    <w:rsid w:val="00E10FC9"/>
    <w:rsid w:val="00E13921"/>
    <w:rsid w:val="00E13F8D"/>
    <w:rsid w:val="00E17880"/>
    <w:rsid w:val="00E17A18"/>
    <w:rsid w:val="00E17EB2"/>
    <w:rsid w:val="00E22ECE"/>
    <w:rsid w:val="00E24D2E"/>
    <w:rsid w:val="00E25F0F"/>
    <w:rsid w:val="00E26D19"/>
    <w:rsid w:val="00E27499"/>
    <w:rsid w:val="00E31B34"/>
    <w:rsid w:val="00E31F29"/>
    <w:rsid w:val="00E32FAC"/>
    <w:rsid w:val="00E3435F"/>
    <w:rsid w:val="00E365A7"/>
    <w:rsid w:val="00E4197B"/>
    <w:rsid w:val="00E41DA3"/>
    <w:rsid w:val="00E42205"/>
    <w:rsid w:val="00E434C3"/>
    <w:rsid w:val="00E43D98"/>
    <w:rsid w:val="00E44112"/>
    <w:rsid w:val="00E45749"/>
    <w:rsid w:val="00E45CEF"/>
    <w:rsid w:val="00E47EB0"/>
    <w:rsid w:val="00E50CDF"/>
    <w:rsid w:val="00E518CB"/>
    <w:rsid w:val="00E55B05"/>
    <w:rsid w:val="00E56DEC"/>
    <w:rsid w:val="00E57310"/>
    <w:rsid w:val="00E57D1D"/>
    <w:rsid w:val="00E62102"/>
    <w:rsid w:val="00E6401F"/>
    <w:rsid w:val="00E64489"/>
    <w:rsid w:val="00E648CE"/>
    <w:rsid w:val="00E652F7"/>
    <w:rsid w:val="00E65DAD"/>
    <w:rsid w:val="00E66332"/>
    <w:rsid w:val="00E6653C"/>
    <w:rsid w:val="00E666C7"/>
    <w:rsid w:val="00E67158"/>
    <w:rsid w:val="00E67890"/>
    <w:rsid w:val="00E71AA9"/>
    <w:rsid w:val="00E81040"/>
    <w:rsid w:val="00E85864"/>
    <w:rsid w:val="00E86992"/>
    <w:rsid w:val="00E87AC5"/>
    <w:rsid w:val="00E87DC6"/>
    <w:rsid w:val="00E90E51"/>
    <w:rsid w:val="00E91CEE"/>
    <w:rsid w:val="00E92390"/>
    <w:rsid w:val="00E94BDD"/>
    <w:rsid w:val="00E96198"/>
    <w:rsid w:val="00E9642F"/>
    <w:rsid w:val="00EA1DE1"/>
    <w:rsid w:val="00EA3586"/>
    <w:rsid w:val="00EA6DA5"/>
    <w:rsid w:val="00EB16C3"/>
    <w:rsid w:val="00EB1F7C"/>
    <w:rsid w:val="00EB27DB"/>
    <w:rsid w:val="00EB2DC3"/>
    <w:rsid w:val="00EB3344"/>
    <w:rsid w:val="00EB4F7D"/>
    <w:rsid w:val="00EB74FB"/>
    <w:rsid w:val="00EC6099"/>
    <w:rsid w:val="00EC7719"/>
    <w:rsid w:val="00ED247B"/>
    <w:rsid w:val="00ED3070"/>
    <w:rsid w:val="00ED4B0C"/>
    <w:rsid w:val="00ED5A44"/>
    <w:rsid w:val="00ED5C7A"/>
    <w:rsid w:val="00ED6EE0"/>
    <w:rsid w:val="00ED75FE"/>
    <w:rsid w:val="00EE024B"/>
    <w:rsid w:val="00EE19C3"/>
    <w:rsid w:val="00EE4E98"/>
    <w:rsid w:val="00EE564A"/>
    <w:rsid w:val="00EE5D0C"/>
    <w:rsid w:val="00EE5EBE"/>
    <w:rsid w:val="00EE697C"/>
    <w:rsid w:val="00EE74B9"/>
    <w:rsid w:val="00EF5ACE"/>
    <w:rsid w:val="00EF5AE0"/>
    <w:rsid w:val="00EF66D5"/>
    <w:rsid w:val="00EF7823"/>
    <w:rsid w:val="00EF7F33"/>
    <w:rsid w:val="00F013CB"/>
    <w:rsid w:val="00F03D3A"/>
    <w:rsid w:val="00F0577E"/>
    <w:rsid w:val="00F06194"/>
    <w:rsid w:val="00F06914"/>
    <w:rsid w:val="00F06B03"/>
    <w:rsid w:val="00F07066"/>
    <w:rsid w:val="00F07E7B"/>
    <w:rsid w:val="00F07E7F"/>
    <w:rsid w:val="00F10A24"/>
    <w:rsid w:val="00F10CA8"/>
    <w:rsid w:val="00F11243"/>
    <w:rsid w:val="00F149B1"/>
    <w:rsid w:val="00F14D59"/>
    <w:rsid w:val="00F15980"/>
    <w:rsid w:val="00F1681C"/>
    <w:rsid w:val="00F1777A"/>
    <w:rsid w:val="00F17E13"/>
    <w:rsid w:val="00F17EC5"/>
    <w:rsid w:val="00F210BD"/>
    <w:rsid w:val="00F23D72"/>
    <w:rsid w:val="00F25B8B"/>
    <w:rsid w:val="00F26041"/>
    <w:rsid w:val="00F27EA8"/>
    <w:rsid w:val="00F313DF"/>
    <w:rsid w:val="00F31674"/>
    <w:rsid w:val="00F31AD0"/>
    <w:rsid w:val="00F31CE9"/>
    <w:rsid w:val="00F3624B"/>
    <w:rsid w:val="00F36666"/>
    <w:rsid w:val="00F4354A"/>
    <w:rsid w:val="00F441B7"/>
    <w:rsid w:val="00F45F3A"/>
    <w:rsid w:val="00F462F9"/>
    <w:rsid w:val="00F46C74"/>
    <w:rsid w:val="00F47186"/>
    <w:rsid w:val="00F47EA5"/>
    <w:rsid w:val="00F50187"/>
    <w:rsid w:val="00F52DB4"/>
    <w:rsid w:val="00F52DD7"/>
    <w:rsid w:val="00F5475C"/>
    <w:rsid w:val="00F6022F"/>
    <w:rsid w:val="00F61206"/>
    <w:rsid w:val="00F61BB0"/>
    <w:rsid w:val="00F62737"/>
    <w:rsid w:val="00F629BA"/>
    <w:rsid w:val="00F63E28"/>
    <w:rsid w:val="00F65525"/>
    <w:rsid w:val="00F65AFF"/>
    <w:rsid w:val="00F66216"/>
    <w:rsid w:val="00F713A5"/>
    <w:rsid w:val="00F71961"/>
    <w:rsid w:val="00F72703"/>
    <w:rsid w:val="00F731A8"/>
    <w:rsid w:val="00F73413"/>
    <w:rsid w:val="00F74BE4"/>
    <w:rsid w:val="00F75850"/>
    <w:rsid w:val="00F75E34"/>
    <w:rsid w:val="00F76AFD"/>
    <w:rsid w:val="00F8008F"/>
    <w:rsid w:val="00F8101A"/>
    <w:rsid w:val="00F812F1"/>
    <w:rsid w:val="00F81F90"/>
    <w:rsid w:val="00F8428C"/>
    <w:rsid w:val="00F85A93"/>
    <w:rsid w:val="00F86697"/>
    <w:rsid w:val="00F86DD4"/>
    <w:rsid w:val="00F87B06"/>
    <w:rsid w:val="00F87E1E"/>
    <w:rsid w:val="00F90B0B"/>
    <w:rsid w:val="00F90CCF"/>
    <w:rsid w:val="00F91AF1"/>
    <w:rsid w:val="00F9303A"/>
    <w:rsid w:val="00F931FF"/>
    <w:rsid w:val="00F945DE"/>
    <w:rsid w:val="00F94FBA"/>
    <w:rsid w:val="00F95CB8"/>
    <w:rsid w:val="00F965C4"/>
    <w:rsid w:val="00F973DA"/>
    <w:rsid w:val="00FA1041"/>
    <w:rsid w:val="00FA3F94"/>
    <w:rsid w:val="00FA4F43"/>
    <w:rsid w:val="00FA77F0"/>
    <w:rsid w:val="00FA7EE2"/>
    <w:rsid w:val="00FB34B8"/>
    <w:rsid w:val="00FB41DE"/>
    <w:rsid w:val="00FB4664"/>
    <w:rsid w:val="00FB6103"/>
    <w:rsid w:val="00FC0C1F"/>
    <w:rsid w:val="00FC1378"/>
    <w:rsid w:val="00FC2198"/>
    <w:rsid w:val="00FC21A4"/>
    <w:rsid w:val="00FC536A"/>
    <w:rsid w:val="00FC605C"/>
    <w:rsid w:val="00FC6270"/>
    <w:rsid w:val="00FC712D"/>
    <w:rsid w:val="00FD36E7"/>
    <w:rsid w:val="00FD458A"/>
    <w:rsid w:val="00FD7D74"/>
    <w:rsid w:val="00FE0B55"/>
    <w:rsid w:val="00FE1008"/>
    <w:rsid w:val="00FE110E"/>
    <w:rsid w:val="00FE140B"/>
    <w:rsid w:val="00FE5CBA"/>
    <w:rsid w:val="00FE6B78"/>
    <w:rsid w:val="00FE753A"/>
    <w:rsid w:val="00FE76DE"/>
    <w:rsid w:val="00FE7AB3"/>
    <w:rsid w:val="00FF1832"/>
    <w:rsid w:val="00FF1B0D"/>
    <w:rsid w:val="00FF1C1A"/>
    <w:rsid w:val="00FF47B7"/>
    <w:rsid w:val="00FF4C3B"/>
    <w:rsid w:val="00FF4CAC"/>
    <w:rsid w:val="00FF53E9"/>
    <w:rsid w:val="00FF650D"/>
    <w:rsid w:val="04EC576E"/>
    <w:rsid w:val="06B84C89"/>
    <w:rsid w:val="07D16002"/>
    <w:rsid w:val="07E43A81"/>
    <w:rsid w:val="08100D79"/>
    <w:rsid w:val="08931509"/>
    <w:rsid w:val="09057B8B"/>
    <w:rsid w:val="09B554AF"/>
    <w:rsid w:val="0A917CCA"/>
    <w:rsid w:val="0B6D4294"/>
    <w:rsid w:val="0C00473A"/>
    <w:rsid w:val="0C9910B8"/>
    <w:rsid w:val="0DDF0D4D"/>
    <w:rsid w:val="0E455CF9"/>
    <w:rsid w:val="0EA0672E"/>
    <w:rsid w:val="0F0528B4"/>
    <w:rsid w:val="0F131BCA"/>
    <w:rsid w:val="0F8E2A2A"/>
    <w:rsid w:val="10393BAA"/>
    <w:rsid w:val="11150379"/>
    <w:rsid w:val="14333BA0"/>
    <w:rsid w:val="164E4CC1"/>
    <w:rsid w:val="18041ADC"/>
    <w:rsid w:val="18055854"/>
    <w:rsid w:val="189A336A"/>
    <w:rsid w:val="194A79C2"/>
    <w:rsid w:val="198017B8"/>
    <w:rsid w:val="1A0A53A3"/>
    <w:rsid w:val="1A34568A"/>
    <w:rsid w:val="1D061E52"/>
    <w:rsid w:val="1DDF63E8"/>
    <w:rsid w:val="1E7B6870"/>
    <w:rsid w:val="20823EE5"/>
    <w:rsid w:val="20FA50CC"/>
    <w:rsid w:val="23F92711"/>
    <w:rsid w:val="247D50F0"/>
    <w:rsid w:val="24997A50"/>
    <w:rsid w:val="252512E3"/>
    <w:rsid w:val="2551032A"/>
    <w:rsid w:val="25A42208"/>
    <w:rsid w:val="26001D2B"/>
    <w:rsid w:val="26211AAB"/>
    <w:rsid w:val="272C4BAB"/>
    <w:rsid w:val="27BE1944"/>
    <w:rsid w:val="280258B0"/>
    <w:rsid w:val="28C66939"/>
    <w:rsid w:val="2EDF69A7"/>
    <w:rsid w:val="30455AC0"/>
    <w:rsid w:val="310B3A83"/>
    <w:rsid w:val="314775BB"/>
    <w:rsid w:val="31B7469D"/>
    <w:rsid w:val="326A79C4"/>
    <w:rsid w:val="330B7D6A"/>
    <w:rsid w:val="33305E1E"/>
    <w:rsid w:val="35064C8D"/>
    <w:rsid w:val="37702892"/>
    <w:rsid w:val="380F20AB"/>
    <w:rsid w:val="38FF3ECD"/>
    <w:rsid w:val="39640D2E"/>
    <w:rsid w:val="396A4B2F"/>
    <w:rsid w:val="3A183E5C"/>
    <w:rsid w:val="3B5228DF"/>
    <w:rsid w:val="3B974891"/>
    <w:rsid w:val="3CC6505A"/>
    <w:rsid w:val="3F3D5750"/>
    <w:rsid w:val="4185518C"/>
    <w:rsid w:val="430622FC"/>
    <w:rsid w:val="43EA39CC"/>
    <w:rsid w:val="445D4AB6"/>
    <w:rsid w:val="44D37FBC"/>
    <w:rsid w:val="4543393B"/>
    <w:rsid w:val="47262F6D"/>
    <w:rsid w:val="4761100B"/>
    <w:rsid w:val="479E2B03"/>
    <w:rsid w:val="496442D6"/>
    <w:rsid w:val="4C2630C7"/>
    <w:rsid w:val="4C714C8A"/>
    <w:rsid w:val="4D44414D"/>
    <w:rsid w:val="4E6C3038"/>
    <w:rsid w:val="4F80187B"/>
    <w:rsid w:val="539A21E3"/>
    <w:rsid w:val="56B20F5C"/>
    <w:rsid w:val="573E7E5F"/>
    <w:rsid w:val="581E48C4"/>
    <w:rsid w:val="586D0C1F"/>
    <w:rsid w:val="58D8524A"/>
    <w:rsid w:val="59D2488F"/>
    <w:rsid w:val="5A551748"/>
    <w:rsid w:val="5A7821D7"/>
    <w:rsid w:val="5ABF2F6E"/>
    <w:rsid w:val="5B1765FF"/>
    <w:rsid w:val="5C2E2250"/>
    <w:rsid w:val="5F314634"/>
    <w:rsid w:val="61FE0AD0"/>
    <w:rsid w:val="620A72BB"/>
    <w:rsid w:val="630E4191"/>
    <w:rsid w:val="63910EE7"/>
    <w:rsid w:val="654A3ABB"/>
    <w:rsid w:val="660F30F2"/>
    <w:rsid w:val="668C338B"/>
    <w:rsid w:val="685F2D49"/>
    <w:rsid w:val="694806C9"/>
    <w:rsid w:val="69C47C26"/>
    <w:rsid w:val="6AE874AF"/>
    <w:rsid w:val="6C0B435C"/>
    <w:rsid w:val="6C3D64DF"/>
    <w:rsid w:val="6D8A74C3"/>
    <w:rsid w:val="6EFC4BCE"/>
    <w:rsid w:val="6F4E5195"/>
    <w:rsid w:val="6F8306AD"/>
    <w:rsid w:val="6FDE3B35"/>
    <w:rsid w:val="701E5A5A"/>
    <w:rsid w:val="71144B84"/>
    <w:rsid w:val="7121017E"/>
    <w:rsid w:val="712A1F38"/>
    <w:rsid w:val="71900E5F"/>
    <w:rsid w:val="71AF5789"/>
    <w:rsid w:val="72F0605A"/>
    <w:rsid w:val="756920F3"/>
    <w:rsid w:val="75CF603F"/>
    <w:rsid w:val="76F64225"/>
    <w:rsid w:val="77707769"/>
    <w:rsid w:val="78337E41"/>
    <w:rsid w:val="787E5EB6"/>
    <w:rsid w:val="78970D25"/>
    <w:rsid w:val="7B3770C7"/>
    <w:rsid w:val="7C684EB3"/>
    <w:rsid w:val="7C945CA8"/>
    <w:rsid w:val="7D7B196D"/>
    <w:rsid w:val="7DE11312"/>
    <w:rsid w:val="7E827736"/>
    <w:rsid w:val="7EB503F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uiPriority="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8"/>
    <w:qFormat/>
    <w:uiPriority w:val="9"/>
    <w:pPr>
      <w:keepNext/>
      <w:keepLines/>
      <w:outlineLvl w:val="0"/>
    </w:pPr>
    <w:rPr>
      <w:rFonts w:eastAsia="黑体"/>
      <w:bCs/>
      <w:kern w:val="44"/>
      <w:szCs w:val="44"/>
    </w:rPr>
  </w:style>
  <w:style w:type="paragraph" w:styleId="3">
    <w:name w:val="heading 2"/>
    <w:basedOn w:val="1"/>
    <w:next w:val="1"/>
    <w:link w:val="19"/>
    <w:unhideWhenUsed/>
    <w:qFormat/>
    <w:uiPriority w:val="9"/>
    <w:pPr>
      <w:keepNext/>
      <w:keepLines/>
      <w:outlineLvl w:val="1"/>
    </w:pPr>
    <w:rPr>
      <w:rFonts w:eastAsia="楷体" w:cs="Times New Roman (标题 CS)"/>
      <w:bCs/>
      <w:szCs w:val="32"/>
    </w:rPr>
  </w:style>
  <w:style w:type="paragraph" w:styleId="4">
    <w:name w:val="heading 3"/>
    <w:basedOn w:val="1"/>
    <w:next w:val="1"/>
    <w:link w:val="20"/>
    <w:unhideWhenUsed/>
    <w:qFormat/>
    <w:uiPriority w:val="9"/>
    <w:pPr>
      <w:keepNext/>
      <w:keepLines/>
      <w:outlineLvl w:val="2"/>
    </w:pPr>
    <w:rPr>
      <w:bCs/>
      <w:szCs w:val="32"/>
    </w:rPr>
  </w:style>
  <w:style w:type="character" w:default="1" w:styleId="9">
    <w:name w:val="Default Paragraph Font"/>
    <w:unhideWhenUsed/>
    <w:uiPriority w:val="1"/>
  </w:style>
  <w:style w:type="table" w:default="1" w:styleId="13">
    <w:name w:val="Normal Table"/>
    <w:unhideWhenUsed/>
    <w:uiPriority w:val="99"/>
    <w:tblPr>
      <w:tblStyle w:val="13"/>
      <w:tblLayout w:type="fixed"/>
      <w:tblCellMar>
        <w:top w:w="0" w:type="dxa"/>
        <w:left w:w="108" w:type="dxa"/>
        <w:bottom w:w="0" w:type="dxa"/>
        <w:right w:w="108" w:type="dxa"/>
      </w:tblCellMar>
    </w:tblPr>
    <w:tcPr>
      <w:textDirection w:val="lrTb"/>
    </w:tcPr>
  </w:style>
  <w:style w:type="paragraph" w:styleId="5">
    <w:name w:val="annotation subject"/>
    <w:basedOn w:val="6"/>
    <w:next w:val="6"/>
    <w:link w:val="22"/>
    <w:unhideWhenUsed/>
    <w:qFormat/>
    <w:uiPriority w:val="99"/>
    <w:rPr>
      <w:b/>
      <w:bCs/>
    </w:rPr>
  </w:style>
  <w:style w:type="paragraph" w:styleId="6">
    <w:name w:val="annotation text"/>
    <w:basedOn w:val="1"/>
    <w:link w:val="21"/>
    <w:unhideWhenUsed/>
    <w:qFormat/>
    <w:uiPriority w:val="99"/>
    <w:pPr>
      <w:jc w:val="left"/>
    </w:pPr>
  </w:style>
  <w:style w:type="paragraph" w:styleId="7">
    <w:name w:val="footer"/>
    <w:basedOn w:val="1"/>
    <w:link w:val="23"/>
    <w:unhideWhenUsed/>
    <w:qFormat/>
    <w:uiPriority w:val="99"/>
    <w:pPr>
      <w:tabs>
        <w:tab w:val="center" w:pos="4153"/>
        <w:tab w:val="right" w:pos="8306"/>
      </w:tabs>
      <w:snapToGrid w:val="0"/>
      <w:spacing w:line="240" w:lineRule="atLeast"/>
      <w:jc w:val="left"/>
    </w:pPr>
    <w:rPr>
      <w:sz w:val="18"/>
      <w:szCs w:val="18"/>
    </w:rPr>
  </w:style>
  <w:style w:type="paragraph" w:styleId="8">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rPr>
  </w:style>
  <w:style w:type="character" w:styleId="10">
    <w:name w:val="Strong"/>
    <w:qFormat/>
    <w:uiPriority w:val="22"/>
    <w:rPr>
      <w:b/>
    </w:rPr>
  </w:style>
  <w:style w:type="character" w:styleId="11">
    <w:name w:val="page number"/>
    <w:basedOn w:val="9"/>
    <w:unhideWhenUsed/>
    <w:qFormat/>
    <w:uiPriority w:val="99"/>
    <w:rPr/>
  </w:style>
  <w:style w:type="character" w:styleId="12">
    <w:name w:val="annotation reference"/>
    <w:unhideWhenUsed/>
    <w:qFormat/>
    <w:uiPriority w:val="99"/>
    <w:rPr>
      <w:sz w:val="21"/>
      <w:szCs w:val="21"/>
    </w:rPr>
  </w:style>
  <w:style w:type="table" w:styleId="14">
    <w:name w:val="Table Grid"/>
    <w:basedOn w:val="13"/>
    <w:qFormat/>
    <w:uiPriority w:val="39"/>
    <w:pPr/>
    <w:tblPr>
      <w:tblStyle w:val="1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5">
    <w:name w:val="修订1"/>
    <w:hidden/>
    <w:semiHidden/>
    <w:qFormat/>
    <w:uiPriority w:val="99"/>
    <w:rPr>
      <w:rFonts w:ascii="Times New Roman" w:hAnsi="Times New Roman" w:eastAsia="仿宋_GB2312" w:cs="Times New Roman"/>
      <w:kern w:val="2"/>
      <w:sz w:val="32"/>
      <w:szCs w:val="24"/>
      <w:lang w:val="en-US" w:eastAsia="zh-CN" w:bidi="ar-SA"/>
    </w:rPr>
  </w:style>
  <w:style w:type="paragraph" w:customStyle="1" w:styleId="16">
    <w:name w:val="修订2"/>
    <w:hidden/>
    <w:semiHidden/>
    <w:qFormat/>
    <w:uiPriority w:val="99"/>
    <w:rPr>
      <w:rFonts w:ascii="Times New Roman" w:hAnsi="Times New Roman" w:eastAsia="仿宋_GB2312" w:cs="Times New Roman"/>
      <w:kern w:val="2"/>
      <w:sz w:val="32"/>
      <w:szCs w:val="24"/>
      <w:lang w:val="en-US" w:eastAsia="zh-CN" w:bidi="ar-SA"/>
    </w:rPr>
  </w:style>
  <w:style w:type="paragraph" w:customStyle="1" w:styleId="17">
    <w:name w:val="Revision"/>
    <w:hidden/>
    <w:semiHidden/>
    <w:uiPriority w:val="99"/>
    <w:rPr>
      <w:rFonts w:ascii="Times New Roman" w:hAnsi="Times New Roman" w:eastAsia="仿宋_GB2312" w:cs="Times New Roman"/>
      <w:kern w:val="2"/>
      <w:sz w:val="32"/>
      <w:szCs w:val="24"/>
      <w:lang w:val="en-US" w:eastAsia="zh-CN" w:bidi="ar-SA"/>
    </w:rPr>
  </w:style>
  <w:style w:type="character" w:customStyle="1" w:styleId="18">
    <w:name w:val="标题 1 字符"/>
    <w:link w:val="2"/>
    <w:qFormat/>
    <w:uiPriority w:val="9"/>
    <w:rPr>
      <w:rFonts w:ascii="Times New Roman" w:hAnsi="Times New Roman" w:eastAsia="黑体" w:cs="Times New Roman"/>
      <w:bCs/>
      <w:kern w:val="44"/>
      <w:sz w:val="32"/>
      <w:szCs w:val="44"/>
    </w:rPr>
  </w:style>
  <w:style w:type="character" w:customStyle="1" w:styleId="19">
    <w:name w:val="标题 2 字符"/>
    <w:link w:val="3"/>
    <w:qFormat/>
    <w:uiPriority w:val="9"/>
    <w:rPr>
      <w:rFonts w:ascii="Times New Roman" w:hAnsi="Times New Roman" w:eastAsia="楷体" w:cs="Times New Roman (标题 CS)"/>
      <w:bCs/>
      <w:sz w:val="32"/>
      <w:szCs w:val="32"/>
    </w:rPr>
  </w:style>
  <w:style w:type="character" w:customStyle="1" w:styleId="20">
    <w:name w:val="标题 3 字符"/>
    <w:link w:val="4"/>
    <w:qFormat/>
    <w:uiPriority w:val="9"/>
    <w:rPr>
      <w:rFonts w:ascii="Times New Roman" w:hAnsi="Times New Roman" w:eastAsia="仿宋_GB2312" w:cs="Times New Roman"/>
      <w:bCs/>
      <w:sz w:val="32"/>
      <w:szCs w:val="32"/>
    </w:rPr>
  </w:style>
  <w:style w:type="character" w:customStyle="1" w:styleId="21">
    <w:name w:val="批注文字 字符"/>
    <w:link w:val="6"/>
    <w:semiHidden/>
    <w:qFormat/>
    <w:uiPriority w:val="99"/>
    <w:rPr>
      <w:rFonts w:ascii="Times New Roman" w:hAnsi="Times New Roman" w:eastAsia="仿宋_GB2312" w:cs="Times New Roman"/>
      <w:sz w:val="32"/>
    </w:rPr>
  </w:style>
  <w:style w:type="character" w:customStyle="1" w:styleId="22">
    <w:name w:val="批注主题 字符"/>
    <w:link w:val="5"/>
    <w:semiHidden/>
    <w:qFormat/>
    <w:uiPriority w:val="99"/>
    <w:rPr>
      <w:rFonts w:ascii="Times New Roman" w:hAnsi="Times New Roman" w:eastAsia="仿宋_GB2312" w:cs="Times New Roman"/>
      <w:b/>
      <w:bCs/>
      <w:sz w:val="32"/>
    </w:rPr>
  </w:style>
  <w:style w:type="character" w:customStyle="1" w:styleId="23">
    <w:name w:val="页脚 字符"/>
    <w:link w:val="7"/>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2150</Words>
  <Characters>12257</Characters>
  <Lines>102</Lines>
  <Paragraphs>28</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2022-08-23T06:31:00Z</dcterms:created>
  <dc:creator>bzdt</dc:creator>
  <cp:lastModifiedBy>诸葛智慧</cp:lastModifiedBy>
  <dcterms:modified xsi:type="dcterms:W3CDTF">2022-08-23T10:14:01Z</dcterms:modified>
  <dc:title>市委社会工委市民政局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37074DFBB503488580D60D1C9A047EBC</vt:lpwstr>
  </property>
</Properties>
</file>