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6DC" w:rsidRDefault="001F60F7">
      <w:pPr>
        <w:snapToGrid w:val="0"/>
        <w:spacing w:line="360" w:lineRule="auto"/>
        <w:jc w:val="center"/>
        <w:rPr>
          <w:rFonts w:ascii="宋体" w:hAnsi="宋体"/>
          <w:b/>
          <w:sz w:val="44"/>
          <w:szCs w:val="44"/>
        </w:rPr>
      </w:pPr>
      <w:r>
        <w:rPr>
          <w:rFonts w:ascii="宋体" w:hAnsi="宋体"/>
          <w:b/>
          <w:sz w:val="44"/>
          <w:szCs w:val="44"/>
        </w:rPr>
        <w:tab/>
      </w:r>
    </w:p>
    <w:p w:rsidR="003E06DC" w:rsidRDefault="003E06DC">
      <w:pPr>
        <w:snapToGrid w:val="0"/>
        <w:spacing w:line="360" w:lineRule="auto"/>
        <w:jc w:val="center"/>
        <w:rPr>
          <w:rFonts w:ascii="宋体" w:hAnsi="宋体"/>
          <w:b/>
          <w:sz w:val="44"/>
          <w:szCs w:val="44"/>
        </w:rPr>
      </w:pPr>
    </w:p>
    <w:p w:rsidR="003E06DC" w:rsidRDefault="003E06DC">
      <w:pPr>
        <w:snapToGrid w:val="0"/>
        <w:spacing w:line="360" w:lineRule="auto"/>
        <w:jc w:val="center"/>
        <w:rPr>
          <w:rFonts w:ascii="宋体" w:hAnsi="宋体"/>
          <w:b/>
          <w:sz w:val="44"/>
          <w:szCs w:val="44"/>
        </w:rPr>
      </w:pPr>
    </w:p>
    <w:p w:rsidR="003E06DC" w:rsidRDefault="003E06DC">
      <w:pPr>
        <w:snapToGrid w:val="0"/>
        <w:spacing w:line="360" w:lineRule="auto"/>
        <w:jc w:val="center"/>
        <w:rPr>
          <w:rFonts w:ascii="宋体" w:hAnsi="宋体"/>
          <w:b/>
          <w:sz w:val="44"/>
          <w:szCs w:val="44"/>
        </w:rPr>
      </w:pPr>
    </w:p>
    <w:p w:rsidR="003E06DC" w:rsidRDefault="001F60F7">
      <w:pPr>
        <w:snapToGrid w:val="0"/>
        <w:spacing w:line="360" w:lineRule="auto"/>
        <w:jc w:val="center"/>
        <w:rPr>
          <w:b/>
          <w:sz w:val="52"/>
          <w:szCs w:val="52"/>
        </w:rPr>
      </w:pPr>
      <w:r>
        <w:rPr>
          <w:b/>
          <w:sz w:val="52"/>
          <w:szCs w:val="52"/>
        </w:rPr>
        <w:t>北京市</w:t>
      </w:r>
      <w:r>
        <w:rPr>
          <w:rFonts w:hint="eastAsia"/>
          <w:b/>
          <w:sz w:val="52"/>
          <w:szCs w:val="52"/>
        </w:rPr>
        <w:t>青年宫</w:t>
      </w:r>
    </w:p>
    <w:p w:rsidR="003E06DC" w:rsidRDefault="001F60F7">
      <w:pPr>
        <w:snapToGrid w:val="0"/>
        <w:spacing w:line="360" w:lineRule="auto"/>
        <w:jc w:val="center"/>
        <w:rPr>
          <w:b/>
          <w:sz w:val="52"/>
          <w:szCs w:val="52"/>
        </w:rPr>
      </w:pPr>
      <w:r>
        <w:rPr>
          <w:rFonts w:hint="eastAsia"/>
          <w:b/>
          <w:sz w:val="52"/>
          <w:szCs w:val="52"/>
        </w:rPr>
        <w:t>部门</w:t>
      </w:r>
      <w:r>
        <w:rPr>
          <w:b/>
          <w:sz w:val="52"/>
          <w:szCs w:val="52"/>
        </w:rPr>
        <w:t>整体支出绩效评价报告</w:t>
      </w:r>
    </w:p>
    <w:p w:rsidR="003E06DC" w:rsidRDefault="003E06DC">
      <w:pPr>
        <w:snapToGrid w:val="0"/>
        <w:spacing w:line="360" w:lineRule="auto"/>
        <w:ind w:firstLine="600"/>
        <w:rPr>
          <w:sz w:val="30"/>
        </w:rPr>
      </w:pPr>
    </w:p>
    <w:p w:rsidR="003E06DC" w:rsidRDefault="003E06DC">
      <w:pPr>
        <w:snapToGrid w:val="0"/>
        <w:spacing w:line="360" w:lineRule="auto"/>
        <w:ind w:firstLine="640"/>
        <w:jc w:val="center"/>
        <w:rPr>
          <w:rFonts w:eastAsia="仿宋_GB2312"/>
          <w:sz w:val="32"/>
          <w:szCs w:val="32"/>
        </w:rPr>
      </w:pPr>
    </w:p>
    <w:p w:rsidR="003E06DC" w:rsidRDefault="003E06DC">
      <w:pPr>
        <w:snapToGrid w:val="0"/>
        <w:spacing w:line="360" w:lineRule="auto"/>
        <w:rPr>
          <w:rFonts w:eastAsia="仿宋_GB2312"/>
          <w:sz w:val="32"/>
          <w:szCs w:val="32"/>
        </w:rPr>
      </w:pPr>
    </w:p>
    <w:p w:rsidR="003E06DC" w:rsidRDefault="003E06DC">
      <w:pPr>
        <w:snapToGrid w:val="0"/>
        <w:spacing w:line="360" w:lineRule="auto"/>
        <w:jc w:val="center"/>
        <w:rPr>
          <w:rFonts w:eastAsia="仿宋_GB2312"/>
          <w:sz w:val="32"/>
          <w:szCs w:val="32"/>
        </w:rPr>
      </w:pPr>
    </w:p>
    <w:p w:rsidR="003E06DC" w:rsidRDefault="003E06DC">
      <w:pPr>
        <w:snapToGrid w:val="0"/>
        <w:spacing w:line="360" w:lineRule="auto"/>
        <w:jc w:val="center"/>
        <w:rPr>
          <w:rFonts w:eastAsia="仿宋_GB2312"/>
          <w:sz w:val="32"/>
          <w:szCs w:val="32"/>
        </w:rPr>
      </w:pPr>
    </w:p>
    <w:p w:rsidR="003E06DC" w:rsidRDefault="003E06DC">
      <w:pPr>
        <w:snapToGrid w:val="0"/>
        <w:spacing w:line="360" w:lineRule="auto"/>
        <w:jc w:val="center"/>
        <w:rPr>
          <w:rFonts w:eastAsia="仿宋_GB2312"/>
          <w:sz w:val="32"/>
          <w:szCs w:val="32"/>
        </w:rPr>
      </w:pPr>
    </w:p>
    <w:p w:rsidR="003E06DC" w:rsidRDefault="003E06DC">
      <w:pPr>
        <w:snapToGrid w:val="0"/>
        <w:spacing w:line="360" w:lineRule="auto"/>
        <w:jc w:val="center"/>
        <w:rPr>
          <w:rFonts w:eastAsia="仿宋_GB2312"/>
          <w:sz w:val="32"/>
          <w:szCs w:val="32"/>
        </w:rPr>
      </w:pPr>
    </w:p>
    <w:p w:rsidR="003E06DC" w:rsidRDefault="003E06DC">
      <w:pPr>
        <w:snapToGrid w:val="0"/>
        <w:spacing w:line="360" w:lineRule="auto"/>
        <w:jc w:val="center"/>
        <w:rPr>
          <w:rFonts w:eastAsia="仿宋_GB2312"/>
          <w:sz w:val="32"/>
          <w:szCs w:val="32"/>
        </w:rPr>
      </w:pPr>
    </w:p>
    <w:p w:rsidR="003E06DC" w:rsidRDefault="003E06DC">
      <w:pPr>
        <w:snapToGrid w:val="0"/>
        <w:spacing w:line="360" w:lineRule="auto"/>
        <w:jc w:val="center"/>
        <w:rPr>
          <w:rFonts w:eastAsia="仿宋_GB2312"/>
          <w:sz w:val="32"/>
          <w:szCs w:val="32"/>
        </w:rPr>
      </w:pPr>
    </w:p>
    <w:p w:rsidR="003E06DC" w:rsidRDefault="001F60F7">
      <w:pPr>
        <w:tabs>
          <w:tab w:val="left" w:pos="3825"/>
          <w:tab w:val="center" w:pos="4153"/>
        </w:tabs>
        <w:spacing w:line="560" w:lineRule="exact"/>
        <w:jc w:val="center"/>
        <w:rPr>
          <w:rFonts w:eastAsia="黑体"/>
          <w:sz w:val="36"/>
          <w:szCs w:val="36"/>
        </w:rPr>
      </w:pPr>
      <w:r>
        <w:rPr>
          <w:rFonts w:eastAsia="黑体" w:hint="eastAsia"/>
          <w:sz w:val="36"/>
          <w:szCs w:val="36"/>
        </w:rPr>
        <w:t>北京市青年宫</w:t>
      </w:r>
    </w:p>
    <w:p w:rsidR="003E06DC" w:rsidRDefault="001F60F7">
      <w:pPr>
        <w:tabs>
          <w:tab w:val="left" w:pos="3825"/>
          <w:tab w:val="center" w:pos="4153"/>
        </w:tabs>
        <w:spacing w:line="560" w:lineRule="exact"/>
        <w:jc w:val="center"/>
        <w:rPr>
          <w:rFonts w:ascii="宋体" w:hAnsi="宋体"/>
          <w:b/>
          <w:sz w:val="44"/>
          <w:szCs w:val="44"/>
        </w:rPr>
      </w:pPr>
      <w:r>
        <w:rPr>
          <w:rFonts w:eastAsia="黑体" w:hint="eastAsia"/>
          <w:sz w:val="36"/>
          <w:szCs w:val="36"/>
        </w:rPr>
        <w:t>二〇二二</w:t>
      </w:r>
      <w:r>
        <w:rPr>
          <w:rFonts w:eastAsia="黑体"/>
          <w:sz w:val="36"/>
          <w:szCs w:val="36"/>
        </w:rPr>
        <w:t>年</w:t>
      </w:r>
      <w:r>
        <w:rPr>
          <w:rFonts w:eastAsia="黑体" w:hint="eastAsia"/>
          <w:sz w:val="36"/>
          <w:szCs w:val="36"/>
        </w:rPr>
        <w:t>五</w:t>
      </w:r>
      <w:r>
        <w:rPr>
          <w:rFonts w:eastAsia="黑体"/>
          <w:sz w:val="36"/>
          <w:szCs w:val="36"/>
        </w:rPr>
        <w:t>月</w:t>
      </w:r>
    </w:p>
    <w:p w:rsidR="003E06DC" w:rsidRDefault="003E06DC">
      <w:pPr>
        <w:rPr>
          <w:rFonts w:ascii="宋体" w:hAnsi="宋体"/>
          <w:sz w:val="44"/>
          <w:szCs w:val="44"/>
        </w:rPr>
        <w:sectPr w:rsidR="003E06DC">
          <w:footerReference w:type="default" r:id="rId8"/>
          <w:pgSz w:w="11906" w:h="16838"/>
          <w:pgMar w:top="1440" w:right="1800" w:bottom="1440" w:left="1800" w:header="851" w:footer="992" w:gutter="0"/>
          <w:cols w:space="425"/>
          <w:titlePg/>
          <w:docGrid w:type="lines" w:linePitch="312"/>
        </w:sectPr>
      </w:pPr>
    </w:p>
    <w:p w:rsidR="003E06DC" w:rsidRDefault="001F60F7">
      <w:pPr>
        <w:spacing w:line="560" w:lineRule="exact"/>
        <w:jc w:val="center"/>
        <w:rPr>
          <w:rFonts w:ascii="宋体" w:hAnsi="宋体"/>
          <w:b/>
          <w:sz w:val="44"/>
          <w:szCs w:val="44"/>
        </w:rPr>
      </w:pPr>
      <w:r>
        <w:rPr>
          <w:rFonts w:ascii="宋体" w:hAnsi="宋体" w:hint="eastAsia"/>
          <w:b/>
          <w:sz w:val="44"/>
          <w:szCs w:val="44"/>
        </w:rPr>
        <w:lastRenderedPageBreak/>
        <w:t>目 录</w:t>
      </w:r>
    </w:p>
    <w:p w:rsidR="003E06DC" w:rsidRDefault="003E06DC">
      <w:pPr>
        <w:spacing w:line="560" w:lineRule="exact"/>
        <w:jc w:val="center"/>
        <w:rPr>
          <w:rFonts w:ascii="宋体" w:hAnsi="宋体"/>
          <w:b/>
          <w:sz w:val="44"/>
          <w:szCs w:val="44"/>
        </w:rPr>
      </w:pPr>
    </w:p>
    <w:p w:rsidR="003E06DC" w:rsidRDefault="003141AF" w:rsidP="003141AF">
      <w:pPr>
        <w:pStyle w:val="10"/>
        <w:tabs>
          <w:tab w:val="right" w:leader="dot" w:pos="8296"/>
        </w:tabs>
        <w:adjustRightInd w:val="0"/>
        <w:snapToGrid w:val="0"/>
        <w:spacing w:beforeLines="50" w:afterLines="50" w:line="360" w:lineRule="auto"/>
        <w:rPr>
          <w:rFonts w:ascii="仿宋" w:eastAsia="仿宋" w:hAnsi="仿宋" w:cstheme="minorBidi"/>
          <w:sz w:val="28"/>
          <w:szCs w:val="28"/>
        </w:rPr>
      </w:pPr>
      <w:r>
        <w:rPr>
          <w:rFonts w:ascii="仿宋" w:eastAsia="仿宋" w:hAnsi="仿宋"/>
          <w:b/>
          <w:sz w:val="44"/>
          <w:szCs w:val="44"/>
        </w:rPr>
        <w:fldChar w:fldCharType="begin"/>
      </w:r>
      <w:r w:rsidR="001F60F7">
        <w:rPr>
          <w:rFonts w:ascii="仿宋" w:eastAsia="仿宋" w:hAnsi="仿宋"/>
          <w:b/>
          <w:sz w:val="44"/>
          <w:szCs w:val="44"/>
        </w:rPr>
        <w:instrText xml:space="preserve"> </w:instrText>
      </w:r>
      <w:r w:rsidR="001F60F7">
        <w:rPr>
          <w:rFonts w:ascii="仿宋" w:eastAsia="仿宋" w:hAnsi="仿宋" w:hint="eastAsia"/>
          <w:b/>
          <w:sz w:val="44"/>
          <w:szCs w:val="44"/>
        </w:rPr>
        <w:instrText>TOC \o "1-2" \h \z \u</w:instrText>
      </w:r>
      <w:r w:rsidR="001F60F7">
        <w:rPr>
          <w:rFonts w:ascii="仿宋" w:eastAsia="仿宋" w:hAnsi="仿宋"/>
          <w:b/>
          <w:sz w:val="44"/>
          <w:szCs w:val="44"/>
        </w:rPr>
        <w:instrText xml:space="preserve"> </w:instrText>
      </w:r>
      <w:r>
        <w:rPr>
          <w:rFonts w:ascii="仿宋" w:eastAsia="仿宋" w:hAnsi="仿宋"/>
          <w:b/>
          <w:sz w:val="44"/>
          <w:szCs w:val="44"/>
        </w:rPr>
        <w:fldChar w:fldCharType="separate"/>
      </w:r>
      <w:hyperlink w:anchor="_Toc103649409" w:history="1">
        <w:r w:rsidR="001F60F7">
          <w:rPr>
            <w:rStyle w:val="a7"/>
            <w:rFonts w:ascii="仿宋" w:eastAsia="仿宋" w:hAnsi="仿宋"/>
            <w:sz w:val="28"/>
            <w:szCs w:val="28"/>
          </w:rPr>
          <w:t>一、部门概况</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_Toc103649409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1</w:t>
        </w:r>
        <w:r>
          <w:rPr>
            <w:rFonts w:ascii="仿宋" w:eastAsia="仿宋" w:hAnsi="仿宋"/>
            <w:sz w:val="28"/>
            <w:szCs w:val="28"/>
          </w:rPr>
          <w:fldChar w:fldCharType="end"/>
        </w:r>
      </w:hyperlink>
    </w:p>
    <w:p w:rsidR="003E06DC" w:rsidRDefault="003141AF" w:rsidP="003141AF">
      <w:pPr>
        <w:pStyle w:val="21"/>
        <w:tabs>
          <w:tab w:val="right" w:leader="dot" w:pos="8296"/>
        </w:tabs>
        <w:adjustRightInd w:val="0"/>
        <w:snapToGrid w:val="0"/>
        <w:spacing w:beforeLines="50" w:afterLines="50" w:line="360" w:lineRule="auto"/>
        <w:ind w:leftChars="0" w:left="0" w:firstLineChars="200" w:firstLine="420"/>
        <w:rPr>
          <w:rFonts w:ascii="仿宋" w:eastAsia="仿宋" w:hAnsi="仿宋" w:cstheme="minorBidi"/>
          <w:sz w:val="28"/>
          <w:szCs w:val="28"/>
        </w:rPr>
      </w:pPr>
      <w:hyperlink w:anchor="_Toc103649410" w:history="1">
        <w:r w:rsidR="001F60F7">
          <w:rPr>
            <w:rStyle w:val="a7"/>
            <w:rFonts w:ascii="仿宋" w:eastAsia="仿宋" w:hAnsi="仿宋"/>
            <w:sz w:val="28"/>
            <w:szCs w:val="28"/>
          </w:rPr>
          <w:t>（一）机构设置及职责工作任务情况</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_Toc103649410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1</w:t>
        </w:r>
        <w:r>
          <w:rPr>
            <w:rFonts w:ascii="仿宋" w:eastAsia="仿宋" w:hAnsi="仿宋"/>
            <w:sz w:val="28"/>
            <w:szCs w:val="28"/>
          </w:rPr>
          <w:fldChar w:fldCharType="end"/>
        </w:r>
      </w:hyperlink>
    </w:p>
    <w:p w:rsidR="003E06DC" w:rsidRDefault="003141AF" w:rsidP="003141AF">
      <w:pPr>
        <w:pStyle w:val="21"/>
        <w:tabs>
          <w:tab w:val="right" w:leader="dot" w:pos="8296"/>
        </w:tabs>
        <w:adjustRightInd w:val="0"/>
        <w:snapToGrid w:val="0"/>
        <w:spacing w:beforeLines="50" w:afterLines="50" w:line="360" w:lineRule="auto"/>
        <w:ind w:leftChars="0" w:left="0" w:firstLineChars="200" w:firstLine="420"/>
        <w:rPr>
          <w:rFonts w:ascii="仿宋" w:eastAsia="仿宋" w:hAnsi="仿宋" w:cstheme="minorBidi"/>
          <w:sz w:val="28"/>
          <w:szCs w:val="28"/>
        </w:rPr>
      </w:pPr>
      <w:hyperlink w:anchor="_Toc103649411" w:history="1">
        <w:r w:rsidR="001F60F7">
          <w:rPr>
            <w:rStyle w:val="a7"/>
            <w:rFonts w:ascii="仿宋" w:eastAsia="仿宋" w:hAnsi="仿宋"/>
            <w:sz w:val="28"/>
            <w:szCs w:val="28"/>
          </w:rPr>
          <w:t>（二）部门整体绩效目标设立情况</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_Toc103649411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2</w:t>
        </w:r>
        <w:r>
          <w:rPr>
            <w:rFonts w:ascii="仿宋" w:eastAsia="仿宋" w:hAnsi="仿宋"/>
            <w:sz w:val="28"/>
            <w:szCs w:val="28"/>
          </w:rPr>
          <w:fldChar w:fldCharType="end"/>
        </w:r>
      </w:hyperlink>
    </w:p>
    <w:p w:rsidR="003E06DC" w:rsidRDefault="003141AF" w:rsidP="003141AF">
      <w:pPr>
        <w:pStyle w:val="10"/>
        <w:tabs>
          <w:tab w:val="right" w:leader="dot" w:pos="8296"/>
        </w:tabs>
        <w:adjustRightInd w:val="0"/>
        <w:snapToGrid w:val="0"/>
        <w:spacing w:beforeLines="50" w:afterLines="50" w:line="360" w:lineRule="auto"/>
        <w:rPr>
          <w:rFonts w:ascii="仿宋" w:eastAsia="仿宋" w:hAnsi="仿宋" w:cstheme="minorBidi"/>
          <w:sz w:val="28"/>
          <w:szCs w:val="28"/>
        </w:rPr>
      </w:pPr>
      <w:hyperlink w:anchor="_Toc103649412" w:history="1">
        <w:r w:rsidR="001F60F7">
          <w:rPr>
            <w:rStyle w:val="a7"/>
            <w:rFonts w:ascii="仿宋" w:eastAsia="仿宋" w:hAnsi="仿宋"/>
            <w:sz w:val="28"/>
            <w:szCs w:val="28"/>
          </w:rPr>
          <w:t>二、预算执行情况</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_Toc103649412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5</w:t>
        </w:r>
        <w:r>
          <w:rPr>
            <w:rFonts w:ascii="仿宋" w:eastAsia="仿宋" w:hAnsi="仿宋"/>
            <w:sz w:val="28"/>
            <w:szCs w:val="28"/>
          </w:rPr>
          <w:fldChar w:fldCharType="end"/>
        </w:r>
      </w:hyperlink>
    </w:p>
    <w:p w:rsidR="003E06DC" w:rsidRDefault="003141AF" w:rsidP="003141AF">
      <w:pPr>
        <w:pStyle w:val="10"/>
        <w:tabs>
          <w:tab w:val="right" w:leader="dot" w:pos="8296"/>
        </w:tabs>
        <w:adjustRightInd w:val="0"/>
        <w:snapToGrid w:val="0"/>
        <w:spacing w:beforeLines="50" w:afterLines="50" w:line="360" w:lineRule="auto"/>
        <w:rPr>
          <w:rFonts w:ascii="仿宋" w:eastAsia="仿宋" w:hAnsi="仿宋" w:cstheme="minorBidi"/>
          <w:sz w:val="28"/>
          <w:szCs w:val="28"/>
        </w:rPr>
      </w:pPr>
      <w:hyperlink w:anchor="_Toc103649413" w:history="1">
        <w:r w:rsidR="001F60F7">
          <w:rPr>
            <w:rStyle w:val="a7"/>
            <w:rFonts w:ascii="仿宋" w:eastAsia="仿宋" w:hAnsi="仿宋"/>
            <w:sz w:val="28"/>
            <w:szCs w:val="28"/>
          </w:rPr>
          <w:t>三、整体绩效目标实现情况</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_Toc103649413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5</w:t>
        </w:r>
        <w:r>
          <w:rPr>
            <w:rFonts w:ascii="仿宋" w:eastAsia="仿宋" w:hAnsi="仿宋"/>
            <w:sz w:val="28"/>
            <w:szCs w:val="28"/>
          </w:rPr>
          <w:fldChar w:fldCharType="end"/>
        </w:r>
      </w:hyperlink>
    </w:p>
    <w:p w:rsidR="003E06DC" w:rsidRDefault="003141AF" w:rsidP="003141AF">
      <w:pPr>
        <w:pStyle w:val="21"/>
        <w:tabs>
          <w:tab w:val="right" w:leader="dot" w:pos="8296"/>
        </w:tabs>
        <w:adjustRightInd w:val="0"/>
        <w:snapToGrid w:val="0"/>
        <w:spacing w:beforeLines="50" w:afterLines="50" w:line="360" w:lineRule="auto"/>
        <w:ind w:leftChars="0" w:left="0" w:firstLineChars="200" w:firstLine="420"/>
        <w:rPr>
          <w:rFonts w:ascii="仿宋" w:eastAsia="仿宋" w:hAnsi="仿宋" w:cstheme="minorBidi"/>
          <w:sz w:val="28"/>
          <w:szCs w:val="28"/>
        </w:rPr>
      </w:pPr>
      <w:hyperlink w:anchor="_Toc103649414" w:history="1">
        <w:r w:rsidR="001F60F7">
          <w:rPr>
            <w:rStyle w:val="a7"/>
            <w:rFonts w:ascii="仿宋" w:eastAsia="仿宋" w:hAnsi="仿宋"/>
            <w:sz w:val="28"/>
            <w:szCs w:val="28"/>
          </w:rPr>
          <w:t>（一）产出完成情况分析</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_Toc103649414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5</w:t>
        </w:r>
        <w:r>
          <w:rPr>
            <w:rFonts w:ascii="仿宋" w:eastAsia="仿宋" w:hAnsi="仿宋"/>
            <w:sz w:val="28"/>
            <w:szCs w:val="28"/>
          </w:rPr>
          <w:fldChar w:fldCharType="end"/>
        </w:r>
      </w:hyperlink>
    </w:p>
    <w:p w:rsidR="003E06DC" w:rsidRDefault="003141AF" w:rsidP="003141AF">
      <w:pPr>
        <w:pStyle w:val="21"/>
        <w:tabs>
          <w:tab w:val="right" w:leader="dot" w:pos="8296"/>
        </w:tabs>
        <w:adjustRightInd w:val="0"/>
        <w:snapToGrid w:val="0"/>
        <w:spacing w:beforeLines="50" w:afterLines="50" w:line="360" w:lineRule="auto"/>
        <w:ind w:leftChars="0" w:left="0" w:firstLineChars="200" w:firstLine="420"/>
        <w:rPr>
          <w:rFonts w:ascii="仿宋" w:eastAsia="仿宋" w:hAnsi="仿宋" w:cstheme="minorBidi"/>
          <w:sz w:val="28"/>
          <w:szCs w:val="28"/>
        </w:rPr>
      </w:pPr>
      <w:hyperlink w:anchor="_Toc103649415" w:history="1">
        <w:r w:rsidR="001F60F7">
          <w:rPr>
            <w:rStyle w:val="a7"/>
            <w:rFonts w:ascii="仿宋" w:eastAsia="仿宋" w:hAnsi="仿宋"/>
            <w:sz w:val="28"/>
            <w:szCs w:val="28"/>
          </w:rPr>
          <w:t>（二）效果实现情况分析</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_Toc103649415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11</w:t>
        </w:r>
        <w:r>
          <w:rPr>
            <w:rFonts w:ascii="仿宋" w:eastAsia="仿宋" w:hAnsi="仿宋"/>
            <w:sz w:val="28"/>
            <w:szCs w:val="28"/>
          </w:rPr>
          <w:fldChar w:fldCharType="end"/>
        </w:r>
      </w:hyperlink>
    </w:p>
    <w:p w:rsidR="003E06DC" w:rsidRDefault="003141AF" w:rsidP="003141AF">
      <w:pPr>
        <w:pStyle w:val="10"/>
        <w:tabs>
          <w:tab w:val="right" w:leader="dot" w:pos="8296"/>
        </w:tabs>
        <w:adjustRightInd w:val="0"/>
        <w:snapToGrid w:val="0"/>
        <w:spacing w:beforeLines="50" w:afterLines="50" w:line="360" w:lineRule="auto"/>
        <w:rPr>
          <w:rFonts w:ascii="仿宋" w:eastAsia="仿宋" w:hAnsi="仿宋" w:cstheme="minorBidi"/>
          <w:sz w:val="28"/>
          <w:szCs w:val="28"/>
        </w:rPr>
      </w:pPr>
      <w:hyperlink w:anchor="_Toc103649416" w:history="1">
        <w:r w:rsidR="001F60F7">
          <w:rPr>
            <w:rStyle w:val="a7"/>
            <w:rFonts w:ascii="仿宋" w:eastAsia="仿宋" w:hAnsi="仿宋"/>
            <w:sz w:val="28"/>
            <w:szCs w:val="28"/>
          </w:rPr>
          <w:t>四、预算管理情况分析</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_Toc103649416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12</w:t>
        </w:r>
        <w:r>
          <w:rPr>
            <w:rFonts w:ascii="仿宋" w:eastAsia="仿宋" w:hAnsi="仿宋"/>
            <w:sz w:val="28"/>
            <w:szCs w:val="28"/>
          </w:rPr>
          <w:fldChar w:fldCharType="end"/>
        </w:r>
      </w:hyperlink>
    </w:p>
    <w:p w:rsidR="003E06DC" w:rsidRDefault="003141AF" w:rsidP="003141AF">
      <w:pPr>
        <w:pStyle w:val="21"/>
        <w:tabs>
          <w:tab w:val="right" w:leader="dot" w:pos="8296"/>
        </w:tabs>
        <w:adjustRightInd w:val="0"/>
        <w:snapToGrid w:val="0"/>
        <w:spacing w:beforeLines="50" w:afterLines="50" w:line="360" w:lineRule="auto"/>
        <w:ind w:leftChars="0" w:left="0" w:firstLineChars="200" w:firstLine="420"/>
        <w:rPr>
          <w:rFonts w:ascii="仿宋" w:eastAsia="仿宋" w:hAnsi="仿宋" w:cstheme="minorBidi"/>
          <w:sz w:val="28"/>
          <w:szCs w:val="28"/>
        </w:rPr>
      </w:pPr>
      <w:hyperlink w:anchor="_Toc103649417" w:history="1">
        <w:r w:rsidR="001F60F7">
          <w:rPr>
            <w:rStyle w:val="a7"/>
            <w:rFonts w:ascii="仿宋" w:eastAsia="仿宋" w:hAnsi="仿宋"/>
            <w:sz w:val="28"/>
            <w:szCs w:val="28"/>
          </w:rPr>
          <w:t>（一）财务管理</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_Toc103649417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12</w:t>
        </w:r>
        <w:r>
          <w:rPr>
            <w:rFonts w:ascii="仿宋" w:eastAsia="仿宋" w:hAnsi="仿宋"/>
            <w:sz w:val="28"/>
            <w:szCs w:val="28"/>
          </w:rPr>
          <w:fldChar w:fldCharType="end"/>
        </w:r>
      </w:hyperlink>
    </w:p>
    <w:p w:rsidR="003E06DC" w:rsidRDefault="003141AF" w:rsidP="003141AF">
      <w:pPr>
        <w:pStyle w:val="21"/>
        <w:tabs>
          <w:tab w:val="right" w:leader="dot" w:pos="8296"/>
        </w:tabs>
        <w:adjustRightInd w:val="0"/>
        <w:snapToGrid w:val="0"/>
        <w:spacing w:beforeLines="50" w:afterLines="50" w:line="360" w:lineRule="auto"/>
        <w:ind w:leftChars="0" w:left="0" w:firstLineChars="200" w:firstLine="420"/>
        <w:rPr>
          <w:rFonts w:ascii="仿宋" w:eastAsia="仿宋" w:hAnsi="仿宋" w:cstheme="minorBidi"/>
          <w:sz w:val="28"/>
          <w:szCs w:val="28"/>
        </w:rPr>
      </w:pPr>
      <w:hyperlink w:anchor="_Toc103649418" w:history="1">
        <w:r w:rsidR="001F60F7">
          <w:rPr>
            <w:rStyle w:val="a7"/>
            <w:rFonts w:ascii="仿宋" w:eastAsia="仿宋" w:hAnsi="仿宋"/>
            <w:sz w:val="28"/>
            <w:szCs w:val="28"/>
          </w:rPr>
          <w:t>（二）资产管理</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_Toc103649418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14</w:t>
        </w:r>
        <w:r>
          <w:rPr>
            <w:rFonts w:ascii="仿宋" w:eastAsia="仿宋" w:hAnsi="仿宋"/>
            <w:sz w:val="28"/>
            <w:szCs w:val="28"/>
          </w:rPr>
          <w:fldChar w:fldCharType="end"/>
        </w:r>
      </w:hyperlink>
    </w:p>
    <w:p w:rsidR="003E06DC" w:rsidRDefault="003141AF" w:rsidP="003141AF">
      <w:pPr>
        <w:pStyle w:val="21"/>
        <w:tabs>
          <w:tab w:val="right" w:leader="dot" w:pos="8296"/>
        </w:tabs>
        <w:adjustRightInd w:val="0"/>
        <w:snapToGrid w:val="0"/>
        <w:spacing w:beforeLines="50" w:afterLines="50" w:line="360" w:lineRule="auto"/>
        <w:ind w:leftChars="0" w:left="0" w:firstLineChars="200" w:firstLine="420"/>
        <w:rPr>
          <w:rFonts w:ascii="仿宋" w:eastAsia="仿宋" w:hAnsi="仿宋" w:cstheme="minorBidi"/>
          <w:sz w:val="28"/>
          <w:szCs w:val="28"/>
        </w:rPr>
      </w:pPr>
      <w:hyperlink w:anchor="_Toc103649419" w:history="1">
        <w:r w:rsidR="001F60F7">
          <w:rPr>
            <w:rStyle w:val="a7"/>
            <w:rFonts w:ascii="仿宋" w:eastAsia="仿宋" w:hAnsi="仿宋"/>
            <w:sz w:val="28"/>
            <w:szCs w:val="28"/>
          </w:rPr>
          <w:t>（三）绩效管理</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_Toc103649419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15</w:t>
        </w:r>
        <w:r>
          <w:rPr>
            <w:rFonts w:ascii="仿宋" w:eastAsia="仿宋" w:hAnsi="仿宋"/>
            <w:sz w:val="28"/>
            <w:szCs w:val="28"/>
          </w:rPr>
          <w:fldChar w:fldCharType="end"/>
        </w:r>
      </w:hyperlink>
    </w:p>
    <w:p w:rsidR="003E06DC" w:rsidRDefault="003141AF" w:rsidP="003141AF">
      <w:pPr>
        <w:pStyle w:val="21"/>
        <w:tabs>
          <w:tab w:val="right" w:leader="dot" w:pos="8296"/>
        </w:tabs>
        <w:adjustRightInd w:val="0"/>
        <w:snapToGrid w:val="0"/>
        <w:spacing w:beforeLines="50" w:afterLines="50" w:line="360" w:lineRule="auto"/>
        <w:ind w:leftChars="0" w:left="0" w:firstLineChars="200" w:firstLine="420"/>
        <w:rPr>
          <w:rFonts w:ascii="仿宋" w:eastAsia="仿宋" w:hAnsi="仿宋" w:cstheme="minorBidi"/>
          <w:sz w:val="28"/>
          <w:szCs w:val="28"/>
        </w:rPr>
      </w:pPr>
      <w:hyperlink w:anchor="_Toc103649421" w:history="1">
        <w:r w:rsidR="001F60F7">
          <w:rPr>
            <w:rStyle w:val="a7"/>
            <w:rFonts w:ascii="仿宋" w:eastAsia="仿宋" w:hAnsi="仿宋"/>
            <w:sz w:val="28"/>
            <w:szCs w:val="28"/>
          </w:rPr>
          <w:t>（四）结转结余率</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_Toc103649421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15</w:t>
        </w:r>
        <w:r>
          <w:rPr>
            <w:rFonts w:ascii="仿宋" w:eastAsia="仿宋" w:hAnsi="仿宋"/>
            <w:sz w:val="28"/>
            <w:szCs w:val="28"/>
          </w:rPr>
          <w:fldChar w:fldCharType="end"/>
        </w:r>
      </w:hyperlink>
    </w:p>
    <w:p w:rsidR="003E06DC" w:rsidRDefault="003141AF" w:rsidP="003141AF">
      <w:pPr>
        <w:pStyle w:val="21"/>
        <w:tabs>
          <w:tab w:val="right" w:leader="dot" w:pos="8296"/>
        </w:tabs>
        <w:adjustRightInd w:val="0"/>
        <w:snapToGrid w:val="0"/>
        <w:spacing w:beforeLines="50" w:afterLines="50" w:line="360" w:lineRule="auto"/>
        <w:ind w:leftChars="0" w:left="0" w:firstLineChars="200" w:firstLine="420"/>
        <w:rPr>
          <w:rFonts w:ascii="仿宋" w:eastAsia="仿宋" w:hAnsi="仿宋" w:cstheme="minorBidi"/>
          <w:sz w:val="28"/>
          <w:szCs w:val="28"/>
        </w:rPr>
      </w:pPr>
      <w:hyperlink w:anchor="_Toc103649422" w:history="1">
        <w:r w:rsidR="001F60F7">
          <w:rPr>
            <w:rStyle w:val="a7"/>
            <w:rFonts w:ascii="仿宋" w:eastAsia="仿宋" w:hAnsi="仿宋"/>
            <w:sz w:val="28"/>
            <w:szCs w:val="28"/>
          </w:rPr>
          <w:t>（五）部门预决算差异率</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_Toc103649422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16</w:t>
        </w:r>
        <w:r>
          <w:rPr>
            <w:rFonts w:ascii="仿宋" w:eastAsia="仿宋" w:hAnsi="仿宋"/>
            <w:sz w:val="28"/>
            <w:szCs w:val="28"/>
          </w:rPr>
          <w:fldChar w:fldCharType="end"/>
        </w:r>
      </w:hyperlink>
    </w:p>
    <w:p w:rsidR="003E06DC" w:rsidRDefault="003141AF" w:rsidP="003141AF">
      <w:pPr>
        <w:pStyle w:val="10"/>
        <w:tabs>
          <w:tab w:val="right" w:leader="dot" w:pos="8296"/>
        </w:tabs>
        <w:adjustRightInd w:val="0"/>
        <w:snapToGrid w:val="0"/>
        <w:spacing w:beforeLines="50" w:afterLines="50" w:line="360" w:lineRule="auto"/>
        <w:rPr>
          <w:rFonts w:ascii="仿宋" w:eastAsia="仿宋" w:hAnsi="仿宋" w:cstheme="minorBidi"/>
          <w:sz w:val="28"/>
          <w:szCs w:val="28"/>
        </w:rPr>
      </w:pPr>
      <w:hyperlink w:anchor="_Toc103649423" w:history="1">
        <w:r w:rsidR="001F60F7">
          <w:rPr>
            <w:rStyle w:val="a7"/>
            <w:rFonts w:ascii="仿宋" w:eastAsia="仿宋" w:hAnsi="仿宋"/>
            <w:sz w:val="28"/>
            <w:szCs w:val="28"/>
          </w:rPr>
          <w:t>五、总体评价结论</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_Toc103649423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18</w:t>
        </w:r>
        <w:r>
          <w:rPr>
            <w:rFonts w:ascii="仿宋" w:eastAsia="仿宋" w:hAnsi="仿宋"/>
            <w:sz w:val="28"/>
            <w:szCs w:val="28"/>
          </w:rPr>
          <w:fldChar w:fldCharType="end"/>
        </w:r>
      </w:hyperlink>
    </w:p>
    <w:p w:rsidR="003E06DC" w:rsidRDefault="003141AF" w:rsidP="003141AF">
      <w:pPr>
        <w:pStyle w:val="21"/>
        <w:tabs>
          <w:tab w:val="right" w:leader="dot" w:pos="8296"/>
        </w:tabs>
        <w:adjustRightInd w:val="0"/>
        <w:snapToGrid w:val="0"/>
        <w:spacing w:beforeLines="50" w:afterLines="50" w:line="360" w:lineRule="auto"/>
        <w:ind w:leftChars="0" w:left="0" w:firstLineChars="200" w:firstLine="420"/>
        <w:rPr>
          <w:rFonts w:ascii="仿宋" w:eastAsia="仿宋" w:hAnsi="仿宋" w:cstheme="minorBidi"/>
          <w:sz w:val="28"/>
          <w:szCs w:val="28"/>
        </w:rPr>
      </w:pPr>
      <w:hyperlink w:anchor="_Toc103649424" w:history="1">
        <w:r w:rsidR="001F60F7">
          <w:rPr>
            <w:rStyle w:val="a7"/>
            <w:rFonts w:ascii="仿宋" w:eastAsia="仿宋" w:hAnsi="仿宋"/>
            <w:sz w:val="28"/>
            <w:szCs w:val="28"/>
          </w:rPr>
          <w:t>（一）评价得分情况</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_Toc103649424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18</w:t>
        </w:r>
        <w:r>
          <w:rPr>
            <w:rFonts w:ascii="仿宋" w:eastAsia="仿宋" w:hAnsi="仿宋"/>
            <w:sz w:val="28"/>
            <w:szCs w:val="28"/>
          </w:rPr>
          <w:fldChar w:fldCharType="end"/>
        </w:r>
      </w:hyperlink>
    </w:p>
    <w:p w:rsidR="003E06DC" w:rsidRDefault="003141AF" w:rsidP="003141AF">
      <w:pPr>
        <w:pStyle w:val="21"/>
        <w:tabs>
          <w:tab w:val="right" w:leader="dot" w:pos="8296"/>
        </w:tabs>
        <w:adjustRightInd w:val="0"/>
        <w:snapToGrid w:val="0"/>
        <w:spacing w:beforeLines="50" w:afterLines="50" w:line="360" w:lineRule="auto"/>
        <w:ind w:leftChars="0" w:left="0" w:firstLineChars="200" w:firstLine="420"/>
        <w:rPr>
          <w:rFonts w:ascii="仿宋" w:eastAsia="仿宋" w:hAnsi="仿宋" w:cstheme="minorBidi"/>
          <w:sz w:val="28"/>
          <w:szCs w:val="28"/>
        </w:rPr>
      </w:pPr>
      <w:hyperlink w:anchor="_Toc103649425" w:history="1">
        <w:r w:rsidR="001F60F7">
          <w:rPr>
            <w:rStyle w:val="a7"/>
            <w:rFonts w:ascii="仿宋" w:eastAsia="仿宋" w:hAnsi="仿宋"/>
            <w:sz w:val="28"/>
            <w:szCs w:val="28"/>
          </w:rPr>
          <w:t>（二）存在的问题及原因分析</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_Toc103649425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19</w:t>
        </w:r>
        <w:r>
          <w:rPr>
            <w:rFonts w:ascii="仿宋" w:eastAsia="仿宋" w:hAnsi="仿宋"/>
            <w:sz w:val="28"/>
            <w:szCs w:val="28"/>
          </w:rPr>
          <w:fldChar w:fldCharType="end"/>
        </w:r>
      </w:hyperlink>
    </w:p>
    <w:p w:rsidR="003E06DC" w:rsidRDefault="003141AF" w:rsidP="003141AF">
      <w:pPr>
        <w:pStyle w:val="10"/>
        <w:tabs>
          <w:tab w:val="right" w:leader="dot" w:pos="8296"/>
        </w:tabs>
        <w:adjustRightInd w:val="0"/>
        <w:snapToGrid w:val="0"/>
        <w:spacing w:beforeLines="50" w:afterLines="50" w:line="360" w:lineRule="auto"/>
        <w:rPr>
          <w:rFonts w:ascii="仿宋" w:eastAsia="仿宋" w:hAnsi="仿宋" w:cstheme="minorBidi"/>
          <w:sz w:val="28"/>
          <w:szCs w:val="28"/>
        </w:rPr>
      </w:pPr>
      <w:hyperlink w:anchor="_Toc103649426" w:history="1">
        <w:r w:rsidR="001F60F7">
          <w:rPr>
            <w:rStyle w:val="a7"/>
            <w:rFonts w:ascii="仿宋" w:eastAsia="仿宋" w:hAnsi="仿宋"/>
            <w:sz w:val="28"/>
            <w:szCs w:val="28"/>
          </w:rPr>
          <w:t>六、措施建议</w:t>
        </w:r>
        <w:r w:rsidR="001F60F7">
          <w:rPr>
            <w:rFonts w:ascii="仿宋" w:eastAsia="仿宋" w:hAnsi="仿宋"/>
            <w:sz w:val="28"/>
            <w:szCs w:val="28"/>
          </w:rPr>
          <w:tab/>
        </w:r>
        <w:r>
          <w:rPr>
            <w:rFonts w:ascii="仿宋" w:eastAsia="仿宋" w:hAnsi="仿宋"/>
            <w:sz w:val="28"/>
            <w:szCs w:val="28"/>
          </w:rPr>
          <w:fldChar w:fldCharType="begin"/>
        </w:r>
        <w:r w:rsidR="001F60F7">
          <w:rPr>
            <w:rFonts w:ascii="仿宋" w:eastAsia="仿宋" w:hAnsi="仿宋"/>
            <w:sz w:val="28"/>
            <w:szCs w:val="28"/>
          </w:rPr>
          <w:instrText xml:space="preserve"> PAGEREF _Toc103649426 \h </w:instrText>
        </w:r>
        <w:r>
          <w:rPr>
            <w:rFonts w:ascii="仿宋" w:eastAsia="仿宋" w:hAnsi="仿宋"/>
            <w:sz w:val="28"/>
            <w:szCs w:val="28"/>
          </w:rPr>
        </w:r>
        <w:r>
          <w:rPr>
            <w:rFonts w:ascii="仿宋" w:eastAsia="仿宋" w:hAnsi="仿宋"/>
            <w:sz w:val="28"/>
            <w:szCs w:val="28"/>
          </w:rPr>
          <w:fldChar w:fldCharType="separate"/>
        </w:r>
        <w:r w:rsidR="001F60F7">
          <w:rPr>
            <w:rFonts w:ascii="仿宋" w:eastAsia="仿宋" w:hAnsi="仿宋"/>
            <w:sz w:val="28"/>
            <w:szCs w:val="28"/>
          </w:rPr>
          <w:t>19</w:t>
        </w:r>
        <w:r>
          <w:rPr>
            <w:rFonts w:ascii="仿宋" w:eastAsia="仿宋" w:hAnsi="仿宋"/>
            <w:sz w:val="28"/>
            <w:szCs w:val="28"/>
          </w:rPr>
          <w:fldChar w:fldCharType="end"/>
        </w:r>
      </w:hyperlink>
    </w:p>
    <w:p w:rsidR="003E06DC" w:rsidRDefault="003141AF">
      <w:pPr>
        <w:spacing w:line="560" w:lineRule="exact"/>
        <w:jc w:val="center"/>
        <w:rPr>
          <w:rFonts w:ascii="宋体" w:hAnsi="宋体"/>
          <w:b/>
          <w:sz w:val="44"/>
          <w:szCs w:val="44"/>
        </w:rPr>
        <w:sectPr w:rsidR="003E06DC">
          <w:pgSz w:w="11906" w:h="16838"/>
          <w:pgMar w:top="1440" w:right="1800" w:bottom="1440" w:left="1800" w:header="851" w:footer="992" w:gutter="0"/>
          <w:cols w:space="425"/>
          <w:titlePg/>
          <w:docGrid w:type="lines" w:linePitch="312"/>
        </w:sectPr>
      </w:pPr>
      <w:r>
        <w:rPr>
          <w:rFonts w:ascii="仿宋" w:eastAsia="仿宋" w:hAnsi="仿宋"/>
          <w:b/>
          <w:sz w:val="44"/>
          <w:szCs w:val="44"/>
        </w:rPr>
        <w:fldChar w:fldCharType="end"/>
      </w:r>
    </w:p>
    <w:p w:rsidR="003E06DC" w:rsidRDefault="001F60F7">
      <w:pPr>
        <w:spacing w:line="560" w:lineRule="exact"/>
        <w:jc w:val="center"/>
        <w:rPr>
          <w:rFonts w:ascii="宋体" w:hAnsi="宋体"/>
          <w:b/>
          <w:sz w:val="44"/>
          <w:szCs w:val="44"/>
        </w:rPr>
      </w:pPr>
      <w:r>
        <w:rPr>
          <w:rFonts w:ascii="宋体" w:hAnsi="宋体" w:hint="eastAsia"/>
          <w:b/>
          <w:sz w:val="44"/>
          <w:szCs w:val="44"/>
        </w:rPr>
        <w:lastRenderedPageBreak/>
        <w:t>北京市青年宫</w:t>
      </w:r>
    </w:p>
    <w:p w:rsidR="003E06DC" w:rsidRDefault="001F60F7">
      <w:pPr>
        <w:spacing w:line="560" w:lineRule="exact"/>
        <w:jc w:val="center"/>
        <w:rPr>
          <w:rFonts w:ascii="宋体" w:hAnsi="宋体"/>
          <w:b/>
          <w:sz w:val="44"/>
          <w:szCs w:val="44"/>
        </w:rPr>
      </w:pPr>
      <w:r>
        <w:rPr>
          <w:rFonts w:ascii="宋体" w:hAnsi="宋体" w:hint="eastAsia"/>
          <w:b/>
          <w:sz w:val="44"/>
          <w:szCs w:val="44"/>
        </w:rPr>
        <w:t>部门整体绩效评价报告</w:t>
      </w:r>
    </w:p>
    <w:p w:rsidR="003E06DC" w:rsidRDefault="003E06DC">
      <w:pPr>
        <w:jc w:val="center"/>
        <w:rPr>
          <w:rFonts w:ascii="仿宋" w:eastAsia="仿宋" w:hAnsi="仿宋"/>
          <w:szCs w:val="30"/>
        </w:rPr>
      </w:pPr>
    </w:p>
    <w:p w:rsidR="003E06DC" w:rsidRDefault="003E06DC">
      <w:pPr>
        <w:jc w:val="center"/>
        <w:rPr>
          <w:rFonts w:ascii="仿宋" w:eastAsia="仿宋" w:hAnsi="仿宋"/>
          <w:szCs w:val="30"/>
        </w:rPr>
      </w:pPr>
    </w:p>
    <w:p w:rsidR="003E06DC" w:rsidRDefault="001F60F7">
      <w:pPr>
        <w:pStyle w:val="1"/>
        <w:tabs>
          <w:tab w:val="left" w:pos="3900"/>
        </w:tabs>
      </w:pPr>
      <w:bookmarkStart w:id="0" w:name="_Toc103649409"/>
      <w:r>
        <w:rPr>
          <w:rFonts w:hint="eastAsia"/>
        </w:rPr>
        <w:t>一、部门概况</w:t>
      </w:r>
      <w:bookmarkEnd w:id="0"/>
      <w:r>
        <w:tab/>
      </w:r>
    </w:p>
    <w:p w:rsidR="003E06DC" w:rsidRDefault="001F60F7">
      <w:pPr>
        <w:pStyle w:val="2"/>
      </w:pPr>
      <w:bookmarkStart w:id="1" w:name="_Toc103649410"/>
      <w:r>
        <w:rPr>
          <w:rFonts w:hint="eastAsia"/>
        </w:rPr>
        <w:t>（一）机构设置及职责工作任务情况</w:t>
      </w:r>
      <w:bookmarkEnd w:id="1"/>
    </w:p>
    <w:p w:rsidR="003E06DC" w:rsidRDefault="001F60F7">
      <w:pPr>
        <w:pStyle w:val="3"/>
        <w:spacing w:before="312"/>
      </w:pPr>
      <w:r>
        <w:t>1.</w:t>
      </w:r>
      <w:r>
        <w:rPr>
          <w:rFonts w:hint="eastAsia"/>
        </w:rPr>
        <w:t>机构设置情况</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北京市青年宫（以下简称“市青年宫”）为财政补助事业单位,内设20个部室或机构，分别为主任办公会、行政办公室、党委办公室、组织人事部、计划财务部、信息中心、项目开发部、物业管理部、公益活动一部、公益活动二部、公益活动三部、公益活动四部、公益活动五部、社区服务一部、社区服务二部、志愿服务一部、志愿服务二部、志愿服务三部、教育培训部、心理服务部。</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截至2021年末，事业编制人数192人，实有人数154人，退休90人。</w:t>
      </w:r>
    </w:p>
    <w:p w:rsidR="003E06DC" w:rsidRDefault="001F60F7">
      <w:pPr>
        <w:pStyle w:val="3"/>
        <w:spacing w:before="312"/>
      </w:pPr>
      <w:r>
        <w:t>2.</w:t>
      </w:r>
      <w:r>
        <w:rPr>
          <w:rFonts w:hint="eastAsia"/>
        </w:rPr>
        <w:t>职责工作任务情况</w:t>
      </w:r>
    </w:p>
    <w:p w:rsidR="003E06DC" w:rsidRDefault="001F60F7">
      <w:pPr>
        <w:spacing w:line="600" w:lineRule="exact"/>
        <w:ind w:firstLineChars="200" w:firstLine="640"/>
        <w:rPr>
          <w:rFonts w:ascii="仿宋" w:eastAsia="仿宋" w:hAnsi="仿宋"/>
          <w:sz w:val="32"/>
          <w:szCs w:val="32"/>
        </w:rPr>
      </w:pPr>
      <w:bookmarkStart w:id="2" w:name="_Toc103649411"/>
      <w:r>
        <w:rPr>
          <w:rFonts w:ascii="仿宋" w:eastAsia="仿宋" w:hAnsi="仿宋" w:hint="eastAsia"/>
          <w:sz w:val="32"/>
          <w:szCs w:val="32"/>
        </w:rPr>
        <w:t>北京市青年宫是共青团北京市委员会所属的财政补助事业单位，是团市委核心的青年活动阵地和文化交流平台。市青年宫主要工作职责是组织群众文化活动，繁荣群众文化事业。通过开展公益电影节、公益音乐会、青少年成长系列讲座和青少年美育师资教育拓展培训等系列活动，致力于青少年社会教育</w:t>
      </w:r>
      <w:r>
        <w:rPr>
          <w:rFonts w:ascii="仿宋" w:eastAsia="仿宋" w:hAnsi="仿宋" w:hint="eastAsia"/>
          <w:sz w:val="32"/>
          <w:szCs w:val="32"/>
        </w:rPr>
        <w:lastRenderedPageBreak/>
        <w:t>与学校教育、家庭教育的相互配合、相互促进，突出青少年社会教育的社会性、时代性、实践性特征，着力解决青少年教育与社会现实、社会需求、社会理想脱节的问题，在培养青少年社会态度、社会认知、社会情感、社会能力等方面，通过创意、体验、激励为特色的活动和课程，达到教育的目的。</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2021年5月，经北京市机构编制委员会批复，北京市青年宫职责划入北京青少年服务中心（北京市禁毒教育基地管理中心），为公益一类事业单位，主要职责调整为：承担青少年创新创业、权益维护、交友联谊、文化活动、心理辅导等服务工作，开展青少年禁毒宣传教育工作。不再保留北京市青年宫。</w:t>
      </w:r>
    </w:p>
    <w:p w:rsidR="003E06DC" w:rsidRDefault="001F60F7">
      <w:pPr>
        <w:pStyle w:val="2"/>
        <w:spacing w:before="360"/>
      </w:pPr>
      <w:r>
        <w:rPr>
          <w:rFonts w:hint="eastAsia"/>
        </w:rPr>
        <w:t>（二）部门整体绩效目标设立情况</w:t>
      </w:r>
      <w:bookmarkEnd w:id="2"/>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1.部门绩效目标情况</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 </w:t>
      </w:r>
      <w:r>
        <w:rPr>
          <w:rFonts w:ascii="仿宋" w:eastAsia="仿宋" w:hAnsi="仿宋" w:hint="eastAsia"/>
          <w:sz w:val="32"/>
          <w:szCs w:val="32"/>
        </w:rPr>
        <w:t>2021年度，根据上级的统一要求，对照相关规定和本部门的“三定”方案、十四五规划等，市青年宫对年度工作进行了梳理、归纳，确定了2021年部门绩效目标。</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sz w:val="32"/>
          <w:szCs w:val="32"/>
        </w:rPr>
        <w:t>1</w:t>
      </w:r>
      <w:r>
        <w:rPr>
          <w:rFonts w:ascii="仿宋" w:eastAsia="仿宋" w:hAnsi="仿宋" w:hint="eastAsia"/>
          <w:sz w:val="32"/>
          <w:szCs w:val="32"/>
        </w:rPr>
        <w:t>年青年宫计划经费支出金额为6864.14万元，绩效目标主要为：</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通过开展公益电影节、公益音乐会、青少年成长系列讲座和青少年美育师资教育拓展培训等系列活动，致力于青少年社会教育与学校教育、家庭教育的相互配合、相互促进，突出青少年社会教育的社会性、时代性、实践性特征，着力解决青少年教育与社会现实、社会需求、社会理想脱节的问题，在培养</w:t>
      </w:r>
      <w:r>
        <w:rPr>
          <w:rFonts w:ascii="仿宋" w:eastAsia="仿宋" w:hAnsi="仿宋" w:hint="eastAsia"/>
          <w:sz w:val="32"/>
          <w:szCs w:val="32"/>
        </w:rPr>
        <w:lastRenderedPageBreak/>
        <w:t>青少年社会态度、社会认知、社会情感、社会能力等方面，通过创意、体验、激励为特色的活动和课程，达到教育的目的。</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具体绩效指标设定为：</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绩效指标一：对困境青少年进行精准帮扶，继承传统文化，让青少年在成长过程中传递民族历史，继承民族智慧。在了解传统，勤学国粹的体验过程中，提升文化自信和民族自豪感；完成60～80场课程目标；服务人次1800人次以上。</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绩效指标二</w:t>
      </w:r>
      <w:r>
        <w:rPr>
          <w:rFonts w:ascii="仿宋" w:eastAsia="仿宋" w:hAnsi="仿宋"/>
          <w:sz w:val="32"/>
          <w:szCs w:val="32"/>
        </w:rPr>
        <w:t>:</w:t>
      </w:r>
      <w:r>
        <w:rPr>
          <w:rFonts w:ascii="仿宋" w:eastAsia="仿宋" w:hAnsi="仿宋" w:hint="eastAsia"/>
          <w:sz w:val="32"/>
          <w:szCs w:val="32"/>
        </w:rPr>
        <w:t>市青年宫作为共青团系统“立足公益、服务青年”的社会服务机构，需要建立一支高、精、尖的艺术团体，以便更好的讴歌主旋律、弘扬正能量，为人民提供丰富精神食粮，向世界展示中华文化魅力。成果展示不少于4次；预计参与人数40000人次。</w:t>
      </w:r>
      <w:r>
        <w:rPr>
          <w:rFonts w:ascii="仿宋" w:eastAsia="仿宋" w:hAnsi="仿宋" w:hint="eastAsia"/>
          <w:sz w:val="32"/>
          <w:szCs w:val="32"/>
        </w:rPr>
        <w:tab/>
      </w:r>
      <w:r>
        <w:rPr>
          <w:rFonts w:ascii="仿宋" w:eastAsia="仿宋" w:hAnsi="仿宋" w:hint="eastAsia"/>
          <w:sz w:val="32"/>
          <w:szCs w:val="32"/>
        </w:rPr>
        <w:tab/>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绩效指标三</w:t>
      </w:r>
      <w:r>
        <w:rPr>
          <w:rFonts w:ascii="仿宋" w:eastAsia="仿宋" w:hAnsi="仿宋"/>
          <w:sz w:val="32"/>
          <w:szCs w:val="32"/>
        </w:rPr>
        <w:t>:</w:t>
      </w:r>
      <w:r>
        <w:rPr>
          <w:rFonts w:ascii="仿宋" w:eastAsia="仿宋" w:hAnsi="仿宋" w:hint="eastAsia"/>
          <w:sz w:val="32"/>
          <w:szCs w:val="32"/>
        </w:rPr>
        <w:t>北京青年公益音乐会这一品牌活动包含交响乐和室内乐两大板块，以引领青年文化时尚、展示青春艺术风采为主旨，举办多场主题积极、特色鲜明、内容高雅的音乐活动。实现音乐普及，推广积极健康的艺术趣味,每月均举办1场主题室内乐,预计参与人数500人次以上。</w:t>
      </w:r>
      <w:r>
        <w:rPr>
          <w:rFonts w:ascii="仿宋" w:eastAsia="仿宋" w:hAnsi="仿宋" w:hint="eastAsia"/>
          <w:sz w:val="32"/>
          <w:szCs w:val="32"/>
        </w:rPr>
        <w:tab/>
      </w:r>
      <w:r>
        <w:rPr>
          <w:rFonts w:ascii="仿宋" w:eastAsia="仿宋" w:hAnsi="仿宋" w:hint="eastAsia"/>
          <w:sz w:val="32"/>
          <w:szCs w:val="32"/>
        </w:rPr>
        <w:tab/>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绩效指标四</w:t>
      </w:r>
      <w:r>
        <w:rPr>
          <w:rFonts w:ascii="仿宋" w:eastAsia="仿宋" w:hAnsi="仿宋"/>
          <w:sz w:val="32"/>
          <w:szCs w:val="32"/>
        </w:rPr>
        <w:t>:</w:t>
      </w:r>
      <w:r>
        <w:rPr>
          <w:rFonts w:ascii="仿宋" w:eastAsia="仿宋" w:hAnsi="仿宋" w:hint="eastAsia"/>
          <w:sz w:val="32"/>
          <w:szCs w:val="32"/>
        </w:rPr>
        <w:t>依托社区儿童中心大力开展各项爱国教育活动，以此传承我国的优良传统，培养青少年对自己祖国的一种最深厚的感情，也让青少年的内心更充盈。培训时长360课时及以上，预计参与人数9000人次以上。</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绩效指标五</w:t>
      </w:r>
      <w:r>
        <w:rPr>
          <w:rFonts w:ascii="仿宋" w:eastAsia="仿宋" w:hAnsi="仿宋"/>
          <w:sz w:val="32"/>
          <w:szCs w:val="32"/>
        </w:rPr>
        <w:t>:</w:t>
      </w:r>
      <w:r>
        <w:rPr>
          <w:rFonts w:ascii="仿宋" w:eastAsia="仿宋" w:hAnsi="仿宋" w:hint="eastAsia"/>
          <w:sz w:val="32"/>
          <w:szCs w:val="32"/>
        </w:rPr>
        <w:t>通过在社区青年汇开展美育教育培训课程，提升青少年综合素质；通过举办戏剧师资培训班，提高参加艺术</w:t>
      </w:r>
      <w:r>
        <w:rPr>
          <w:rFonts w:ascii="仿宋" w:eastAsia="仿宋" w:hAnsi="仿宋" w:hint="eastAsia"/>
          <w:sz w:val="32"/>
          <w:szCs w:val="32"/>
        </w:rPr>
        <w:lastRenderedPageBreak/>
        <w:t>培训者的教学水平。青年汇中有50家参与课程，预计参与人数1000人以上。</w:t>
      </w:r>
      <w:r>
        <w:rPr>
          <w:rFonts w:ascii="仿宋" w:eastAsia="仿宋" w:hAnsi="仿宋" w:hint="eastAsia"/>
          <w:sz w:val="32"/>
          <w:szCs w:val="32"/>
        </w:rPr>
        <w:tab/>
      </w:r>
      <w:r>
        <w:rPr>
          <w:rFonts w:ascii="仿宋" w:eastAsia="仿宋" w:hAnsi="仿宋" w:hint="eastAsia"/>
          <w:sz w:val="32"/>
          <w:szCs w:val="32"/>
        </w:rPr>
        <w:tab/>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绩效指标六</w:t>
      </w:r>
      <w:r>
        <w:rPr>
          <w:rFonts w:ascii="仿宋" w:eastAsia="仿宋" w:hAnsi="仿宋"/>
          <w:sz w:val="32"/>
          <w:szCs w:val="32"/>
        </w:rPr>
        <w:t>:</w:t>
      </w:r>
      <w:r>
        <w:rPr>
          <w:rFonts w:ascii="仿宋" w:eastAsia="仿宋" w:hAnsi="仿宋" w:hint="eastAsia"/>
          <w:sz w:val="32"/>
          <w:szCs w:val="32"/>
        </w:rPr>
        <w:t>组织开展丰富多彩的电影文化活动，加强和改进青少年思想政治教育工作，为青少年答疑解惑、传道授理、启迪人生，具有非凡的教育、鼓舞、激励的作用。举办青少年公益电影节充分发挥电影以人文为本的宣传、教育、引导优势，提升青少年的文化修养，加强青少年的道德实践，有力推动青少年思想道德建设。届时，电影节将举办青少年原创影片大赛、“演电影 拍电影”创作体验营、青少年影视教育师资研修班、公益电影流动放映等活动。</w:t>
      </w:r>
      <w:r>
        <w:rPr>
          <w:rFonts w:ascii="仿宋" w:eastAsia="仿宋" w:hAnsi="仿宋" w:hint="eastAsia"/>
          <w:sz w:val="32"/>
          <w:szCs w:val="32"/>
        </w:rPr>
        <w:tab/>
      </w:r>
      <w:r>
        <w:rPr>
          <w:rFonts w:ascii="仿宋" w:eastAsia="仿宋" w:hAnsi="仿宋" w:hint="eastAsia"/>
          <w:sz w:val="32"/>
          <w:szCs w:val="32"/>
        </w:rPr>
        <w:tab/>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绩效指标七</w:t>
      </w:r>
      <w:r>
        <w:rPr>
          <w:rFonts w:ascii="仿宋" w:eastAsia="仿宋" w:hAnsi="仿宋"/>
          <w:sz w:val="32"/>
          <w:szCs w:val="32"/>
        </w:rPr>
        <w:t>:</w:t>
      </w:r>
      <w:r>
        <w:rPr>
          <w:rFonts w:ascii="仿宋" w:eastAsia="仿宋" w:hAnsi="仿宋" w:hint="eastAsia"/>
          <w:sz w:val="32"/>
          <w:szCs w:val="32"/>
        </w:rPr>
        <w:t>运营北京市青少年公益心理服务基地，着力于开展青少年公益心理咨询、压力管理和心理教育等科普宣传与专业辅导工作，为青少年群体心理健康发展提供支持与保障。引导青年关注心理健康，并开展公益心理咨询服务和减压活动，为存在心理困扰的青年提供及时、专业的帮助，帮他们早日走出困境。</w:t>
      </w:r>
      <w:r>
        <w:rPr>
          <w:rFonts w:ascii="仿宋" w:eastAsia="仿宋" w:hAnsi="仿宋" w:hint="eastAsia"/>
          <w:sz w:val="32"/>
          <w:szCs w:val="32"/>
        </w:rPr>
        <w:tab/>
      </w:r>
      <w:r>
        <w:rPr>
          <w:rFonts w:ascii="仿宋" w:eastAsia="仿宋" w:hAnsi="仿宋" w:hint="eastAsia"/>
          <w:sz w:val="32"/>
          <w:szCs w:val="32"/>
        </w:rPr>
        <w:tab/>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绩效指标八</w:t>
      </w:r>
      <w:r>
        <w:rPr>
          <w:rFonts w:ascii="仿宋" w:eastAsia="仿宋" w:hAnsi="仿宋"/>
          <w:sz w:val="32"/>
          <w:szCs w:val="32"/>
        </w:rPr>
        <w:t>:</w:t>
      </w:r>
      <w:r>
        <w:rPr>
          <w:rFonts w:ascii="仿宋" w:eastAsia="仿宋" w:hAnsi="仿宋" w:hint="eastAsia"/>
          <w:sz w:val="32"/>
          <w:szCs w:val="32"/>
        </w:rPr>
        <w:t>北京青少年爱眼护眼健康公益讲堂，让青少年增长爱眼护眼知识，普及爱眼护眼方法；北京青少年爱眼护眼健康公益筛查，通过广泛的青少年视力筛查，提高青少年眼健康的综合水平，让每个青少年都能够清晰看世界；搭建科技平台，普及科技知识，让青少年学科学、爱科学。</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绩效指标九</w:t>
      </w:r>
      <w:r>
        <w:rPr>
          <w:rFonts w:ascii="仿宋" w:eastAsia="仿宋" w:hAnsi="仿宋"/>
          <w:sz w:val="32"/>
          <w:szCs w:val="32"/>
        </w:rPr>
        <w:t>:</w:t>
      </w:r>
      <w:r>
        <w:rPr>
          <w:rFonts w:ascii="仿宋" w:eastAsia="仿宋" w:hAnsi="仿宋" w:hint="eastAsia"/>
          <w:sz w:val="32"/>
          <w:szCs w:val="32"/>
        </w:rPr>
        <w:t>完成修缮改造项目，在主体建筑结构不变的前提下，对内部建筑布局进行适当调整；对室内、外进行装修；</w:t>
      </w:r>
      <w:r>
        <w:rPr>
          <w:rFonts w:ascii="仿宋" w:eastAsia="仿宋" w:hAnsi="仿宋" w:hint="eastAsia"/>
          <w:sz w:val="32"/>
          <w:szCs w:val="32"/>
        </w:rPr>
        <w:lastRenderedPageBreak/>
        <w:t>对设备设施、电气进行改造更新等，以达到消除安全隐患，实现环境的改善，为青年宫的基本安全、有序运营提供保障。</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绩效指标十</w:t>
      </w:r>
      <w:r>
        <w:rPr>
          <w:rFonts w:ascii="仿宋" w:eastAsia="仿宋" w:hAnsi="仿宋"/>
          <w:sz w:val="32"/>
          <w:szCs w:val="32"/>
        </w:rPr>
        <w:t>:</w:t>
      </w:r>
      <w:r>
        <w:rPr>
          <w:rFonts w:ascii="仿宋" w:eastAsia="仿宋" w:hAnsi="仿宋" w:hint="eastAsia"/>
          <w:sz w:val="32"/>
          <w:szCs w:val="32"/>
        </w:rPr>
        <w:t>在市青年宫日常运行中，需聘请专业律师事务所，进行合同审核、法律咨询并出具意见、参与谈判等，以确保青年宫各项业务合法合规进行。网络带宽接入，保障市青年宫无纸化办公业务顺利有序开展。拟报请青年宫党委会审议，报请团市委书记会批准，市青年宫启动2021年度公开招聘工作，预计招聘20名工作人员，以保障行政管理与公益项目的有序运转。</w:t>
      </w:r>
      <w:r>
        <w:rPr>
          <w:rFonts w:ascii="仿宋" w:eastAsia="仿宋" w:hAnsi="仿宋" w:hint="eastAsia"/>
          <w:sz w:val="32"/>
          <w:szCs w:val="32"/>
        </w:rPr>
        <w:tab/>
      </w:r>
      <w:r>
        <w:rPr>
          <w:rFonts w:ascii="仿宋" w:eastAsia="仿宋" w:hAnsi="仿宋" w:hint="eastAsia"/>
          <w:sz w:val="32"/>
          <w:szCs w:val="32"/>
        </w:rPr>
        <w:tab/>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绩效目标十一</w:t>
      </w:r>
      <w:r>
        <w:rPr>
          <w:rFonts w:ascii="仿宋" w:eastAsia="仿宋" w:hAnsi="仿宋"/>
          <w:sz w:val="32"/>
          <w:szCs w:val="32"/>
        </w:rPr>
        <w:t>:</w:t>
      </w:r>
      <w:r>
        <w:rPr>
          <w:rFonts w:ascii="仿宋" w:eastAsia="仿宋" w:hAnsi="仿宋" w:hint="eastAsia"/>
          <w:sz w:val="32"/>
          <w:szCs w:val="32"/>
        </w:rPr>
        <w:t>市青年宫重新开业后新增人员办公、开通各种新媒体的同时将重新启用网站，加强数据备份，需购置备份服务器等办公类设备及软件续费，确保正常开业的后续保障工作。</w:t>
      </w:r>
      <w:r>
        <w:rPr>
          <w:rFonts w:ascii="仿宋" w:eastAsia="仿宋" w:hAnsi="仿宋" w:hint="eastAsia"/>
          <w:sz w:val="32"/>
          <w:szCs w:val="32"/>
        </w:rPr>
        <w:tab/>
      </w:r>
      <w:r>
        <w:rPr>
          <w:rFonts w:ascii="仿宋" w:eastAsia="仿宋" w:hAnsi="仿宋" w:hint="eastAsia"/>
          <w:sz w:val="32"/>
          <w:szCs w:val="32"/>
        </w:rPr>
        <w:tab/>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绩效目标十二</w:t>
      </w:r>
      <w:r>
        <w:rPr>
          <w:rFonts w:ascii="仿宋" w:eastAsia="仿宋" w:hAnsi="仿宋"/>
          <w:sz w:val="32"/>
          <w:szCs w:val="32"/>
        </w:rPr>
        <w:t>:</w:t>
      </w:r>
      <w:r>
        <w:rPr>
          <w:rFonts w:ascii="仿宋" w:eastAsia="仿宋" w:hAnsi="仿宋" w:hint="eastAsia"/>
          <w:sz w:val="32"/>
          <w:szCs w:val="32"/>
        </w:rPr>
        <w:t>市青年宫前后广场南北两个由地下一层直通室外的消防疏散楼梯通道，楼梯为下沉式坡道，需要在楼梯上面安装架设防风雨棚，采用钢化玻璃材质不锈钢骨架，加装面积为210平方米，以保证人员疏散安全。</w:t>
      </w:r>
      <w:r>
        <w:rPr>
          <w:rFonts w:ascii="仿宋" w:eastAsia="仿宋" w:hAnsi="仿宋" w:hint="eastAsia"/>
          <w:sz w:val="32"/>
          <w:szCs w:val="32"/>
        </w:rPr>
        <w:tab/>
      </w:r>
      <w:r>
        <w:rPr>
          <w:rFonts w:ascii="仿宋" w:eastAsia="仿宋" w:hAnsi="仿宋" w:hint="eastAsia"/>
          <w:sz w:val="32"/>
          <w:szCs w:val="32"/>
        </w:rPr>
        <w:tab/>
      </w:r>
    </w:p>
    <w:p w:rsidR="003E06DC" w:rsidRDefault="001F60F7">
      <w:pPr>
        <w:spacing w:line="600" w:lineRule="exact"/>
        <w:ind w:firstLineChars="200" w:firstLine="643"/>
        <w:rPr>
          <w:rFonts w:ascii="仿宋" w:eastAsia="仿宋" w:hAnsi="仿宋"/>
          <w:b/>
          <w:sz w:val="32"/>
          <w:szCs w:val="32"/>
        </w:rPr>
      </w:pPr>
      <w:r>
        <w:rPr>
          <w:rFonts w:ascii="仿宋" w:eastAsia="仿宋" w:hAnsi="仿宋" w:hint="eastAsia"/>
          <w:b/>
          <w:sz w:val="32"/>
          <w:szCs w:val="32"/>
        </w:rPr>
        <w:t>2.绩效目标设立依据</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市青年宫通过党委会的形式，以例会制、提交议题、酝酿、集体议定、议定执行等方式对重大决策、重要干部管理工作、重大项目安排、大额度资金使用进行决策。在此基础上，按照上级单位有关要求，依据青年宫现状及内控制度、相关法规、上年工作总结和2021年度重点工作任务基础上进行决策，设定</w:t>
      </w:r>
      <w:r>
        <w:rPr>
          <w:rFonts w:ascii="仿宋" w:eastAsia="仿宋" w:hAnsi="仿宋" w:hint="eastAsia"/>
          <w:sz w:val="32"/>
          <w:szCs w:val="32"/>
        </w:rPr>
        <w:lastRenderedPageBreak/>
        <w:t>了绩效目标，设立依据充分，决策程序规范。</w:t>
      </w:r>
    </w:p>
    <w:p w:rsidR="003E06DC" w:rsidRDefault="001F60F7">
      <w:pPr>
        <w:pStyle w:val="3"/>
        <w:spacing w:before="312"/>
      </w:pPr>
      <w:r>
        <w:rPr>
          <w:rFonts w:hint="eastAsia"/>
        </w:rPr>
        <w:t>3.目标</w:t>
      </w:r>
      <w:r>
        <w:t>与</w:t>
      </w:r>
      <w:r>
        <w:rPr>
          <w:rFonts w:hint="eastAsia"/>
        </w:rPr>
        <w:t>职责任务匹配情况</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从上述指标设定情况以及与市青年宫2021年重点任务对应分析来看，总体目标与职责任务匹配较好，基本完整的反映了市青年宫重点工作任务和部门职责。</w:t>
      </w:r>
      <w:r>
        <w:rPr>
          <w:rFonts w:ascii="仿宋" w:eastAsia="仿宋" w:hAnsi="仿宋"/>
          <w:sz w:val="32"/>
          <w:szCs w:val="32"/>
        </w:rPr>
        <w:t xml:space="preserve"> </w:t>
      </w:r>
    </w:p>
    <w:p w:rsidR="003E06DC" w:rsidRDefault="001F60F7">
      <w:pPr>
        <w:pStyle w:val="3"/>
        <w:spacing w:before="312"/>
      </w:pPr>
      <w:r>
        <w:rPr>
          <w:rFonts w:hint="eastAsia"/>
        </w:rPr>
        <w:t>4.目标合理性</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市青年宫围绕部门工作设定了总体绩效目标，并在此基础上细化为六大类绩效指标，所设立目标与市青年宫职责密切相关，多数指标比较具体、明确，基本符合绩效目标设定要求，较合理。但总体绩效目标与具体绩效指标的匹配性有待进一步加强，部分指标的细化、量化程度不够。</w:t>
      </w:r>
    </w:p>
    <w:p w:rsidR="003E06DC" w:rsidRDefault="001F60F7">
      <w:pPr>
        <w:pStyle w:val="1"/>
      </w:pPr>
      <w:bookmarkStart w:id="3" w:name="_Toc103649412"/>
      <w:r>
        <w:rPr>
          <w:rFonts w:hint="eastAsia"/>
        </w:rPr>
        <w:t>二</w:t>
      </w:r>
      <w:r>
        <w:t>、预算执行情况</w:t>
      </w:r>
      <w:bookmarkEnd w:id="3"/>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2021年全年预算数8352.66万元，其中，基本支出预算数6012.39万元，项目支出预算数2243.83万元，其他支出预算数96.44万元。资金总体支出6039.67万元，其中，基本支出5034.16万元，项目支出977.81万元，其他支出27.70万元。预算执行率72.30%。</w:t>
      </w:r>
    </w:p>
    <w:p w:rsidR="003E06DC" w:rsidRDefault="001F60F7">
      <w:pPr>
        <w:pStyle w:val="1"/>
      </w:pPr>
      <w:bookmarkStart w:id="4" w:name="_Toc103649413"/>
      <w:r>
        <w:rPr>
          <w:rFonts w:hint="eastAsia"/>
        </w:rPr>
        <w:t>三</w:t>
      </w:r>
      <w:r>
        <w:t>、整体绩效目标实现情况</w:t>
      </w:r>
      <w:bookmarkEnd w:id="4"/>
    </w:p>
    <w:p w:rsidR="003E06DC" w:rsidRDefault="001F60F7">
      <w:pPr>
        <w:pStyle w:val="2"/>
      </w:pPr>
      <w:bookmarkStart w:id="5" w:name="_Toc103649414"/>
      <w:r>
        <w:rPr>
          <w:rFonts w:hint="eastAsia"/>
        </w:rPr>
        <w:t>（一）产出完成情况分析</w:t>
      </w:r>
      <w:bookmarkEnd w:id="5"/>
    </w:p>
    <w:p w:rsidR="003E06DC" w:rsidRDefault="001F60F7">
      <w:pPr>
        <w:pStyle w:val="3"/>
        <w:spacing w:before="312"/>
      </w:pPr>
      <w:r>
        <w:rPr>
          <w:rFonts w:hint="eastAsia"/>
        </w:rPr>
        <w:t>1.产出数量</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lastRenderedPageBreak/>
        <w:t>人员经费，保障了人员工资、社会保险、住房公积金等必要人员经费开支，保证人员办公正常运行。</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公用经费和项目经费保障了各项重点工作的开展。具体产出数量情况分析如下：</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1）青少年心理服务。安排专业力量参与北京2022年冬奥会和冬残奥会延庆赛区驻地专班服务工作。着力打造“北京青年健心工程”和“12355北京市青少年心理与法律热线”等服务品牌，面向青少年、青少年家长、困境青年等群体开展针对性服务。2021年全年共组织心理课程354场，直接服务26,413人次；接听心理服务热线6,386通，总接线时长122，373分钟。开展心理调研并形成《2021北京青年心理服务使用状况调查报告》。</w:t>
      </w:r>
    </w:p>
    <w:p w:rsidR="003E06DC" w:rsidRDefault="001F60F7">
      <w:pPr>
        <w:spacing w:line="600" w:lineRule="exact"/>
        <w:ind w:firstLineChars="200" w:firstLine="640"/>
        <w:rPr>
          <w:rFonts w:ascii="仿宋" w:eastAsia="仿宋" w:hAnsi="仿宋"/>
          <w:sz w:val="32"/>
          <w:szCs w:val="32"/>
        </w:rPr>
      </w:pPr>
      <w:r>
        <w:rPr>
          <w:rFonts w:ascii="仿宋" w:eastAsia="仿宋" w:hAnsi="仿宋"/>
          <w:sz w:val="32"/>
          <w:szCs w:val="32"/>
        </w:rPr>
        <w:t>（2）关爱青少年成长系列公益活动。爱眼护眼公益活动，走进幼儿园、社区青年汇等地，为3000余名青少年提供爱眼护眼公益宣讲及筛查服务，完成500余名青少年免费配镜服务；青少年科技普及活动共计举办近100场次，服务2000余名青少年。</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3）单身青年交友联谊项目。每月举办一期共青团单身青年交友联谊活动，围绕植树、环保、拓展、文化传承等主题，通过线上线下相结合、志愿服务与交友联谊相结合的方式开展活动，全年累计服务青年1500余人，174对青年表白牵手。</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（4）北京青少年公益电影节。北京青少年公益电影节包括全国青少年电影配音大赛、青少年影视文化一日体验营、全国</w:t>
      </w:r>
      <w:r>
        <w:rPr>
          <w:rFonts w:ascii="仿宋" w:eastAsia="仿宋" w:hAnsi="仿宋" w:hint="eastAsia"/>
          <w:sz w:val="32"/>
          <w:szCs w:val="32"/>
        </w:rPr>
        <w:lastRenderedPageBreak/>
        <w:t>青少年原创影片大赛、青少年影视教育研修班、公益流动电影放映等内容，服务青少年6000余人。</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5）青少年美育师资拓展培训。开展美育公开课,普及美育知识，面向学校、社区开设朗诵、戏剧等5个类别266个课时的教学，覆盖150家青年汇、4所学校，受益人群6355人次。旨在培育一批青年艺术骨干，带领更多青少年提高自身美育素养。</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（6）青少年爱国教育服务项目。先后走进多所中小学，开展竹简、剪纸、灯笼、印刷术等传统文化进校园活动共215场、受益11426人次，覆盖大兴、顺义、怀柔等十几个城区及远郊区。</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7）北京青年公益音乐会。举办6场第十届北京青年公益音乐会和4场“青春献礼”系列音乐会。围绕“红色经典”等主题，通过室内乐演奏和专业知识讲解相结合的方式，带领青年观众赏析不同风格的音乐作品。受邀走进北京广播电视台音乐广播直播间做客《974Live show》节目，通过新浪微博、抖音等新媒体平台观看直播人次10.6万。组建了一支5人以上的青年室内乐重奏乐团，并不定期在网上发表视频演奏作品，巩固、培养和发展了一支少年交响管乐团，每周六晚及假期期间对团员进行专业化的指导、排练和考核，全年在5月15日、10月3日、10月23日完成3场交响管乐的现场演出，11月25日完成1场云合奏并宣传推广；完成青年室内乐团合奏视频2 个。全年现场观众超1200人次，相关文章及视频关注超10万人次，</w:t>
      </w:r>
      <w:r>
        <w:rPr>
          <w:rFonts w:ascii="仿宋" w:eastAsia="仿宋" w:hAnsi="仿宋" w:hint="eastAsia"/>
          <w:sz w:val="32"/>
          <w:szCs w:val="32"/>
        </w:rPr>
        <w:lastRenderedPageBreak/>
        <w:t>收获了各界的点赞。</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8）青少年精准帮扶项目。以“弘扬传统文化，传承民族精神”为主题，采取线上线下结合的形式进行，在远郊区相继开展了八十余场活动，通过手工制作、文化传承、绘画艺术等系列课程，带领青少年学习民族历史，提升文化自信。</w:t>
      </w:r>
    </w:p>
    <w:p w:rsidR="003E06DC" w:rsidRDefault="001F60F7">
      <w:pPr>
        <w:spacing w:line="600" w:lineRule="exact"/>
        <w:ind w:firstLineChars="200" w:firstLine="640"/>
        <w:rPr>
          <w:rFonts w:ascii="仿宋" w:eastAsia="仿宋" w:hAnsi="仿宋"/>
          <w:sz w:val="32"/>
          <w:szCs w:val="32"/>
        </w:rPr>
      </w:pPr>
      <w:bookmarkStart w:id="6" w:name="_Hlk75783690"/>
      <w:r>
        <w:rPr>
          <w:rFonts w:ascii="仿宋" w:eastAsia="仿宋" w:hAnsi="仿宋" w:hint="eastAsia"/>
          <w:sz w:val="32"/>
          <w:szCs w:val="32"/>
        </w:rPr>
        <w:t>（9）东城区生态环境宣传教育实践活动</w:t>
      </w:r>
      <w:bookmarkEnd w:id="6"/>
      <w:r>
        <w:rPr>
          <w:rFonts w:ascii="仿宋" w:eastAsia="仿宋" w:hAnsi="仿宋" w:hint="eastAsia"/>
          <w:sz w:val="32"/>
          <w:szCs w:val="32"/>
        </w:rPr>
        <w:t>。以“六五”环境日主题宣传活动为主线，10场进社区、进校园、进企业、进博物馆及进军营等“五进五送”活动为依托，贯穿东城区2021年生态环境宣传工作。</w:t>
      </w:r>
    </w:p>
    <w:p w:rsidR="003E06DC" w:rsidRDefault="001F60F7">
      <w:pPr>
        <w:spacing w:line="600" w:lineRule="exact"/>
        <w:ind w:firstLineChars="200" w:firstLine="640"/>
        <w:rPr>
          <w:rFonts w:ascii="仿宋" w:eastAsia="仿宋" w:hAnsi="仿宋"/>
          <w:sz w:val="32"/>
          <w:szCs w:val="32"/>
        </w:rPr>
      </w:pPr>
      <w:bookmarkStart w:id="7" w:name="_Hlk75786826"/>
      <w:r>
        <w:rPr>
          <w:rFonts w:ascii="仿宋" w:eastAsia="仿宋" w:hAnsi="仿宋" w:hint="eastAsia"/>
          <w:sz w:val="32"/>
          <w:szCs w:val="32"/>
        </w:rPr>
        <w:t>（10）“兰亭杯”北京中小学生书法大赛</w:t>
      </w:r>
      <w:bookmarkEnd w:id="7"/>
      <w:r>
        <w:rPr>
          <w:rFonts w:ascii="仿宋" w:eastAsia="仿宋" w:hAnsi="仿宋" w:hint="eastAsia"/>
          <w:sz w:val="32"/>
          <w:szCs w:val="32"/>
        </w:rPr>
        <w:t>。面向北京、天津、河北、港澳台和外籍中小学生征集书法作品，参加中小学校1170所，共征集作品14281幅，最终确定一等奖50名、二等奖100名、三等奖200名、优秀奖305名、“港澳台及外籍青少年优秀奖”26名。有效保障了兰亭杯、评选、网络展评、颁奖仪式及作品巡展工作。</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此外，承接毛主席纪念堂志愿服务项目，组织9批次413名志愿者协助工作人员完成网上预约、队伍疏导、扶老助残、咨询解答等工作。承接基层团建督导员项目，并完成全市9个区、141名督导员的离职转岗等大量工作。承接社区青年汇督导和考核项目，为全市491家社区青年汇提供专业督导服务。承接新媒体“中央厨房”建设运维项目，依据合同要求，完成项目相关工作。承接“盛夏有爱 团助成长—暑期志愿公益关爱行动” 系列活动项目，做好项目相关的青少年暑期托管服务工作。</w:t>
      </w:r>
      <w:r>
        <w:rPr>
          <w:rFonts w:ascii="仿宋" w:eastAsia="仿宋" w:hAnsi="仿宋" w:hint="eastAsia"/>
          <w:sz w:val="32"/>
          <w:szCs w:val="32"/>
        </w:rPr>
        <w:lastRenderedPageBreak/>
        <w:t>承接团市委综合保障服务项目，完成所需人员的招聘、面试及入职工作。</w:t>
      </w:r>
    </w:p>
    <w:p w:rsidR="003E06DC" w:rsidRDefault="001F60F7">
      <w:pPr>
        <w:pStyle w:val="3"/>
        <w:spacing w:before="312"/>
      </w:pPr>
      <w:r>
        <w:rPr>
          <w:rFonts w:hint="eastAsia"/>
        </w:rPr>
        <w:t>2.产出</w:t>
      </w:r>
      <w:r>
        <w:t>质量</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2021年，市青年宫积极开展各项重点工作，履行部门职责，通过预算执行和年度目标的完成，保质保量的完成了各项工作，产出质量较高。</w:t>
      </w:r>
    </w:p>
    <w:p w:rsidR="003E06DC" w:rsidRDefault="001F60F7">
      <w:pPr>
        <w:spacing w:line="600" w:lineRule="exact"/>
        <w:ind w:firstLineChars="200" w:firstLine="643"/>
        <w:rPr>
          <w:rFonts w:ascii="仿宋" w:eastAsia="仿宋" w:hAnsi="仿宋"/>
          <w:b/>
          <w:bCs/>
          <w:sz w:val="32"/>
          <w:szCs w:val="32"/>
        </w:rPr>
      </w:pPr>
      <w:r>
        <w:rPr>
          <w:rFonts w:ascii="仿宋" w:eastAsia="仿宋" w:hAnsi="仿宋" w:hint="eastAsia"/>
          <w:b/>
          <w:bCs/>
          <w:sz w:val="32"/>
          <w:szCs w:val="32"/>
        </w:rPr>
        <w:t>3.产出</w:t>
      </w:r>
      <w:r>
        <w:rPr>
          <w:rFonts w:ascii="仿宋" w:eastAsia="仿宋" w:hAnsi="仿宋"/>
          <w:b/>
          <w:bCs/>
          <w:sz w:val="32"/>
          <w:szCs w:val="32"/>
        </w:rPr>
        <w:t>进度</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从预算支出情况来看，市青年宫2021年预算执行进度较慢，年底结转结余率较高，一定程度上反映了业务开展时间和绩效产出进度略显不足。</w:t>
      </w:r>
    </w:p>
    <w:p w:rsidR="003E06DC" w:rsidRDefault="001F60F7">
      <w:pPr>
        <w:spacing w:line="600" w:lineRule="exact"/>
        <w:ind w:firstLineChars="200" w:firstLine="643"/>
        <w:rPr>
          <w:rFonts w:ascii="仿宋" w:eastAsia="仿宋" w:hAnsi="仿宋"/>
          <w:b/>
          <w:bCs/>
          <w:sz w:val="32"/>
          <w:szCs w:val="32"/>
        </w:rPr>
      </w:pPr>
      <w:r>
        <w:rPr>
          <w:rFonts w:ascii="仿宋" w:eastAsia="仿宋" w:hAnsi="仿宋"/>
          <w:b/>
          <w:bCs/>
          <w:sz w:val="32"/>
          <w:szCs w:val="32"/>
        </w:rPr>
        <w:t>4.</w:t>
      </w:r>
      <w:r>
        <w:rPr>
          <w:rFonts w:ascii="仿宋" w:eastAsia="仿宋" w:hAnsi="仿宋" w:hint="eastAsia"/>
          <w:b/>
          <w:bCs/>
          <w:sz w:val="32"/>
          <w:szCs w:val="32"/>
        </w:rPr>
        <w:t>产出</w:t>
      </w:r>
      <w:r>
        <w:rPr>
          <w:rFonts w:ascii="仿宋" w:eastAsia="仿宋" w:hAnsi="仿宋"/>
          <w:b/>
          <w:bCs/>
          <w:sz w:val="32"/>
          <w:szCs w:val="32"/>
        </w:rPr>
        <w:t>成本</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 xml:space="preserve">市青年宫2021年预算严格执行市财政压缩一般公用支出的要求，过“紧”日子。预算执行过程中，严格执行相关财务管理制度，各项支出有明确支出标准的严格按照支出标准执行，避免超预算支出。针对各类重点项目，委托第三方专业机构开展预算评审，提高预算申报的科学性、准确性。评价分析认为，2021年市青年宫在完成各项任务的同时，产出成本控制较好。                              </w:t>
      </w:r>
    </w:p>
    <w:p w:rsidR="003E06DC" w:rsidRDefault="001F60F7">
      <w:pPr>
        <w:pStyle w:val="2"/>
      </w:pPr>
      <w:bookmarkStart w:id="8" w:name="_Toc103649415"/>
      <w:r>
        <w:rPr>
          <w:rFonts w:hint="eastAsia"/>
        </w:rPr>
        <w:t>（二）效果</w:t>
      </w:r>
      <w:r>
        <w:t>实现情况分析</w:t>
      </w:r>
      <w:bookmarkEnd w:id="8"/>
    </w:p>
    <w:p w:rsidR="003E06DC" w:rsidRDefault="001F60F7">
      <w:pPr>
        <w:pStyle w:val="3"/>
        <w:spacing w:before="312"/>
      </w:pPr>
      <w:r>
        <w:rPr>
          <w:rFonts w:hint="eastAsia"/>
        </w:rPr>
        <w:t>1.社会效益</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2021年市青年宫整体支出基本实现了预期绩效目标，实现了较高的社会效益。比如，着力打造“北京青年健心工程”和</w:t>
      </w:r>
      <w:r>
        <w:rPr>
          <w:rFonts w:ascii="仿宋" w:eastAsia="仿宋" w:hAnsi="仿宋" w:hint="eastAsia"/>
          <w:sz w:val="32"/>
          <w:szCs w:val="32"/>
        </w:rPr>
        <w:lastRenderedPageBreak/>
        <w:t>“12355北京市青少年心理与法律热线”等服务品牌，面向青少年、青少年家长、困境青年等群体开展针对性服务；爱眼护眼公益活动，走进幼儿园、社区青年汇等地，为3000余名青少年提供爱眼护眼公益宣讲及筛查服务，完成500余名青少年免费配镜服务；以“弘扬传统文化，传承民族精神”为主题，采取线上线下结合的形式进行，在远郊区相继开展了八十余场活动，通过手工制作、文化传承、绘画艺术等系列课程，带领青少年学习民族历史，提升文化自信。</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评价分析认为，市青年宫2021年绩效产出社会效益较高。</w:t>
      </w:r>
    </w:p>
    <w:p w:rsidR="003E06DC" w:rsidRDefault="001F60F7">
      <w:pPr>
        <w:pStyle w:val="3"/>
        <w:spacing w:before="312"/>
      </w:pPr>
      <w:r>
        <w:rPr>
          <w:rFonts w:hint="eastAsia"/>
        </w:rPr>
        <w:t>2.环境效益</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市青年宫2021年各类工作开展过程中，注重资源的节约利用。个别项目执行过程中，避免对环境的污染和资源的浪费，环保理念较强，环境效益得到了一定的体现。同时，部门重点工作与环境保护密切相关，对保护环境具有重要的意义。比如，组织开展东城区生态环境宣传教育实践活动，以“六五”环境日主题宣传活动为主线，10场进社区、进校园、进企业、进博物馆及进军营等“五进五送”活动为依托，贯穿东城区2021年生态环境宣传工作。</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评价分析任务，市青年宫2021年绩效产出具有一定的环境效益。</w:t>
      </w:r>
    </w:p>
    <w:p w:rsidR="003E06DC" w:rsidRDefault="001F60F7">
      <w:pPr>
        <w:pStyle w:val="3"/>
        <w:spacing w:before="312"/>
      </w:pPr>
      <w:r>
        <w:rPr>
          <w:rFonts w:hint="eastAsia"/>
        </w:rPr>
        <w:t>3.可持续</w:t>
      </w:r>
      <w:r>
        <w:t>性影响</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市青年宫2021年多项绩效成果产生了较好的可持续性影响。</w:t>
      </w:r>
      <w:r>
        <w:rPr>
          <w:rFonts w:ascii="仿宋" w:eastAsia="仿宋" w:hAnsi="仿宋" w:hint="eastAsia"/>
          <w:sz w:val="32"/>
          <w:szCs w:val="32"/>
        </w:rPr>
        <w:lastRenderedPageBreak/>
        <w:t>比如，组织开展美育公开课,普及美育知识，面向学校、社区开设朗诵、戏剧等5个类别266个课时的教学，覆盖150家青年汇、4所学校，受益人群6355人次，培育了一批青年艺术骨干，带领更多青少年提高自身美育素养，具有较高的可持续性影响。</w:t>
      </w:r>
    </w:p>
    <w:p w:rsidR="003E06DC" w:rsidRDefault="001F60F7">
      <w:pPr>
        <w:pStyle w:val="1"/>
      </w:pPr>
      <w:bookmarkStart w:id="9" w:name="_Toc103649416"/>
      <w:r>
        <w:rPr>
          <w:rFonts w:hint="eastAsia"/>
        </w:rPr>
        <w:t>四</w:t>
      </w:r>
      <w:r>
        <w:t>、预算管理</w:t>
      </w:r>
      <w:r>
        <w:rPr>
          <w:rFonts w:hint="eastAsia"/>
        </w:rPr>
        <w:t>情况分</w:t>
      </w:r>
      <w:r>
        <w:t>析</w:t>
      </w:r>
      <w:bookmarkEnd w:id="9"/>
    </w:p>
    <w:p w:rsidR="003E06DC" w:rsidRDefault="001F60F7">
      <w:pPr>
        <w:pStyle w:val="2"/>
      </w:pPr>
      <w:bookmarkStart w:id="10" w:name="_Toc103649417"/>
      <w:r>
        <w:rPr>
          <w:rFonts w:hint="eastAsia"/>
        </w:rPr>
        <w:t>（一）财务管理</w:t>
      </w:r>
      <w:bookmarkEnd w:id="10"/>
    </w:p>
    <w:p w:rsidR="003E06DC" w:rsidRDefault="001F60F7">
      <w:pPr>
        <w:pStyle w:val="3"/>
        <w:spacing w:before="312"/>
      </w:pPr>
      <w:r>
        <w:rPr>
          <w:rFonts w:hint="eastAsia"/>
        </w:rPr>
        <w:t>1.财务</w:t>
      </w:r>
      <w:r>
        <w:t>管理制度健全性</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根据《中华人民共和国预算法》、《行政单位事业单位内部控制规范（试行）》《北京市市级基本支出预算管理办法》、《北京市市级项目支出预算管理办法》等有关法律法规，市青年宫制定了《北京市青年宫财务管理制度汇编》，明确了各类管理制度，涵盖了预算管理、支出管理、审批程序、固定资产、政府采购等全方位，制度体系健全。</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评价分析认为，财务管理制度较健全，对规范预算执行和绩效目标的实现具有重要的指导作用。但缺乏专门的绩效管理相关制度，不利于绩效管理工作的开展。</w:t>
      </w:r>
    </w:p>
    <w:p w:rsidR="003E06DC" w:rsidRDefault="001F60F7">
      <w:pPr>
        <w:pStyle w:val="3"/>
        <w:spacing w:before="312"/>
      </w:pPr>
      <w:r>
        <w:rPr>
          <w:rFonts w:hint="eastAsia"/>
        </w:rPr>
        <w:t>2.资金使用合规性</w:t>
      </w:r>
      <w:r>
        <w:t>和安全性</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部门预算经批准后，市青年宫按照规定程序批复预算。对按照法定程序批复的预算在单位内部进行指标分解、审批下达；认真遵守政府采购、资产管理、合同管理、绩效管理等财政财务管理相关规定。推行全过程绩效预算管理，建立健全绩效评</w:t>
      </w:r>
      <w:r>
        <w:rPr>
          <w:rFonts w:ascii="仿宋" w:eastAsia="仿宋" w:hAnsi="仿宋" w:hint="eastAsia"/>
          <w:sz w:val="32"/>
          <w:szCs w:val="32"/>
        </w:rPr>
        <w:lastRenderedPageBreak/>
        <w:t>价结果与资金预算安排和政策调整挂钩机制。对绩效好的政策和项目优先保障，对绩效一般的项目督促改进，对交叉重复、碎片化的政策和项目予以调整，对低效无效的政策和项目调减预算或暂缓安排。对长期沉淀的财政资金一律收回并按照有关规定统筹用于急需支持的领域。</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青年宫制定了《北京市青年宫财务管理制度汇编》，各项制度均得到了有效执行，把风险降低到最低，同时确保预算执行更加顺畅、监督体系更加完善，使各项开支合规、合法。各项收入符合国家法律法规的规定，确保应收尽收，应上缴的应及时足额上缴到指定账户，没有账外账和“小金库”。票据、印章和资金等保管合理合规，防止产生错误或舞弊。各项支出符合规定的程序和规范，审批手续完备，支出真实合理，支出的效率和效果良好。</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从抽查的经费支出情况看，制度执行较好，财务记账较为规范，支出凭单、发票等附件较为齐全，资金使用合规性较强，保障了资金使用的安全性。</w:t>
      </w:r>
    </w:p>
    <w:p w:rsidR="003E06DC" w:rsidRDefault="001F60F7">
      <w:pPr>
        <w:pStyle w:val="3"/>
        <w:spacing w:before="312"/>
      </w:pPr>
      <w:r>
        <w:t>3.</w:t>
      </w:r>
      <w:r>
        <w:rPr>
          <w:rFonts w:hint="eastAsia"/>
        </w:rPr>
        <w:t>会计</w:t>
      </w:r>
      <w:r>
        <w:t>基础信息完善性</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市青年宫严格按照新政府会计制度及财政对部门预算的批复文件，及时清理收支账目。根据政府会计准则和制度要求核算每笔业务，实现财务会计和预算会计平行记账。从抽查凭证看，市青年宫严格执行《政府会计制度》规范使用会计科目，各项收支均得到正确核算，相关财务信息真实完整，规范性较</w:t>
      </w:r>
      <w:r>
        <w:rPr>
          <w:rFonts w:ascii="仿宋" w:eastAsia="仿宋" w:hAnsi="仿宋" w:hint="eastAsia"/>
          <w:sz w:val="32"/>
          <w:szCs w:val="32"/>
        </w:rPr>
        <w:lastRenderedPageBreak/>
        <w:t>强。</w:t>
      </w:r>
    </w:p>
    <w:p w:rsidR="003E06DC" w:rsidRDefault="001F60F7">
      <w:pPr>
        <w:pStyle w:val="2"/>
      </w:pPr>
      <w:bookmarkStart w:id="11" w:name="_Toc103649418"/>
      <w:r>
        <w:rPr>
          <w:rFonts w:hint="eastAsia"/>
        </w:rPr>
        <w:t>（二）资产管理</w:t>
      </w:r>
      <w:bookmarkEnd w:id="11"/>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2021年末市青年宫资产总量14045.92万元，包括货币资金200.86万元，财政应返还额度1552.19万元，固定资产净值1485.57万元，在建工程10807.29万元。</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具体资产信息如表1所示。</w:t>
      </w:r>
    </w:p>
    <w:p w:rsidR="003E06DC" w:rsidRDefault="001F60F7">
      <w:pPr>
        <w:snapToGrid w:val="0"/>
        <w:spacing w:line="520" w:lineRule="exact"/>
        <w:jc w:val="center"/>
        <w:rPr>
          <w:rFonts w:ascii="楷体_GB2312" w:eastAsia="楷体_GB2312" w:hAnsi="仿宋"/>
          <w:b/>
          <w:sz w:val="28"/>
          <w:szCs w:val="28"/>
        </w:rPr>
      </w:pPr>
      <w:r>
        <w:rPr>
          <w:rFonts w:ascii="仿宋_GB2312" w:eastAsia="仿宋_GB2312" w:hAnsi="华文仿宋" w:hint="eastAsia"/>
          <w:color w:val="000000" w:themeColor="text1"/>
          <w:kern w:val="0"/>
          <w:sz w:val="28"/>
          <w:szCs w:val="28"/>
        </w:rPr>
        <w:t>表1</w:t>
      </w:r>
      <w:r>
        <w:rPr>
          <w:rFonts w:ascii="仿宋_GB2312" w:eastAsia="仿宋_GB2312" w:hAnsi="华文仿宋"/>
          <w:color w:val="000000" w:themeColor="text1"/>
          <w:kern w:val="0"/>
          <w:sz w:val="28"/>
          <w:szCs w:val="28"/>
        </w:rPr>
        <w:t xml:space="preserve"> </w:t>
      </w:r>
      <w:r>
        <w:rPr>
          <w:rFonts w:ascii="仿宋_GB2312" w:eastAsia="仿宋_GB2312" w:hAnsi="华文仿宋" w:hint="eastAsia"/>
          <w:color w:val="000000" w:themeColor="text1"/>
          <w:kern w:val="0"/>
          <w:sz w:val="28"/>
          <w:szCs w:val="28"/>
        </w:rPr>
        <w:t>资产信息情况</w:t>
      </w:r>
      <w:r>
        <w:rPr>
          <w:rFonts w:ascii="仿宋_GB2312" w:eastAsia="仿宋_GB2312" w:hAnsi="仿宋" w:hint="eastAsia"/>
          <w:sz w:val="28"/>
          <w:szCs w:val="28"/>
        </w:rPr>
        <w:t>（单位：万元）</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1428"/>
        <w:gridCol w:w="1704"/>
        <w:gridCol w:w="1705"/>
        <w:gridCol w:w="1705"/>
      </w:tblGrid>
      <w:tr w:rsidR="003E06DC">
        <w:tc>
          <w:tcPr>
            <w:tcW w:w="1980" w:type="dxa"/>
            <w:tcBorders>
              <w:top w:val="single" w:sz="4" w:space="0" w:color="auto"/>
              <w:left w:val="single" w:sz="4" w:space="0" w:color="auto"/>
              <w:bottom w:val="single" w:sz="4" w:space="0" w:color="auto"/>
              <w:right w:val="single" w:sz="4" w:space="0" w:color="auto"/>
            </w:tcBorders>
          </w:tcPr>
          <w:p w:rsidR="003E06DC" w:rsidRDefault="001F60F7">
            <w:pPr>
              <w:snapToGrid w:val="0"/>
              <w:spacing w:line="520" w:lineRule="exact"/>
              <w:rPr>
                <w:rFonts w:ascii="仿宋" w:eastAsia="仿宋" w:hAnsi="仿宋"/>
                <w:sz w:val="24"/>
              </w:rPr>
            </w:pPr>
            <w:r>
              <w:rPr>
                <w:rFonts w:ascii="仿宋" w:eastAsia="仿宋" w:hAnsi="仿宋" w:hint="eastAsia"/>
                <w:sz w:val="24"/>
              </w:rPr>
              <w:t>资产类型</w:t>
            </w:r>
          </w:p>
        </w:tc>
        <w:tc>
          <w:tcPr>
            <w:tcW w:w="1428" w:type="dxa"/>
            <w:tcBorders>
              <w:top w:val="single" w:sz="4" w:space="0" w:color="auto"/>
              <w:left w:val="single" w:sz="4" w:space="0" w:color="auto"/>
              <w:bottom w:val="single" w:sz="4" w:space="0" w:color="auto"/>
              <w:right w:val="single" w:sz="4" w:space="0" w:color="auto"/>
            </w:tcBorders>
          </w:tcPr>
          <w:p w:rsidR="003E06DC" w:rsidRDefault="001F60F7">
            <w:pPr>
              <w:snapToGrid w:val="0"/>
              <w:spacing w:line="520" w:lineRule="exact"/>
              <w:rPr>
                <w:rFonts w:ascii="仿宋" w:eastAsia="仿宋" w:hAnsi="仿宋"/>
                <w:sz w:val="24"/>
              </w:rPr>
            </w:pPr>
            <w:r>
              <w:rPr>
                <w:rFonts w:ascii="仿宋" w:eastAsia="仿宋" w:hAnsi="仿宋" w:hint="eastAsia"/>
                <w:sz w:val="24"/>
              </w:rPr>
              <w:t>年初数</w:t>
            </w:r>
          </w:p>
        </w:tc>
        <w:tc>
          <w:tcPr>
            <w:tcW w:w="1704" w:type="dxa"/>
            <w:tcBorders>
              <w:top w:val="single" w:sz="4" w:space="0" w:color="auto"/>
              <w:left w:val="single" w:sz="4" w:space="0" w:color="auto"/>
              <w:bottom w:val="single" w:sz="4" w:space="0" w:color="auto"/>
              <w:right w:val="single" w:sz="4" w:space="0" w:color="auto"/>
            </w:tcBorders>
          </w:tcPr>
          <w:p w:rsidR="003E06DC" w:rsidRDefault="001F60F7">
            <w:pPr>
              <w:snapToGrid w:val="0"/>
              <w:spacing w:line="520" w:lineRule="exact"/>
              <w:rPr>
                <w:rFonts w:ascii="仿宋" w:eastAsia="仿宋" w:hAnsi="仿宋"/>
                <w:sz w:val="24"/>
              </w:rPr>
            </w:pPr>
            <w:r>
              <w:rPr>
                <w:rFonts w:ascii="仿宋" w:eastAsia="仿宋" w:hAnsi="仿宋" w:hint="eastAsia"/>
                <w:sz w:val="24"/>
              </w:rPr>
              <w:t>年末数</w:t>
            </w:r>
          </w:p>
        </w:tc>
        <w:tc>
          <w:tcPr>
            <w:tcW w:w="1705" w:type="dxa"/>
            <w:tcBorders>
              <w:top w:val="single" w:sz="4" w:space="0" w:color="auto"/>
              <w:left w:val="single" w:sz="4" w:space="0" w:color="auto"/>
              <w:bottom w:val="single" w:sz="4" w:space="0" w:color="auto"/>
              <w:right w:val="single" w:sz="4" w:space="0" w:color="auto"/>
            </w:tcBorders>
          </w:tcPr>
          <w:p w:rsidR="003E06DC" w:rsidRDefault="001F60F7">
            <w:pPr>
              <w:snapToGrid w:val="0"/>
              <w:spacing w:line="520" w:lineRule="exact"/>
              <w:rPr>
                <w:rFonts w:ascii="仿宋" w:eastAsia="仿宋" w:hAnsi="仿宋"/>
                <w:sz w:val="24"/>
              </w:rPr>
            </w:pPr>
            <w:r>
              <w:rPr>
                <w:rFonts w:ascii="仿宋" w:eastAsia="仿宋" w:hAnsi="仿宋" w:hint="eastAsia"/>
                <w:sz w:val="24"/>
              </w:rPr>
              <w:t>增减值</w:t>
            </w:r>
          </w:p>
        </w:tc>
        <w:tc>
          <w:tcPr>
            <w:tcW w:w="1705" w:type="dxa"/>
            <w:tcBorders>
              <w:top w:val="single" w:sz="4" w:space="0" w:color="auto"/>
              <w:left w:val="single" w:sz="4" w:space="0" w:color="auto"/>
              <w:bottom w:val="single" w:sz="4" w:space="0" w:color="auto"/>
              <w:right w:val="single" w:sz="4" w:space="0" w:color="auto"/>
            </w:tcBorders>
          </w:tcPr>
          <w:p w:rsidR="003E06DC" w:rsidRDefault="001F60F7">
            <w:pPr>
              <w:snapToGrid w:val="0"/>
              <w:spacing w:line="520" w:lineRule="exact"/>
              <w:rPr>
                <w:rFonts w:ascii="仿宋" w:eastAsia="仿宋" w:hAnsi="仿宋"/>
                <w:sz w:val="24"/>
              </w:rPr>
            </w:pPr>
            <w:r>
              <w:rPr>
                <w:rFonts w:ascii="仿宋" w:eastAsia="仿宋" w:hAnsi="仿宋" w:hint="eastAsia"/>
                <w:sz w:val="24"/>
              </w:rPr>
              <w:t>幅度%</w:t>
            </w:r>
          </w:p>
        </w:tc>
      </w:tr>
      <w:tr w:rsidR="003E06DC">
        <w:tc>
          <w:tcPr>
            <w:tcW w:w="1980" w:type="dxa"/>
            <w:tcBorders>
              <w:top w:val="single" w:sz="4" w:space="0" w:color="auto"/>
              <w:left w:val="single" w:sz="4" w:space="0" w:color="auto"/>
              <w:bottom w:val="single" w:sz="4" w:space="0" w:color="auto"/>
              <w:right w:val="single" w:sz="4" w:space="0" w:color="auto"/>
            </w:tcBorders>
          </w:tcPr>
          <w:p w:rsidR="003E06DC" w:rsidRDefault="001F60F7">
            <w:pPr>
              <w:snapToGrid w:val="0"/>
              <w:spacing w:line="520" w:lineRule="exact"/>
              <w:rPr>
                <w:rFonts w:ascii="仿宋" w:eastAsia="仿宋" w:hAnsi="仿宋"/>
                <w:sz w:val="24"/>
              </w:rPr>
            </w:pPr>
            <w:r>
              <w:rPr>
                <w:rFonts w:ascii="仿宋" w:eastAsia="仿宋" w:hAnsi="仿宋" w:hint="eastAsia"/>
                <w:sz w:val="24"/>
              </w:rPr>
              <w:t>货币资金</w:t>
            </w:r>
          </w:p>
        </w:tc>
        <w:tc>
          <w:tcPr>
            <w:tcW w:w="1428"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202.51</w:t>
            </w:r>
          </w:p>
        </w:tc>
        <w:tc>
          <w:tcPr>
            <w:tcW w:w="1704"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200.87</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-1.64</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-0.81%</w:t>
            </w:r>
          </w:p>
        </w:tc>
      </w:tr>
      <w:tr w:rsidR="003E06DC">
        <w:tc>
          <w:tcPr>
            <w:tcW w:w="1980" w:type="dxa"/>
            <w:tcBorders>
              <w:top w:val="single" w:sz="4" w:space="0" w:color="auto"/>
              <w:left w:val="single" w:sz="4" w:space="0" w:color="auto"/>
              <w:bottom w:val="single" w:sz="4" w:space="0" w:color="auto"/>
              <w:right w:val="single" w:sz="4" w:space="0" w:color="auto"/>
            </w:tcBorders>
          </w:tcPr>
          <w:p w:rsidR="003E06DC" w:rsidRDefault="001F60F7">
            <w:pPr>
              <w:snapToGrid w:val="0"/>
              <w:spacing w:line="520" w:lineRule="exact"/>
              <w:rPr>
                <w:rFonts w:ascii="仿宋" w:eastAsia="仿宋" w:hAnsi="仿宋"/>
                <w:sz w:val="24"/>
              </w:rPr>
            </w:pPr>
            <w:r>
              <w:rPr>
                <w:rFonts w:ascii="仿宋" w:eastAsia="仿宋" w:hAnsi="仿宋" w:hint="eastAsia"/>
                <w:sz w:val="24"/>
              </w:rPr>
              <w:t>其中：银行存款</w:t>
            </w:r>
          </w:p>
        </w:tc>
        <w:tc>
          <w:tcPr>
            <w:tcW w:w="1428"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202.46</w:t>
            </w:r>
          </w:p>
        </w:tc>
        <w:tc>
          <w:tcPr>
            <w:tcW w:w="1704"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200.79</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-1.67</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-0.82%</w:t>
            </w:r>
          </w:p>
        </w:tc>
      </w:tr>
      <w:tr w:rsidR="003E06DC">
        <w:tc>
          <w:tcPr>
            <w:tcW w:w="1980" w:type="dxa"/>
            <w:tcBorders>
              <w:top w:val="single" w:sz="4" w:space="0" w:color="auto"/>
              <w:left w:val="single" w:sz="4" w:space="0" w:color="auto"/>
              <w:bottom w:val="single" w:sz="4" w:space="0" w:color="auto"/>
              <w:right w:val="single" w:sz="4" w:space="0" w:color="auto"/>
            </w:tcBorders>
          </w:tcPr>
          <w:p w:rsidR="003E06DC" w:rsidRDefault="001F60F7">
            <w:pPr>
              <w:snapToGrid w:val="0"/>
              <w:spacing w:line="520" w:lineRule="exact"/>
              <w:rPr>
                <w:rFonts w:ascii="仿宋" w:eastAsia="仿宋" w:hAnsi="仿宋"/>
                <w:sz w:val="24"/>
              </w:rPr>
            </w:pPr>
            <w:r>
              <w:rPr>
                <w:rFonts w:ascii="仿宋" w:eastAsia="仿宋" w:hAnsi="仿宋" w:hint="eastAsia"/>
                <w:sz w:val="24"/>
              </w:rPr>
              <w:t>财政应返还额度</w:t>
            </w:r>
          </w:p>
        </w:tc>
        <w:tc>
          <w:tcPr>
            <w:tcW w:w="1428"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201.56</w:t>
            </w:r>
          </w:p>
        </w:tc>
        <w:tc>
          <w:tcPr>
            <w:tcW w:w="1704"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1552.19</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1350.63</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670.09%</w:t>
            </w:r>
          </w:p>
        </w:tc>
      </w:tr>
      <w:tr w:rsidR="003E06DC">
        <w:tc>
          <w:tcPr>
            <w:tcW w:w="1980" w:type="dxa"/>
            <w:tcBorders>
              <w:top w:val="single" w:sz="4" w:space="0" w:color="auto"/>
              <w:left w:val="single" w:sz="4" w:space="0" w:color="auto"/>
              <w:bottom w:val="single" w:sz="4" w:space="0" w:color="auto"/>
              <w:right w:val="single" w:sz="4" w:space="0" w:color="auto"/>
            </w:tcBorders>
          </w:tcPr>
          <w:p w:rsidR="003E06DC" w:rsidRDefault="001F60F7">
            <w:pPr>
              <w:snapToGrid w:val="0"/>
              <w:spacing w:line="520" w:lineRule="exact"/>
              <w:rPr>
                <w:rFonts w:ascii="仿宋" w:eastAsia="仿宋" w:hAnsi="仿宋"/>
                <w:sz w:val="24"/>
              </w:rPr>
            </w:pPr>
            <w:r>
              <w:rPr>
                <w:rFonts w:ascii="仿宋" w:eastAsia="仿宋" w:hAnsi="仿宋" w:hint="eastAsia"/>
                <w:sz w:val="24"/>
              </w:rPr>
              <w:t>固定资产原值</w:t>
            </w:r>
          </w:p>
        </w:tc>
        <w:tc>
          <w:tcPr>
            <w:tcW w:w="1428"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5120.54</w:t>
            </w:r>
          </w:p>
        </w:tc>
        <w:tc>
          <w:tcPr>
            <w:tcW w:w="1704"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4512.23</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-608.31</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-11.88%</w:t>
            </w:r>
          </w:p>
        </w:tc>
      </w:tr>
      <w:tr w:rsidR="003E06DC">
        <w:tc>
          <w:tcPr>
            <w:tcW w:w="1980" w:type="dxa"/>
            <w:tcBorders>
              <w:top w:val="single" w:sz="4" w:space="0" w:color="auto"/>
              <w:left w:val="single" w:sz="4" w:space="0" w:color="auto"/>
              <w:bottom w:val="single" w:sz="4" w:space="0" w:color="auto"/>
              <w:right w:val="single" w:sz="4" w:space="0" w:color="auto"/>
            </w:tcBorders>
          </w:tcPr>
          <w:p w:rsidR="003E06DC" w:rsidRDefault="001F60F7">
            <w:pPr>
              <w:snapToGrid w:val="0"/>
              <w:spacing w:line="520" w:lineRule="exact"/>
              <w:rPr>
                <w:rFonts w:ascii="仿宋" w:eastAsia="仿宋" w:hAnsi="仿宋"/>
                <w:sz w:val="24"/>
              </w:rPr>
            </w:pPr>
            <w:r>
              <w:rPr>
                <w:rFonts w:ascii="仿宋" w:eastAsia="仿宋" w:hAnsi="仿宋" w:hint="eastAsia"/>
                <w:sz w:val="24"/>
              </w:rPr>
              <w:t>累计折旧</w:t>
            </w:r>
          </w:p>
        </w:tc>
        <w:tc>
          <w:tcPr>
            <w:tcW w:w="1428"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3572.25</w:t>
            </w:r>
          </w:p>
        </w:tc>
        <w:tc>
          <w:tcPr>
            <w:tcW w:w="1704"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3026.66</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-545.59</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-15.27%</w:t>
            </w:r>
          </w:p>
        </w:tc>
      </w:tr>
      <w:tr w:rsidR="003E06DC">
        <w:tc>
          <w:tcPr>
            <w:tcW w:w="1980" w:type="dxa"/>
            <w:tcBorders>
              <w:top w:val="single" w:sz="4" w:space="0" w:color="auto"/>
              <w:left w:val="single" w:sz="4" w:space="0" w:color="auto"/>
              <w:bottom w:val="single" w:sz="4" w:space="0" w:color="auto"/>
              <w:right w:val="single" w:sz="4" w:space="0" w:color="auto"/>
            </w:tcBorders>
          </w:tcPr>
          <w:p w:rsidR="003E06DC" w:rsidRDefault="001F60F7">
            <w:pPr>
              <w:snapToGrid w:val="0"/>
              <w:spacing w:line="520" w:lineRule="exact"/>
              <w:rPr>
                <w:rFonts w:ascii="仿宋" w:eastAsia="仿宋" w:hAnsi="仿宋"/>
                <w:sz w:val="24"/>
              </w:rPr>
            </w:pPr>
            <w:r>
              <w:rPr>
                <w:rFonts w:ascii="仿宋" w:eastAsia="仿宋" w:hAnsi="仿宋" w:hint="eastAsia"/>
                <w:sz w:val="24"/>
              </w:rPr>
              <w:t>固定资产净值</w:t>
            </w:r>
          </w:p>
        </w:tc>
        <w:tc>
          <w:tcPr>
            <w:tcW w:w="1428"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1548.29</w:t>
            </w:r>
          </w:p>
        </w:tc>
        <w:tc>
          <w:tcPr>
            <w:tcW w:w="1704"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1485.58</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-62.71</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-4.05%</w:t>
            </w:r>
          </w:p>
        </w:tc>
      </w:tr>
      <w:tr w:rsidR="003E06DC">
        <w:tc>
          <w:tcPr>
            <w:tcW w:w="1980" w:type="dxa"/>
            <w:tcBorders>
              <w:top w:val="single" w:sz="4" w:space="0" w:color="auto"/>
              <w:left w:val="single" w:sz="4" w:space="0" w:color="auto"/>
              <w:bottom w:val="single" w:sz="4" w:space="0" w:color="auto"/>
              <w:right w:val="single" w:sz="4" w:space="0" w:color="auto"/>
            </w:tcBorders>
          </w:tcPr>
          <w:p w:rsidR="003E06DC" w:rsidRDefault="001F60F7">
            <w:pPr>
              <w:snapToGrid w:val="0"/>
              <w:spacing w:line="520" w:lineRule="exact"/>
              <w:rPr>
                <w:rFonts w:ascii="仿宋" w:eastAsia="仿宋" w:hAnsi="仿宋"/>
                <w:sz w:val="24"/>
              </w:rPr>
            </w:pPr>
            <w:r>
              <w:rPr>
                <w:rFonts w:ascii="仿宋" w:eastAsia="仿宋" w:hAnsi="仿宋" w:hint="eastAsia"/>
                <w:sz w:val="24"/>
              </w:rPr>
              <w:t>房屋</w:t>
            </w:r>
          </w:p>
        </w:tc>
        <w:tc>
          <w:tcPr>
            <w:tcW w:w="1428"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2018.56</w:t>
            </w:r>
          </w:p>
        </w:tc>
        <w:tc>
          <w:tcPr>
            <w:tcW w:w="1704"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2018.56</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0</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0</w:t>
            </w:r>
          </w:p>
        </w:tc>
      </w:tr>
      <w:tr w:rsidR="003E06DC">
        <w:tc>
          <w:tcPr>
            <w:tcW w:w="1980" w:type="dxa"/>
            <w:tcBorders>
              <w:top w:val="single" w:sz="4" w:space="0" w:color="auto"/>
              <w:left w:val="single" w:sz="4" w:space="0" w:color="auto"/>
              <w:bottom w:val="single" w:sz="4" w:space="0" w:color="auto"/>
              <w:right w:val="single" w:sz="4" w:space="0" w:color="auto"/>
            </w:tcBorders>
          </w:tcPr>
          <w:p w:rsidR="003E06DC" w:rsidRDefault="001F60F7">
            <w:pPr>
              <w:snapToGrid w:val="0"/>
              <w:spacing w:line="520" w:lineRule="exact"/>
              <w:rPr>
                <w:rFonts w:ascii="仿宋" w:eastAsia="仿宋" w:hAnsi="仿宋"/>
                <w:sz w:val="24"/>
              </w:rPr>
            </w:pPr>
            <w:r>
              <w:rPr>
                <w:rFonts w:ascii="仿宋" w:eastAsia="仿宋" w:hAnsi="仿宋" w:hint="eastAsia"/>
                <w:sz w:val="24"/>
              </w:rPr>
              <w:t>车辆</w:t>
            </w:r>
          </w:p>
        </w:tc>
        <w:tc>
          <w:tcPr>
            <w:tcW w:w="1428"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17.46</w:t>
            </w:r>
          </w:p>
        </w:tc>
        <w:tc>
          <w:tcPr>
            <w:tcW w:w="1704"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17.46</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0</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0</w:t>
            </w:r>
          </w:p>
        </w:tc>
      </w:tr>
      <w:tr w:rsidR="003E06DC">
        <w:tc>
          <w:tcPr>
            <w:tcW w:w="1980" w:type="dxa"/>
            <w:tcBorders>
              <w:top w:val="single" w:sz="4" w:space="0" w:color="auto"/>
              <w:left w:val="single" w:sz="4" w:space="0" w:color="auto"/>
              <w:bottom w:val="single" w:sz="4" w:space="0" w:color="auto"/>
              <w:right w:val="single" w:sz="4" w:space="0" w:color="auto"/>
            </w:tcBorders>
          </w:tcPr>
          <w:p w:rsidR="003E06DC" w:rsidRDefault="001F60F7">
            <w:pPr>
              <w:snapToGrid w:val="0"/>
              <w:spacing w:line="520" w:lineRule="exact"/>
              <w:rPr>
                <w:rFonts w:ascii="仿宋" w:eastAsia="仿宋" w:hAnsi="仿宋"/>
                <w:sz w:val="24"/>
              </w:rPr>
            </w:pPr>
            <w:r>
              <w:rPr>
                <w:rFonts w:ascii="仿宋" w:eastAsia="仿宋" w:hAnsi="仿宋" w:hint="eastAsia"/>
                <w:sz w:val="24"/>
              </w:rPr>
              <w:t>在建工程</w:t>
            </w:r>
          </w:p>
        </w:tc>
        <w:tc>
          <w:tcPr>
            <w:tcW w:w="1428"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10742.85</w:t>
            </w:r>
          </w:p>
        </w:tc>
        <w:tc>
          <w:tcPr>
            <w:tcW w:w="1704"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10807.29</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64.44</w:t>
            </w:r>
          </w:p>
        </w:tc>
        <w:tc>
          <w:tcPr>
            <w:tcW w:w="1705" w:type="dxa"/>
            <w:tcBorders>
              <w:top w:val="single" w:sz="4" w:space="0" w:color="auto"/>
              <w:left w:val="single" w:sz="4" w:space="0" w:color="auto"/>
              <w:bottom w:val="single" w:sz="4" w:space="0" w:color="auto"/>
              <w:right w:val="single" w:sz="4" w:space="0" w:color="auto"/>
            </w:tcBorders>
            <w:vAlign w:val="center"/>
          </w:tcPr>
          <w:p w:rsidR="003E06DC" w:rsidRDefault="001F60F7">
            <w:pPr>
              <w:snapToGrid w:val="0"/>
              <w:spacing w:line="520" w:lineRule="exact"/>
              <w:jc w:val="right"/>
              <w:rPr>
                <w:rFonts w:ascii="仿宋" w:eastAsia="仿宋" w:hAnsi="仿宋"/>
                <w:sz w:val="24"/>
              </w:rPr>
            </w:pPr>
            <w:r>
              <w:rPr>
                <w:rFonts w:ascii="仿宋" w:eastAsia="仿宋" w:hAnsi="仿宋" w:hint="eastAsia"/>
                <w:sz w:val="24"/>
              </w:rPr>
              <w:t>0.6%</w:t>
            </w:r>
          </w:p>
        </w:tc>
      </w:tr>
    </w:tbl>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从资产信息情况表中看货币资金比年初数减少1.64万元，降幅0.81%，主要是北京市青年宫受诉讼事项影响，法院冻结基本账户资金，银行存款变化不大；财政应返还额度比年初数增加1350.63万元，增幅670.09%，原因是青年宫修缮改造处于收尾阶段，年末追加配电室和空调系统工程项目预算所致；固定资产原值比年初数减少608.31万元，降幅11.88%，减少的原因</w:t>
      </w:r>
      <w:r>
        <w:rPr>
          <w:rFonts w:ascii="仿宋" w:eastAsia="仿宋" w:hAnsi="仿宋" w:hint="eastAsia"/>
          <w:sz w:val="32"/>
          <w:szCs w:val="32"/>
        </w:rPr>
        <w:lastRenderedPageBreak/>
        <w:t>是青年宫即将开业，本年度报废配电柜、配电箱、空调机组、空调处理机、消防器材、两部电梯及剧场银幕座椅等资产，实物已上交北交所，固定资产原值净值相应减少；在建工程比年初数增加64.44万元，增幅0.6%，原因是2021年增加修缮改造工程监理费、检测费等款项所致。</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此外，2021年度，市青年宫严格控制设备采购。市青年宫新增人员所需电脑等办公设备，采取“利旧”原则，积极联系上级单位，通过调拨接收其他单位不用的办公设备，达到物尽其用，开源节流的目的。市青年宫修缮改造接近尾声，其积极将达到报废年限的资产进行处置，并上缴北交所。通过资产清查和产权登记，积极关注企业的运营过程，监测企业资产，负债和权益的变动情况，并将监测结果及时反馈给相关部门，提醒他们及时采取措施和提高国有资产的运行质量，实现资产合理配置。</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评价分析认为，资产管理较规范、合理。</w:t>
      </w:r>
    </w:p>
    <w:p w:rsidR="003E06DC" w:rsidRDefault="001F60F7">
      <w:pPr>
        <w:pStyle w:val="2"/>
      </w:pPr>
      <w:bookmarkStart w:id="12" w:name="_Toc103649419"/>
      <w:r>
        <w:rPr>
          <w:rFonts w:hint="eastAsia"/>
        </w:rPr>
        <w:t>（三）绩效</w:t>
      </w:r>
      <w:r>
        <w:t>管理</w:t>
      </w:r>
      <w:bookmarkEnd w:id="12"/>
    </w:p>
    <w:p w:rsidR="003E06DC" w:rsidRDefault="001F60F7">
      <w:pPr>
        <w:pStyle w:val="3"/>
        <w:spacing w:before="312"/>
      </w:pPr>
      <w:r>
        <w:rPr>
          <w:rFonts w:hint="eastAsia"/>
        </w:rPr>
        <w:t>1.组织机构设置情况</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市青年宫</w:t>
      </w:r>
      <w:r>
        <w:rPr>
          <w:rFonts w:ascii="仿宋" w:eastAsia="仿宋" w:hAnsi="仿宋"/>
          <w:sz w:val="32"/>
          <w:szCs w:val="32"/>
        </w:rPr>
        <w:t>绩效评价工作由</w:t>
      </w:r>
      <w:r>
        <w:rPr>
          <w:rFonts w:ascii="仿宋" w:eastAsia="仿宋" w:hAnsi="仿宋" w:hint="eastAsia"/>
          <w:sz w:val="32"/>
          <w:szCs w:val="32"/>
        </w:rPr>
        <w:t>计划财务部</w:t>
      </w:r>
      <w:r>
        <w:rPr>
          <w:rFonts w:ascii="仿宋" w:eastAsia="仿宋" w:hAnsi="仿宋"/>
          <w:sz w:val="32"/>
          <w:szCs w:val="32"/>
        </w:rPr>
        <w:t>负责组织开展</w:t>
      </w:r>
      <w:r>
        <w:rPr>
          <w:rFonts w:ascii="仿宋" w:eastAsia="仿宋" w:hAnsi="仿宋" w:hint="eastAsia"/>
          <w:sz w:val="32"/>
          <w:szCs w:val="32"/>
        </w:rPr>
        <w:t>，统一组织指导预算绩效管理工作，指导业务处室开展预算绩效管理工作。</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评价分析认为，绩效管理组织机构设置较明确、合理。但缺乏对内设机构关于绩效管理工作的明确职责界定。</w:t>
      </w:r>
    </w:p>
    <w:p w:rsidR="003E06DC" w:rsidRDefault="001F60F7">
      <w:pPr>
        <w:pStyle w:val="3"/>
        <w:spacing w:before="312"/>
      </w:pPr>
      <w:bookmarkStart w:id="13" w:name="_Toc103649420"/>
      <w:r>
        <w:rPr>
          <w:rFonts w:hint="eastAsia"/>
        </w:rPr>
        <w:lastRenderedPageBreak/>
        <w:t>2.绩效措施</w:t>
      </w:r>
      <w:bookmarkEnd w:id="13"/>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从总体管理方面，市青年宫从规范决策程序、加强廉政风险、严格信息公开和实施监督检查等方面，积极推进各项措施，保障预算绩效的产生和资金使用的规范性。具体体现在：</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（1）健全规章制度，规范决策程序。认真落实市青年宫“三重一大”决策制度实施办法，规范领导班子及主要负责人的决策权限、决策程序、决策内容。</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2）排查廉政风险，落实防控措施。结合廉政风险防范管理工作要求，围绕市青年宫党委会决策“三重一大”事项，对照查找每个环节容易产生腐败行为的风险点，依据风险发生概率及损失程度确定风险等级，并针对决策、执行过程和监督、检查、考核等关键环节，进一步健全完善决策“三重一大”事项的风险防控措施。</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3）公开权力运行，做好信息公开。除依法应当保密的事项外，对“三重一大”事项的决策、执行和风险防控情况，可通过多种形式在一定范围内公开。对涉及面广、与青少年利益密切相关的重大事项，要实行公开征求意见、组织社会听证等制度；对重要干部的选拔任用，要积极引入竞争机制，探索实行部分职位职数公开、任职条件公开、分管工作公开等制度，逐步加大差额民主推荐、差额考察、差额酝酿和差额票决力度，进一步扩大公开选拔的范围和干部选拔任用工作中的民主。</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（4）实施监督检查，严格责任追究。市青年宫党委会成员严格按照党风廉政建设责任制的要求，带头执行“三重一大”</w:t>
      </w:r>
      <w:r>
        <w:rPr>
          <w:rFonts w:ascii="仿宋" w:eastAsia="仿宋" w:hAnsi="仿宋" w:hint="eastAsia"/>
          <w:sz w:val="32"/>
          <w:szCs w:val="32"/>
        </w:rPr>
        <w:lastRenderedPageBreak/>
        <w:t>的有关规定，并将执行情况作为年度班子民主生活会和述职述廉的重要内容。对“三重一大”决策事项，须按照规定进行公示或公布，并接受纪检监察部门和群众监督。责任追究要依据相关规定，确定是属于集体责任还是个人责任；明确直接责任、主要领导责任或重要领导责任。</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此外，为有效开展绩效管理，市青年宫2021年委托第三方机构组织开展了项目支出绩效评价，对重点项目进行了抽查，在预算绩效管理工作成为常态化的情况下，积极开展绩效管理工作的推进和实施。同时，按照财政局的要求，对年度市级预算项目逐一梳理，制定统一标准，整合优化工作流程，确定符合绩效评价的预算项目，依照评价范围、标准、项目执行情况等要素，确保自评结果真实、准确、客观。</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评价分析认为，绩效措施较明确、科学、合理，对预算执行和绩效实现具有较好的促进作用。</w:t>
      </w:r>
    </w:p>
    <w:p w:rsidR="003E06DC" w:rsidRDefault="001F60F7">
      <w:pPr>
        <w:pStyle w:val="2"/>
      </w:pPr>
      <w:bookmarkStart w:id="14" w:name="_Toc103649421"/>
      <w:r>
        <w:rPr>
          <w:rFonts w:hint="eastAsia"/>
        </w:rPr>
        <w:t>（四）结转结余率</w:t>
      </w:r>
      <w:bookmarkEnd w:id="14"/>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根据市青年宫决算报表“财决01表”，市青年宫2021年全年预算数8352.66万元，实际支出6039.67万元，结转结余2312.99万元，结转结余率27.69 %。</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根据2021年市青年宫决算报表“LH01 部门决算量化评价表”，财政拨款年度结转结余及上下年变动率表如表2所示。</w:t>
      </w:r>
    </w:p>
    <w:p w:rsidR="003E06DC" w:rsidRDefault="001F60F7">
      <w:pPr>
        <w:spacing w:line="360" w:lineRule="auto"/>
        <w:jc w:val="center"/>
        <w:rPr>
          <w:rFonts w:ascii="仿宋_GB2312" w:eastAsia="仿宋_GB2312" w:hAnsi="华文仿宋"/>
          <w:color w:val="000000" w:themeColor="text1"/>
          <w:kern w:val="0"/>
          <w:sz w:val="28"/>
          <w:szCs w:val="28"/>
        </w:rPr>
      </w:pPr>
      <w:r>
        <w:rPr>
          <w:rFonts w:ascii="仿宋_GB2312" w:eastAsia="仿宋_GB2312" w:hAnsi="华文仿宋" w:hint="eastAsia"/>
          <w:color w:val="000000" w:themeColor="text1"/>
          <w:kern w:val="0"/>
          <w:sz w:val="28"/>
          <w:szCs w:val="28"/>
        </w:rPr>
        <w:t>表2</w:t>
      </w:r>
      <w:r>
        <w:rPr>
          <w:rFonts w:ascii="仿宋_GB2312" w:eastAsia="仿宋_GB2312" w:hAnsi="华文仿宋"/>
          <w:color w:val="000000" w:themeColor="text1"/>
          <w:kern w:val="0"/>
          <w:sz w:val="28"/>
          <w:szCs w:val="28"/>
        </w:rPr>
        <w:t xml:space="preserve"> </w:t>
      </w:r>
      <w:r>
        <w:rPr>
          <w:rFonts w:ascii="仿宋_GB2312" w:eastAsia="仿宋_GB2312" w:hAnsi="华文仿宋" w:hint="eastAsia"/>
          <w:color w:val="000000" w:themeColor="text1"/>
          <w:kern w:val="0"/>
          <w:sz w:val="28"/>
          <w:szCs w:val="28"/>
        </w:rPr>
        <w:t>财政拨款年度结转结余及上下年变动率表</w:t>
      </w:r>
    </w:p>
    <w:tbl>
      <w:tblPr>
        <w:tblW w:w="8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464"/>
        <w:gridCol w:w="3874"/>
      </w:tblGrid>
      <w:tr w:rsidR="003E06DC">
        <w:trPr>
          <w:trHeight w:hRule="exact" w:val="454"/>
        </w:trPr>
        <w:tc>
          <w:tcPr>
            <w:tcW w:w="4464" w:type="dxa"/>
            <w:shd w:val="clear" w:color="auto" w:fill="auto"/>
            <w:vAlign w:val="center"/>
          </w:tcPr>
          <w:p w:rsidR="003E06DC" w:rsidRDefault="001F60F7">
            <w:pPr>
              <w:widowControl/>
              <w:adjustRightInd w:val="0"/>
              <w:snapToGrid w:val="0"/>
              <w:jc w:val="center"/>
              <w:rPr>
                <w:rFonts w:ascii="仿宋" w:eastAsia="仿宋" w:hAnsi="仿宋" w:cs="Arial"/>
                <w:color w:val="000000"/>
                <w:kern w:val="0"/>
                <w:sz w:val="28"/>
                <w:szCs w:val="28"/>
              </w:rPr>
            </w:pPr>
            <w:r>
              <w:rPr>
                <w:rFonts w:ascii="仿宋" w:eastAsia="仿宋" w:hAnsi="仿宋" w:cs="Arial" w:hint="eastAsia"/>
                <w:color w:val="000000"/>
                <w:kern w:val="0"/>
                <w:sz w:val="28"/>
                <w:szCs w:val="28"/>
              </w:rPr>
              <w:t>指标值</w:t>
            </w:r>
          </w:p>
        </w:tc>
        <w:tc>
          <w:tcPr>
            <w:tcW w:w="3874" w:type="dxa"/>
            <w:shd w:val="clear" w:color="auto" w:fill="auto"/>
            <w:vAlign w:val="center"/>
          </w:tcPr>
          <w:p w:rsidR="003E06DC" w:rsidRDefault="001F60F7">
            <w:pPr>
              <w:widowControl/>
              <w:adjustRightInd w:val="0"/>
              <w:snapToGrid w:val="0"/>
              <w:jc w:val="center"/>
              <w:rPr>
                <w:rFonts w:ascii="仿宋" w:eastAsia="仿宋" w:hAnsi="仿宋" w:cs="Arial"/>
                <w:color w:val="000000"/>
                <w:kern w:val="0"/>
                <w:sz w:val="28"/>
                <w:szCs w:val="28"/>
              </w:rPr>
            </w:pPr>
            <w:r>
              <w:rPr>
                <w:rFonts w:ascii="仿宋" w:eastAsia="仿宋" w:hAnsi="仿宋" w:cs="Arial" w:hint="eastAsia"/>
                <w:color w:val="000000"/>
                <w:kern w:val="0"/>
                <w:sz w:val="28"/>
                <w:szCs w:val="28"/>
              </w:rPr>
              <w:t>差异率</w:t>
            </w:r>
          </w:p>
        </w:tc>
      </w:tr>
      <w:tr w:rsidR="003E06DC">
        <w:trPr>
          <w:trHeight w:hRule="exact" w:val="454"/>
        </w:trPr>
        <w:tc>
          <w:tcPr>
            <w:tcW w:w="4464" w:type="dxa"/>
            <w:shd w:val="clear" w:color="auto" w:fill="auto"/>
            <w:vAlign w:val="center"/>
          </w:tcPr>
          <w:p w:rsidR="003E06DC" w:rsidRDefault="001F60F7">
            <w:pPr>
              <w:widowControl/>
              <w:adjustRightInd w:val="0"/>
              <w:snapToGrid w:val="0"/>
              <w:jc w:val="left"/>
              <w:rPr>
                <w:rFonts w:ascii="仿宋" w:eastAsia="仿宋" w:hAnsi="仿宋" w:cs="Arial"/>
                <w:color w:val="000000"/>
                <w:kern w:val="0"/>
                <w:sz w:val="28"/>
                <w:szCs w:val="28"/>
              </w:rPr>
            </w:pPr>
            <w:r>
              <w:rPr>
                <w:rFonts w:ascii="仿宋" w:eastAsia="仿宋" w:hAnsi="仿宋" w:cs="Arial" w:hint="eastAsia"/>
                <w:color w:val="000000"/>
                <w:kern w:val="0"/>
                <w:sz w:val="28"/>
                <w:szCs w:val="28"/>
              </w:rPr>
              <w:t>财政拨款结转和结余率</w:t>
            </w:r>
          </w:p>
        </w:tc>
        <w:tc>
          <w:tcPr>
            <w:tcW w:w="3874" w:type="dxa"/>
            <w:shd w:val="clear" w:color="auto" w:fill="auto"/>
            <w:vAlign w:val="center"/>
          </w:tcPr>
          <w:p w:rsidR="003E06DC" w:rsidRDefault="001F60F7">
            <w:pPr>
              <w:widowControl/>
              <w:adjustRightInd w:val="0"/>
              <w:snapToGrid w:val="0"/>
              <w:jc w:val="center"/>
              <w:rPr>
                <w:rFonts w:ascii="仿宋" w:eastAsia="仿宋" w:hAnsi="仿宋" w:cs="Arial"/>
                <w:color w:val="000000"/>
                <w:kern w:val="0"/>
                <w:sz w:val="28"/>
                <w:szCs w:val="28"/>
              </w:rPr>
            </w:pPr>
            <w:r>
              <w:rPr>
                <w:rFonts w:ascii="仿宋" w:eastAsia="仿宋" w:hAnsi="仿宋" w:cs="Arial" w:hint="eastAsia"/>
                <w:color w:val="000000"/>
                <w:kern w:val="0"/>
                <w:sz w:val="28"/>
                <w:szCs w:val="28"/>
              </w:rPr>
              <w:t>21.29</w:t>
            </w:r>
          </w:p>
        </w:tc>
      </w:tr>
      <w:tr w:rsidR="003E06DC">
        <w:trPr>
          <w:trHeight w:hRule="exact" w:val="454"/>
        </w:trPr>
        <w:tc>
          <w:tcPr>
            <w:tcW w:w="4464" w:type="dxa"/>
            <w:shd w:val="clear" w:color="auto" w:fill="auto"/>
            <w:vAlign w:val="center"/>
          </w:tcPr>
          <w:p w:rsidR="003E06DC" w:rsidRDefault="001F60F7">
            <w:pPr>
              <w:widowControl/>
              <w:adjustRightInd w:val="0"/>
              <w:snapToGrid w:val="0"/>
              <w:jc w:val="left"/>
              <w:rPr>
                <w:rFonts w:ascii="仿宋" w:eastAsia="仿宋" w:hAnsi="仿宋" w:cs="Arial"/>
                <w:color w:val="000000"/>
                <w:kern w:val="0"/>
                <w:sz w:val="28"/>
                <w:szCs w:val="28"/>
              </w:rPr>
            </w:pPr>
            <w:r>
              <w:rPr>
                <w:rFonts w:ascii="仿宋" w:eastAsia="仿宋" w:hAnsi="仿宋" w:cs="Arial" w:hint="eastAsia"/>
                <w:color w:val="000000"/>
                <w:kern w:val="0"/>
                <w:sz w:val="28"/>
                <w:szCs w:val="28"/>
              </w:rPr>
              <w:lastRenderedPageBreak/>
              <w:t>财政拨款结转上下年变动率</w:t>
            </w:r>
          </w:p>
        </w:tc>
        <w:tc>
          <w:tcPr>
            <w:tcW w:w="3874" w:type="dxa"/>
            <w:shd w:val="clear" w:color="auto" w:fill="auto"/>
            <w:vAlign w:val="center"/>
          </w:tcPr>
          <w:p w:rsidR="003E06DC" w:rsidRDefault="001F60F7">
            <w:pPr>
              <w:widowControl/>
              <w:adjustRightInd w:val="0"/>
              <w:snapToGrid w:val="0"/>
              <w:jc w:val="center"/>
              <w:rPr>
                <w:rFonts w:ascii="仿宋" w:eastAsia="仿宋" w:hAnsi="仿宋" w:cs="Arial"/>
                <w:color w:val="000000"/>
                <w:kern w:val="0"/>
                <w:sz w:val="28"/>
                <w:szCs w:val="28"/>
              </w:rPr>
            </w:pPr>
            <w:r>
              <w:rPr>
                <w:rFonts w:ascii="仿宋" w:eastAsia="仿宋" w:hAnsi="仿宋" w:cs="Arial" w:hint="eastAsia"/>
                <w:color w:val="000000"/>
                <w:kern w:val="0"/>
                <w:sz w:val="28"/>
                <w:szCs w:val="28"/>
              </w:rPr>
              <w:t>761.75</w:t>
            </w:r>
          </w:p>
        </w:tc>
      </w:tr>
      <w:tr w:rsidR="003E06DC">
        <w:trPr>
          <w:trHeight w:hRule="exact" w:val="454"/>
        </w:trPr>
        <w:tc>
          <w:tcPr>
            <w:tcW w:w="4464" w:type="dxa"/>
            <w:shd w:val="clear" w:color="auto" w:fill="auto"/>
            <w:vAlign w:val="center"/>
          </w:tcPr>
          <w:p w:rsidR="003E06DC" w:rsidRDefault="001F60F7">
            <w:pPr>
              <w:widowControl/>
              <w:adjustRightInd w:val="0"/>
              <w:snapToGrid w:val="0"/>
              <w:jc w:val="left"/>
              <w:rPr>
                <w:rFonts w:ascii="仿宋" w:eastAsia="仿宋" w:hAnsi="仿宋" w:cs="Arial"/>
                <w:color w:val="000000"/>
                <w:kern w:val="0"/>
                <w:sz w:val="28"/>
                <w:szCs w:val="28"/>
              </w:rPr>
            </w:pPr>
            <w:r>
              <w:rPr>
                <w:rFonts w:ascii="仿宋" w:eastAsia="仿宋" w:hAnsi="仿宋" w:cs="Arial" w:hint="eastAsia"/>
                <w:color w:val="000000"/>
                <w:kern w:val="0"/>
                <w:sz w:val="28"/>
                <w:szCs w:val="28"/>
              </w:rPr>
              <w:t>财政拨款结余上下年变动率</w:t>
            </w:r>
          </w:p>
        </w:tc>
        <w:tc>
          <w:tcPr>
            <w:tcW w:w="3874" w:type="dxa"/>
            <w:shd w:val="clear" w:color="auto" w:fill="auto"/>
            <w:vAlign w:val="center"/>
          </w:tcPr>
          <w:p w:rsidR="003E06DC" w:rsidRDefault="001F60F7">
            <w:pPr>
              <w:widowControl/>
              <w:adjustRightInd w:val="0"/>
              <w:snapToGrid w:val="0"/>
              <w:jc w:val="center"/>
              <w:rPr>
                <w:rFonts w:ascii="仿宋" w:eastAsia="仿宋" w:hAnsi="仿宋" w:cs="Arial"/>
                <w:color w:val="000000"/>
                <w:kern w:val="0"/>
                <w:sz w:val="28"/>
                <w:szCs w:val="28"/>
              </w:rPr>
            </w:pPr>
            <w:r>
              <w:rPr>
                <w:rFonts w:ascii="仿宋" w:eastAsia="仿宋" w:hAnsi="仿宋" w:cs="Arial" w:hint="eastAsia"/>
                <w:color w:val="000000"/>
                <w:kern w:val="0"/>
                <w:sz w:val="28"/>
                <w:szCs w:val="28"/>
              </w:rPr>
              <w:t>-21.87</w:t>
            </w:r>
          </w:p>
        </w:tc>
      </w:tr>
    </w:tbl>
    <w:p w:rsidR="003E06DC" w:rsidRDefault="003E06DC">
      <w:pPr>
        <w:spacing w:line="360" w:lineRule="auto"/>
        <w:ind w:firstLineChars="200" w:firstLine="640"/>
        <w:rPr>
          <w:rFonts w:ascii="仿宋_GB2312" w:eastAsia="仿宋_GB2312" w:hAnsi="华文仿宋"/>
          <w:color w:val="000000" w:themeColor="text1"/>
          <w:kern w:val="0"/>
          <w:sz w:val="32"/>
          <w:szCs w:val="32"/>
        </w:rPr>
      </w:pPr>
    </w:p>
    <w:p w:rsidR="003E06DC" w:rsidRDefault="001F60F7">
      <w:pPr>
        <w:pStyle w:val="2"/>
      </w:pPr>
      <w:bookmarkStart w:id="15" w:name="_Toc103649422"/>
      <w:r>
        <w:rPr>
          <w:rFonts w:hint="eastAsia"/>
        </w:rPr>
        <w:t>（五）部门</w:t>
      </w:r>
      <w:r>
        <w:t>预决算差异率</w:t>
      </w:r>
      <w:bookmarkEnd w:id="15"/>
    </w:p>
    <w:p w:rsidR="003E06DC" w:rsidRPr="001F60F7" w:rsidRDefault="001F60F7">
      <w:pPr>
        <w:spacing w:line="600" w:lineRule="exact"/>
        <w:ind w:firstLineChars="200" w:firstLine="640"/>
        <w:rPr>
          <w:rFonts w:ascii="仿宋" w:eastAsia="仿宋" w:hAnsi="仿宋"/>
          <w:sz w:val="32"/>
          <w:szCs w:val="32"/>
        </w:rPr>
      </w:pPr>
      <w:r w:rsidRPr="001F60F7">
        <w:rPr>
          <w:rFonts w:ascii="仿宋" w:eastAsia="仿宋" w:hAnsi="仿宋" w:hint="eastAsia"/>
          <w:sz w:val="32"/>
          <w:szCs w:val="32"/>
        </w:rPr>
        <w:t>市青年宫2</w:t>
      </w:r>
      <w:r w:rsidRPr="001F60F7">
        <w:rPr>
          <w:rFonts w:ascii="仿宋" w:eastAsia="仿宋" w:hAnsi="仿宋"/>
          <w:sz w:val="32"/>
          <w:szCs w:val="32"/>
        </w:rPr>
        <w:t>021</w:t>
      </w:r>
      <w:r w:rsidRPr="001F60F7">
        <w:rPr>
          <w:rFonts w:ascii="仿宋" w:eastAsia="仿宋" w:hAnsi="仿宋" w:hint="eastAsia"/>
          <w:sz w:val="32"/>
          <w:szCs w:val="32"/>
        </w:rPr>
        <w:t>年收入支出总计年初预算为6864.14万元，部门年度决算为8352.66万元，部门预决算差异率21.69%。</w:t>
      </w:r>
    </w:p>
    <w:p w:rsidR="003E06DC" w:rsidRDefault="001F60F7">
      <w:pPr>
        <w:pStyle w:val="1"/>
      </w:pPr>
      <w:bookmarkStart w:id="16" w:name="_Toc103649423"/>
      <w:r>
        <w:rPr>
          <w:rFonts w:hint="eastAsia"/>
        </w:rPr>
        <w:t>五、总体</w:t>
      </w:r>
      <w:r>
        <w:t>评价结论</w:t>
      </w:r>
      <w:bookmarkEnd w:id="16"/>
    </w:p>
    <w:p w:rsidR="003E06DC" w:rsidRDefault="001F60F7">
      <w:pPr>
        <w:pStyle w:val="2"/>
      </w:pPr>
      <w:bookmarkStart w:id="17" w:name="_Toc103649424"/>
      <w:r>
        <w:rPr>
          <w:rFonts w:hint="eastAsia"/>
        </w:rPr>
        <w:t>（一）评价</w:t>
      </w:r>
      <w:r>
        <w:t>得分</w:t>
      </w:r>
      <w:r>
        <w:rPr>
          <w:rFonts w:hint="eastAsia"/>
        </w:rPr>
        <w:t>情况</w:t>
      </w:r>
      <w:bookmarkEnd w:id="17"/>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经评价，市青年宫部门整体支出绩效评价综合得分84.12</w:t>
      </w:r>
      <w:r>
        <w:rPr>
          <w:rFonts w:ascii="仿宋" w:eastAsia="仿宋" w:hAnsi="仿宋"/>
          <w:sz w:val="32"/>
          <w:szCs w:val="32"/>
        </w:rPr>
        <w:t>分，其中，部门决策</w:t>
      </w:r>
      <w:r>
        <w:rPr>
          <w:rFonts w:ascii="仿宋" w:eastAsia="仿宋" w:hAnsi="仿宋" w:hint="eastAsia"/>
          <w:sz w:val="32"/>
          <w:szCs w:val="32"/>
        </w:rPr>
        <w:t>13.06</w:t>
      </w:r>
      <w:r>
        <w:rPr>
          <w:rFonts w:ascii="仿宋" w:eastAsia="仿宋" w:hAnsi="仿宋"/>
          <w:sz w:val="32"/>
          <w:szCs w:val="32"/>
        </w:rPr>
        <w:t>分（满分15分），部门管理</w:t>
      </w:r>
      <w:r>
        <w:rPr>
          <w:rFonts w:ascii="仿宋" w:eastAsia="仿宋" w:hAnsi="仿宋" w:hint="eastAsia"/>
          <w:sz w:val="32"/>
          <w:szCs w:val="32"/>
        </w:rPr>
        <w:t>33.14</w:t>
      </w:r>
      <w:r>
        <w:rPr>
          <w:rFonts w:ascii="仿宋" w:eastAsia="仿宋" w:hAnsi="仿宋"/>
          <w:sz w:val="32"/>
          <w:szCs w:val="32"/>
        </w:rPr>
        <w:t>分（满分40分），部门绩效</w:t>
      </w:r>
      <w:r>
        <w:rPr>
          <w:rFonts w:ascii="仿宋" w:eastAsia="仿宋" w:hAnsi="仿宋" w:hint="eastAsia"/>
          <w:sz w:val="32"/>
          <w:szCs w:val="32"/>
        </w:rPr>
        <w:t>37.92</w:t>
      </w:r>
      <w:r>
        <w:rPr>
          <w:rFonts w:ascii="仿宋" w:eastAsia="仿宋" w:hAnsi="仿宋"/>
          <w:sz w:val="32"/>
          <w:szCs w:val="32"/>
        </w:rPr>
        <w:t>分（满分45分），绩效评定结论为“良好”。</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具体各指标得分情况如表4所示。</w:t>
      </w:r>
    </w:p>
    <w:p w:rsidR="003E06DC" w:rsidRDefault="001F60F7">
      <w:pPr>
        <w:spacing w:line="600" w:lineRule="exact"/>
        <w:jc w:val="center"/>
        <w:rPr>
          <w:rFonts w:ascii="仿宋" w:eastAsia="仿宋" w:hAnsi="仿宋"/>
          <w:sz w:val="32"/>
          <w:szCs w:val="32"/>
        </w:rPr>
      </w:pPr>
      <w:r>
        <w:rPr>
          <w:rFonts w:ascii="仿宋" w:eastAsia="仿宋" w:hAnsi="仿宋" w:hint="eastAsia"/>
          <w:sz w:val="32"/>
          <w:szCs w:val="32"/>
        </w:rPr>
        <w:t>表4</w:t>
      </w:r>
      <w:r>
        <w:rPr>
          <w:rFonts w:ascii="仿宋" w:eastAsia="仿宋" w:hAnsi="仿宋"/>
          <w:sz w:val="32"/>
          <w:szCs w:val="32"/>
        </w:rPr>
        <w:t xml:space="preserve"> </w:t>
      </w:r>
      <w:r>
        <w:rPr>
          <w:rFonts w:ascii="仿宋" w:eastAsia="仿宋" w:hAnsi="仿宋" w:hint="eastAsia"/>
          <w:sz w:val="32"/>
          <w:szCs w:val="32"/>
        </w:rPr>
        <w:t>绩效评价各项指标得分情况表</w:t>
      </w:r>
    </w:p>
    <w:tbl>
      <w:tblPr>
        <w:tblW w:w="87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823"/>
        <w:gridCol w:w="2832"/>
        <w:gridCol w:w="3055"/>
      </w:tblGrid>
      <w:tr w:rsidR="003E06DC">
        <w:trPr>
          <w:trHeight w:hRule="exact" w:val="454"/>
        </w:trPr>
        <w:tc>
          <w:tcPr>
            <w:tcW w:w="2823" w:type="dxa"/>
            <w:shd w:val="clear" w:color="auto" w:fill="D9D9D9" w:themeFill="background1" w:themeFillShade="D9"/>
            <w:vAlign w:val="center"/>
          </w:tcPr>
          <w:p w:rsidR="003E06DC" w:rsidRDefault="001F60F7">
            <w:pPr>
              <w:widowControl/>
              <w:adjustRightInd w:val="0"/>
              <w:snapToGrid w:val="0"/>
              <w:jc w:val="center"/>
              <w:rPr>
                <w:rFonts w:ascii="仿宋" w:eastAsia="仿宋" w:hAnsi="仿宋" w:cs="宋体"/>
                <w:b/>
                <w:color w:val="000000"/>
                <w:kern w:val="0"/>
                <w:sz w:val="28"/>
                <w:szCs w:val="28"/>
              </w:rPr>
            </w:pPr>
            <w:r>
              <w:rPr>
                <w:rFonts w:ascii="仿宋" w:eastAsia="仿宋" w:hAnsi="仿宋" w:cs="宋体" w:hint="eastAsia"/>
                <w:b/>
                <w:color w:val="000000"/>
                <w:kern w:val="0"/>
                <w:sz w:val="28"/>
                <w:szCs w:val="28"/>
              </w:rPr>
              <w:t>评价指标</w:t>
            </w:r>
          </w:p>
        </w:tc>
        <w:tc>
          <w:tcPr>
            <w:tcW w:w="2832" w:type="dxa"/>
            <w:shd w:val="clear" w:color="auto" w:fill="D9D9D9" w:themeFill="background1" w:themeFillShade="D9"/>
            <w:vAlign w:val="center"/>
          </w:tcPr>
          <w:p w:rsidR="003E06DC" w:rsidRDefault="001F60F7">
            <w:pPr>
              <w:widowControl/>
              <w:adjustRightInd w:val="0"/>
              <w:snapToGrid w:val="0"/>
              <w:jc w:val="center"/>
              <w:rPr>
                <w:rFonts w:ascii="仿宋" w:eastAsia="仿宋" w:hAnsi="仿宋" w:cs="宋体"/>
                <w:b/>
                <w:color w:val="000000"/>
                <w:kern w:val="0"/>
                <w:sz w:val="28"/>
                <w:szCs w:val="28"/>
              </w:rPr>
            </w:pPr>
            <w:r>
              <w:rPr>
                <w:rFonts w:ascii="仿宋" w:eastAsia="仿宋" w:hAnsi="仿宋" w:cs="宋体" w:hint="eastAsia"/>
                <w:b/>
                <w:color w:val="000000"/>
                <w:kern w:val="0"/>
                <w:sz w:val="28"/>
                <w:szCs w:val="28"/>
              </w:rPr>
              <w:t>分值</w:t>
            </w:r>
          </w:p>
        </w:tc>
        <w:tc>
          <w:tcPr>
            <w:tcW w:w="3055" w:type="dxa"/>
            <w:shd w:val="clear" w:color="auto" w:fill="D9D9D9" w:themeFill="background1" w:themeFillShade="D9"/>
            <w:vAlign w:val="center"/>
          </w:tcPr>
          <w:p w:rsidR="003E06DC" w:rsidRDefault="001F60F7">
            <w:pPr>
              <w:widowControl/>
              <w:adjustRightInd w:val="0"/>
              <w:snapToGrid w:val="0"/>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得分</w:t>
            </w:r>
          </w:p>
        </w:tc>
      </w:tr>
      <w:tr w:rsidR="003E06DC">
        <w:trPr>
          <w:trHeight w:hRule="exact" w:val="454"/>
        </w:trPr>
        <w:tc>
          <w:tcPr>
            <w:tcW w:w="2823" w:type="dxa"/>
            <w:shd w:val="clear" w:color="auto" w:fill="auto"/>
            <w:vAlign w:val="center"/>
          </w:tcPr>
          <w:p w:rsidR="003E06DC" w:rsidRDefault="001F60F7">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部门决策</w:t>
            </w:r>
          </w:p>
        </w:tc>
        <w:tc>
          <w:tcPr>
            <w:tcW w:w="2832" w:type="dxa"/>
            <w:shd w:val="clear" w:color="auto" w:fill="auto"/>
            <w:vAlign w:val="center"/>
          </w:tcPr>
          <w:p w:rsidR="003E06DC" w:rsidRDefault="001F60F7">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15</w:t>
            </w:r>
          </w:p>
        </w:tc>
        <w:tc>
          <w:tcPr>
            <w:tcW w:w="3055" w:type="dxa"/>
            <w:shd w:val="clear" w:color="auto" w:fill="auto"/>
            <w:vAlign w:val="center"/>
          </w:tcPr>
          <w:p w:rsidR="003E06DC" w:rsidRDefault="001F60F7">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13.06</w:t>
            </w:r>
          </w:p>
        </w:tc>
      </w:tr>
      <w:tr w:rsidR="003E06DC">
        <w:trPr>
          <w:trHeight w:hRule="exact" w:val="454"/>
        </w:trPr>
        <w:tc>
          <w:tcPr>
            <w:tcW w:w="2823" w:type="dxa"/>
            <w:shd w:val="clear" w:color="auto" w:fill="auto"/>
            <w:vAlign w:val="center"/>
          </w:tcPr>
          <w:p w:rsidR="003E06DC" w:rsidRDefault="001F60F7">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目标设定</w:t>
            </w:r>
          </w:p>
        </w:tc>
        <w:tc>
          <w:tcPr>
            <w:tcW w:w="2832" w:type="dxa"/>
            <w:shd w:val="clear" w:color="auto" w:fill="auto"/>
            <w:vAlign w:val="center"/>
          </w:tcPr>
          <w:p w:rsidR="003E06DC" w:rsidRDefault="001F60F7">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6</w:t>
            </w:r>
          </w:p>
        </w:tc>
        <w:tc>
          <w:tcPr>
            <w:tcW w:w="3055" w:type="dxa"/>
            <w:shd w:val="clear" w:color="auto" w:fill="auto"/>
            <w:vAlign w:val="center"/>
          </w:tcPr>
          <w:p w:rsidR="003E06DC" w:rsidRDefault="001F60F7">
            <w:pPr>
              <w:widowControl/>
              <w:jc w:val="center"/>
              <w:rPr>
                <w:rFonts w:ascii="仿宋" w:eastAsia="仿宋" w:hAnsi="仿宋" w:cs="宋体"/>
                <w:bCs/>
                <w:color w:val="000000"/>
                <w:kern w:val="0"/>
                <w:sz w:val="28"/>
                <w:szCs w:val="28"/>
              </w:rPr>
            </w:pPr>
            <w:r>
              <w:rPr>
                <w:rFonts w:ascii="仿宋" w:eastAsia="仿宋" w:hAnsi="仿宋" w:cs="宋体" w:hint="eastAsia"/>
                <w:bCs/>
                <w:color w:val="000000"/>
                <w:kern w:val="0"/>
                <w:sz w:val="28"/>
                <w:szCs w:val="28"/>
              </w:rPr>
              <w:t>4.76</w:t>
            </w:r>
          </w:p>
        </w:tc>
      </w:tr>
      <w:tr w:rsidR="003E06DC">
        <w:trPr>
          <w:trHeight w:hRule="exact" w:val="454"/>
        </w:trPr>
        <w:tc>
          <w:tcPr>
            <w:tcW w:w="2823" w:type="dxa"/>
            <w:shd w:val="clear" w:color="auto" w:fill="auto"/>
            <w:vAlign w:val="center"/>
          </w:tcPr>
          <w:p w:rsidR="003E06DC" w:rsidRDefault="001F60F7">
            <w:pPr>
              <w:widowControl/>
              <w:adjustRightInd w:val="0"/>
              <w:snapToGrid w:val="0"/>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决策过程</w:t>
            </w:r>
          </w:p>
        </w:tc>
        <w:tc>
          <w:tcPr>
            <w:tcW w:w="2832" w:type="dxa"/>
            <w:shd w:val="clear" w:color="auto" w:fill="auto"/>
            <w:vAlign w:val="center"/>
          </w:tcPr>
          <w:p w:rsidR="003E06DC" w:rsidRDefault="001F60F7">
            <w:pPr>
              <w:widowControl/>
              <w:adjustRightInd w:val="0"/>
              <w:snapToGrid w:val="0"/>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3</w:t>
            </w:r>
          </w:p>
        </w:tc>
        <w:tc>
          <w:tcPr>
            <w:tcW w:w="3055" w:type="dxa"/>
            <w:shd w:val="clear" w:color="auto" w:fill="auto"/>
            <w:vAlign w:val="center"/>
          </w:tcPr>
          <w:p w:rsidR="003E06DC" w:rsidRDefault="001F60F7">
            <w:pPr>
              <w:widowControl/>
              <w:adjustRightInd w:val="0"/>
              <w:snapToGrid w:val="0"/>
              <w:jc w:val="center"/>
              <w:rPr>
                <w:rFonts w:ascii="仿宋" w:eastAsia="仿宋" w:hAnsi="仿宋" w:cs="宋体"/>
                <w:bCs/>
                <w:color w:val="000000"/>
                <w:kern w:val="0"/>
                <w:sz w:val="28"/>
                <w:szCs w:val="28"/>
              </w:rPr>
            </w:pPr>
            <w:r>
              <w:rPr>
                <w:rFonts w:ascii="仿宋" w:eastAsia="仿宋" w:hAnsi="仿宋" w:cs="宋体" w:hint="eastAsia"/>
                <w:bCs/>
                <w:color w:val="000000"/>
                <w:kern w:val="0"/>
                <w:sz w:val="28"/>
                <w:szCs w:val="28"/>
              </w:rPr>
              <w:t>2.86</w:t>
            </w:r>
          </w:p>
        </w:tc>
      </w:tr>
      <w:tr w:rsidR="003E06DC">
        <w:trPr>
          <w:trHeight w:hRule="exact" w:val="454"/>
        </w:trPr>
        <w:tc>
          <w:tcPr>
            <w:tcW w:w="2823" w:type="dxa"/>
            <w:shd w:val="clear" w:color="auto" w:fill="auto"/>
            <w:vAlign w:val="center"/>
          </w:tcPr>
          <w:p w:rsidR="003E06DC" w:rsidRDefault="001F60F7">
            <w:pPr>
              <w:widowControl/>
              <w:adjustRightInd w:val="0"/>
              <w:snapToGrid w:val="0"/>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资金分配</w:t>
            </w:r>
          </w:p>
        </w:tc>
        <w:tc>
          <w:tcPr>
            <w:tcW w:w="2832" w:type="dxa"/>
            <w:shd w:val="clear" w:color="auto" w:fill="auto"/>
            <w:vAlign w:val="center"/>
          </w:tcPr>
          <w:p w:rsidR="003E06DC" w:rsidRDefault="001F60F7">
            <w:pPr>
              <w:widowControl/>
              <w:adjustRightInd w:val="0"/>
              <w:snapToGrid w:val="0"/>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6</w:t>
            </w:r>
          </w:p>
        </w:tc>
        <w:tc>
          <w:tcPr>
            <w:tcW w:w="3055" w:type="dxa"/>
            <w:shd w:val="clear" w:color="auto" w:fill="auto"/>
            <w:vAlign w:val="center"/>
          </w:tcPr>
          <w:p w:rsidR="003E06DC" w:rsidRDefault="001F60F7">
            <w:pPr>
              <w:widowControl/>
              <w:adjustRightInd w:val="0"/>
              <w:snapToGrid w:val="0"/>
              <w:jc w:val="center"/>
              <w:rPr>
                <w:rFonts w:ascii="仿宋" w:eastAsia="仿宋" w:hAnsi="仿宋" w:cs="宋体"/>
                <w:bCs/>
                <w:color w:val="000000"/>
                <w:kern w:val="0"/>
                <w:sz w:val="28"/>
                <w:szCs w:val="28"/>
              </w:rPr>
            </w:pPr>
            <w:r>
              <w:rPr>
                <w:rFonts w:ascii="仿宋" w:eastAsia="仿宋" w:hAnsi="仿宋" w:cs="宋体" w:hint="eastAsia"/>
                <w:bCs/>
                <w:color w:val="000000"/>
                <w:kern w:val="0"/>
                <w:sz w:val="28"/>
                <w:szCs w:val="28"/>
              </w:rPr>
              <w:t>5.44</w:t>
            </w:r>
          </w:p>
        </w:tc>
      </w:tr>
      <w:tr w:rsidR="003E06DC">
        <w:trPr>
          <w:trHeight w:hRule="exact" w:val="454"/>
        </w:trPr>
        <w:tc>
          <w:tcPr>
            <w:tcW w:w="2823" w:type="dxa"/>
            <w:shd w:val="clear" w:color="auto" w:fill="auto"/>
            <w:vAlign w:val="center"/>
          </w:tcPr>
          <w:p w:rsidR="003E06DC" w:rsidRDefault="001F60F7">
            <w:pPr>
              <w:widowControl/>
              <w:adjustRightInd w:val="0"/>
              <w:snapToGrid w:val="0"/>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部门管理</w:t>
            </w:r>
          </w:p>
        </w:tc>
        <w:tc>
          <w:tcPr>
            <w:tcW w:w="2832" w:type="dxa"/>
            <w:shd w:val="clear" w:color="auto" w:fill="auto"/>
            <w:vAlign w:val="center"/>
          </w:tcPr>
          <w:p w:rsidR="003E06DC" w:rsidRDefault="001F60F7">
            <w:pPr>
              <w:widowControl/>
              <w:adjustRightInd w:val="0"/>
              <w:snapToGrid w:val="0"/>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40</w:t>
            </w:r>
          </w:p>
        </w:tc>
        <w:tc>
          <w:tcPr>
            <w:tcW w:w="3055" w:type="dxa"/>
            <w:shd w:val="clear" w:color="auto" w:fill="auto"/>
            <w:vAlign w:val="center"/>
          </w:tcPr>
          <w:p w:rsidR="003E06DC" w:rsidRDefault="001F60F7">
            <w:pPr>
              <w:widowControl/>
              <w:adjustRightInd w:val="0"/>
              <w:snapToGrid w:val="0"/>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33.14</w:t>
            </w:r>
          </w:p>
        </w:tc>
      </w:tr>
      <w:tr w:rsidR="003E06DC">
        <w:trPr>
          <w:trHeight w:hRule="exact" w:val="454"/>
        </w:trPr>
        <w:tc>
          <w:tcPr>
            <w:tcW w:w="2823" w:type="dxa"/>
            <w:shd w:val="clear" w:color="auto" w:fill="auto"/>
            <w:vAlign w:val="center"/>
          </w:tcPr>
          <w:p w:rsidR="003E06DC" w:rsidRDefault="001F60F7">
            <w:pPr>
              <w:widowControl/>
              <w:adjustRightInd w:val="0"/>
              <w:snapToGrid w:val="0"/>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预算执行</w:t>
            </w:r>
          </w:p>
        </w:tc>
        <w:tc>
          <w:tcPr>
            <w:tcW w:w="2832" w:type="dxa"/>
            <w:shd w:val="clear" w:color="auto" w:fill="auto"/>
            <w:vAlign w:val="center"/>
          </w:tcPr>
          <w:p w:rsidR="003E06DC" w:rsidRDefault="001F60F7">
            <w:pPr>
              <w:widowControl/>
              <w:adjustRightInd w:val="0"/>
              <w:snapToGrid w:val="0"/>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12</w:t>
            </w:r>
          </w:p>
        </w:tc>
        <w:tc>
          <w:tcPr>
            <w:tcW w:w="3055" w:type="dxa"/>
            <w:shd w:val="clear" w:color="auto" w:fill="auto"/>
            <w:vAlign w:val="center"/>
          </w:tcPr>
          <w:p w:rsidR="003E06DC" w:rsidRDefault="001F60F7">
            <w:pPr>
              <w:widowControl/>
              <w:adjustRightInd w:val="0"/>
              <w:snapToGrid w:val="0"/>
              <w:jc w:val="center"/>
              <w:rPr>
                <w:rFonts w:ascii="仿宋" w:eastAsia="仿宋" w:hAnsi="仿宋" w:cs="宋体"/>
                <w:bCs/>
                <w:color w:val="000000"/>
                <w:kern w:val="0"/>
                <w:sz w:val="28"/>
                <w:szCs w:val="28"/>
              </w:rPr>
            </w:pPr>
            <w:r>
              <w:rPr>
                <w:rFonts w:ascii="仿宋" w:eastAsia="仿宋" w:hAnsi="仿宋" w:cs="宋体" w:hint="eastAsia"/>
                <w:bCs/>
                <w:color w:val="000000"/>
                <w:kern w:val="0"/>
                <w:sz w:val="28"/>
                <w:szCs w:val="28"/>
              </w:rPr>
              <w:t>8.04</w:t>
            </w:r>
          </w:p>
        </w:tc>
      </w:tr>
      <w:tr w:rsidR="003E06DC">
        <w:trPr>
          <w:trHeight w:hRule="exact" w:val="454"/>
        </w:trPr>
        <w:tc>
          <w:tcPr>
            <w:tcW w:w="2823" w:type="dxa"/>
            <w:shd w:val="clear" w:color="auto" w:fill="auto"/>
            <w:vAlign w:val="center"/>
          </w:tcPr>
          <w:p w:rsidR="003E06DC" w:rsidRDefault="001F60F7">
            <w:pPr>
              <w:widowControl/>
              <w:adjustRightInd w:val="0"/>
              <w:snapToGrid w:val="0"/>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预算管理</w:t>
            </w:r>
          </w:p>
        </w:tc>
        <w:tc>
          <w:tcPr>
            <w:tcW w:w="2832" w:type="dxa"/>
            <w:shd w:val="clear" w:color="auto" w:fill="auto"/>
            <w:vAlign w:val="center"/>
          </w:tcPr>
          <w:p w:rsidR="003E06DC" w:rsidRDefault="001F60F7">
            <w:pPr>
              <w:widowControl/>
              <w:adjustRightInd w:val="0"/>
              <w:snapToGrid w:val="0"/>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15</w:t>
            </w:r>
          </w:p>
        </w:tc>
        <w:tc>
          <w:tcPr>
            <w:tcW w:w="3055" w:type="dxa"/>
            <w:shd w:val="clear" w:color="auto" w:fill="auto"/>
            <w:vAlign w:val="center"/>
          </w:tcPr>
          <w:p w:rsidR="003E06DC" w:rsidRDefault="001F60F7">
            <w:pPr>
              <w:widowControl/>
              <w:adjustRightInd w:val="0"/>
              <w:snapToGrid w:val="0"/>
              <w:jc w:val="center"/>
              <w:rPr>
                <w:rFonts w:ascii="仿宋" w:eastAsia="仿宋" w:hAnsi="仿宋" w:cs="宋体"/>
                <w:bCs/>
                <w:color w:val="000000"/>
                <w:kern w:val="0"/>
                <w:sz w:val="28"/>
                <w:szCs w:val="28"/>
              </w:rPr>
            </w:pPr>
            <w:r>
              <w:rPr>
                <w:rFonts w:ascii="仿宋" w:eastAsia="仿宋" w:hAnsi="仿宋" w:cs="宋体" w:hint="eastAsia"/>
                <w:bCs/>
                <w:color w:val="000000"/>
                <w:kern w:val="0"/>
                <w:sz w:val="28"/>
                <w:szCs w:val="28"/>
              </w:rPr>
              <w:t>13.78</w:t>
            </w:r>
          </w:p>
        </w:tc>
      </w:tr>
      <w:tr w:rsidR="003E06DC">
        <w:trPr>
          <w:trHeight w:hRule="exact" w:val="454"/>
        </w:trPr>
        <w:tc>
          <w:tcPr>
            <w:tcW w:w="2823" w:type="dxa"/>
            <w:shd w:val="clear" w:color="auto" w:fill="auto"/>
            <w:vAlign w:val="center"/>
          </w:tcPr>
          <w:p w:rsidR="003E06DC" w:rsidRDefault="001F60F7">
            <w:pPr>
              <w:widowControl/>
              <w:adjustRightInd w:val="0"/>
              <w:snapToGrid w:val="0"/>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绩效管理</w:t>
            </w:r>
          </w:p>
        </w:tc>
        <w:tc>
          <w:tcPr>
            <w:tcW w:w="2832" w:type="dxa"/>
            <w:shd w:val="clear" w:color="auto" w:fill="auto"/>
            <w:vAlign w:val="center"/>
          </w:tcPr>
          <w:p w:rsidR="003E06DC" w:rsidRDefault="001F60F7">
            <w:pPr>
              <w:widowControl/>
              <w:adjustRightInd w:val="0"/>
              <w:snapToGrid w:val="0"/>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8</w:t>
            </w:r>
          </w:p>
        </w:tc>
        <w:tc>
          <w:tcPr>
            <w:tcW w:w="3055" w:type="dxa"/>
            <w:shd w:val="clear" w:color="auto" w:fill="auto"/>
            <w:vAlign w:val="center"/>
          </w:tcPr>
          <w:p w:rsidR="003E06DC" w:rsidRDefault="001F60F7">
            <w:pPr>
              <w:widowControl/>
              <w:adjustRightInd w:val="0"/>
              <w:snapToGrid w:val="0"/>
              <w:jc w:val="center"/>
              <w:rPr>
                <w:rFonts w:ascii="仿宋" w:eastAsia="仿宋" w:hAnsi="仿宋" w:cs="宋体"/>
                <w:bCs/>
                <w:color w:val="000000"/>
                <w:kern w:val="0"/>
                <w:sz w:val="28"/>
                <w:szCs w:val="28"/>
              </w:rPr>
            </w:pPr>
            <w:r>
              <w:rPr>
                <w:rFonts w:ascii="仿宋" w:eastAsia="仿宋" w:hAnsi="仿宋" w:cs="宋体" w:hint="eastAsia"/>
                <w:bCs/>
                <w:color w:val="000000"/>
                <w:kern w:val="0"/>
                <w:sz w:val="28"/>
                <w:szCs w:val="28"/>
              </w:rPr>
              <w:t>6.7</w:t>
            </w:r>
          </w:p>
        </w:tc>
      </w:tr>
      <w:tr w:rsidR="003E06DC">
        <w:trPr>
          <w:trHeight w:hRule="exact" w:val="454"/>
        </w:trPr>
        <w:tc>
          <w:tcPr>
            <w:tcW w:w="2823" w:type="dxa"/>
            <w:shd w:val="clear" w:color="auto" w:fill="auto"/>
            <w:vAlign w:val="center"/>
          </w:tcPr>
          <w:p w:rsidR="003E06DC" w:rsidRDefault="001F60F7">
            <w:pPr>
              <w:widowControl/>
              <w:adjustRightInd w:val="0"/>
              <w:snapToGrid w:val="0"/>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资产管理</w:t>
            </w:r>
          </w:p>
        </w:tc>
        <w:tc>
          <w:tcPr>
            <w:tcW w:w="2832" w:type="dxa"/>
            <w:shd w:val="clear" w:color="auto" w:fill="auto"/>
            <w:vAlign w:val="center"/>
          </w:tcPr>
          <w:p w:rsidR="003E06DC" w:rsidRDefault="001F60F7">
            <w:pPr>
              <w:widowControl/>
              <w:adjustRightInd w:val="0"/>
              <w:snapToGrid w:val="0"/>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5</w:t>
            </w:r>
          </w:p>
        </w:tc>
        <w:tc>
          <w:tcPr>
            <w:tcW w:w="3055" w:type="dxa"/>
            <w:shd w:val="clear" w:color="auto" w:fill="auto"/>
            <w:vAlign w:val="center"/>
          </w:tcPr>
          <w:p w:rsidR="003E06DC" w:rsidRDefault="001F60F7">
            <w:pPr>
              <w:widowControl/>
              <w:adjustRightInd w:val="0"/>
              <w:snapToGrid w:val="0"/>
              <w:jc w:val="center"/>
              <w:rPr>
                <w:rFonts w:ascii="仿宋" w:eastAsia="仿宋" w:hAnsi="仿宋" w:cs="宋体"/>
                <w:bCs/>
                <w:color w:val="000000"/>
                <w:kern w:val="0"/>
                <w:sz w:val="28"/>
                <w:szCs w:val="28"/>
              </w:rPr>
            </w:pPr>
            <w:r>
              <w:rPr>
                <w:rFonts w:ascii="仿宋" w:eastAsia="仿宋" w:hAnsi="仿宋" w:cs="宋体" w:hint="eastAsia"/>
                <w:bCs/>
                <w:color w:val="000000"/>
                <w:kern w:val="0"/>
                <w:sz w:val="28"/>
                <w:szCs w:val="28"/>
              </w:rPr>
              <w:t>4.62</w:t>
            </w:r>
          </w:p>
        </w:tc>
      </w:tr>
      <w:tr w:rsidR="003E06DC">
        <w:trPr>
          <w:trHeight w:hRule="exact" w:val="454"/>
        </w:trPr>
        <w:tc>
          <w:tcPr>
            <w:tcW w:w="2823" w:type="dxa"/>
            <w:shd w:val="clear" w:color="auto" w:fill="auto"/>
            <w:vAlign w:val="center"/>
          </w:tcPr>
          <w:p w:rsidR="003E06DC" w:rsidRDefault="001F60F7">
            <w:pPr>
              <w:widowControl/>
              <w:adjustRightInd w:val="0"/>
              <w:snapToGrid w:val="0"/>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部门绩效</w:t>
            </w:r>
          </w:p>
        </w:tc>
        <w:tc>
          <w:tcPr>
            <w:tcW w:w="2832" w:type="dxa"/>
            <w:shd w:val="clear" w:color="auto" w:fill="auto"/>
            <w:vAlign w:val="center"/>
          </w:tcPr>
          <w:p w:rsidR="003E06DC" w:rsidRDefault="001F60F7">
            <w:pPr>
              <w:widowControl/>
              <w:adjustRightInd w:val="0"/>
              <w:snapToGrid w:val="0"/>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45</w:t>
            </w:r>
          </w:p>
        </w:tc>
        <w:tc>
          <w:tcPr>
            <w:tcW w:w="3055" w:type="dxa"/>
            <w:shd w:val="clear" w:color="auto" w:fill="auto"/>
            <w:vAlign w:val="center"/>
          </w:tcPr>
          <w:p w:rsidR="003E06DC" w:rsidRDefault="001F60F7">
            <w:pPr>
              <w:widowControl/>
              <w:adjustRightInd w:val="0"/>
              <w:snapToGrid w:val="0"/>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37.92</w:t>
            </w:r>
          </w:p>
        </w:tc>
      </w:tr>
      <w:tr w:rsidR="003E06DC">
        <w:trPr>
          <w:trHeight w:hRule="exact" w:val="454"/>
        </w:trPr>
        <w:tc>
          <w:tcPr>
            <w:tcW w:w="2823" w:type="dxa"/>
            <w:shd w:val="clear" w:color="auto" w:fill="auto"/>
            <w:vAlign w:val="center"/>
          </w:tcPr>
          <w:p w:rsidR="003E06DC" w:rsidRDefault="001F60F7">
            <w:pPr>
              <w:widowControl/>
              <w:adjustRightInd w:val="0"/>
              <w:snapToGrid w:val="0"/>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产出</w:t>
            </w:r>
          </w:p>
        </w:tc>
        <w:tc>
          <w:tcPr>
            <w:tcW w:w="2832" w:type="dxa"/>
            <w:shd w:val="clear" w:color="auto" w:fill="auto"/>
            <w:vAlign w:val="center"/>
          </w:tcPr>
          <w:p w:rsidR="003E06DC" w:rsidRDefault="001F60F7">
            <w:pPr>
              <w:widowControl/>
              <w:adjustRightInd w:val="0"/>
              <w:snapToGrid w:val="0"/>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20</w:t>
            </w:r>
          </w:p>
        </w:tc>
        <w:tc>
          <w:tcPr>
            <w:tcW w:w="3055" w:type="dxa"/>
            <w:shd w:val="clear" w:color="auto" w:fill="auto"/>
            <w:vAlign w:val="center"/>
          </w:tcPr>
          <w:p w:rsidR="003E06DC" w:rsidRDefault="001F60F7">
            <w:pPr>
              <w:widowControl/>
              <w:adjustRightInd w:val="0"/>
              <w:snapToGrid w:val="0"/>
              <w:jc w:val="center"/>
              <w:rPr>
                <w:rFonts w:ascii="仿宋" w:eastAsia="仿宋" w:hAnsi="仿宋" w:cs="宋体"/>
                <w:bCs/>
                <w:color w:val="000000"/>
                <w:kern w:val="0"/>
                <w:sz w:val="28"/>
                <w:szCs w:val="28"/>
              </w:rPr>
            </w:pPr>
            <w:r>
              <w:rPr>
                <w:rFonts w:ascii="仿宋" w:eastAsia="仿宋" w:hAnsi="仿宋" w:cs="宋体" w:hint="eastAsia"/>
                <w:bCs/>
                <w:color w:val="000000"/>
                <w:kern w:val="0"/>
                <w:sz w:val="28"/>
                <w:szCs w:val="28"/>
              </w:rPr>
              <w:t>17.32</w:t>
            </w:r>
          </w:p>
        </w:tc>
      </w:tr>
      <w:tr w:rsidR="003E06DC">
        <w:trPr>
          <w:trHeight w:hRule="exact" w:val="454"/>
        </w:trPr>
        <w:tc>
          <w:tcPr>
            <w:tcW w:w="2823" w:type="dxa"/>
            <w:shd w:val="clear" w:color="auto" w:fill="auto"/>
            <w:vAlign w:val="center"/>
          </w:tcPr>
          <w:p w:rsidR="003E06DC" w:rsidRDefault="001F60F7">
            <w:pPr>
              <w:widowControl/>
              <w:adjustRightInd w:val="0"/>
              <w:snapToGrid w:val="0"/>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效果</w:t>
            </w:r>
          </w:p>
        </w:tc>
        <w:tc>
          <w:tcPr>
            <w:tcW w:w="2832" w:type="dxa"/>
            <w:shd w:val="clear" w:color="auto" w:fill="auto"/>
            <w:vAlign w:val="center"/>
          </w:tcPr>
          <w:p w:rsidR="003E06DC" w:rsidRDefault="001F60F7">
            <w:pPr>
              <w:widowControl/>
              <w:adjustRightInd w:val="0"/>
              <w:snapToGrid w:val="0"/>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25</w:t>
            </w:r>
          </w:p>
        </w:tc>
        <w:tc>
          <w:tcPr>
            <w:tcW w:w="3055" w:type="dxa"/>
            <w:shd w:val="clear" w:color="auto" w:fill="auto"/>
            <w:vAlign w:val="center"/>
          </w:tcPr>
          <w:p w:rsidR="003E06DC" w:rsidRDefault="001F60F7">
            <w:pPr>
              <w:widowControl/>
              <w:adjustRightInd w:val="0"/>
              <w:snapToGrid w:val="0"/>
              <w:jc w:val="center"/>
              <w:rPr>
                <w:rFonts w:ascii="仿宋" w:eastAsia="仿宋" w:hAnsi="仿宋" w:cs="宋体"/>
                <w:bCs/>
                <w:color w:val="000000"/>
                <w:kern w:val="0"/>
                <w:sz w:val="28"/>
                <w:szCs w:val="28"/>
              </w:rPr>
            </w:pPr>
            <w:r>
              <w:rPr>
                <w:rFonts w:ascii="仿宋" w:eastAsia="仿宋" w:hAnsi="仿宋" w:cs="宋体" w:hint="eastAsia"/>
                <w:bCs/>
                <w:color w:val="000000"/>
                <w:kern w:val="0"/>
                <w:sz w:val="28"/>
                <w:szCs w:val="28"/>
              </w:rPr>
              <w:t>20.6</w:t>
            </w:r>
          </w:p>
        </w:tc>
      </w:tr>
      <w:tr w:rsidR="003E06DC">
        <w:trPr>
          <w:trHeight w:hRule="exact" w:val="454"/>
        </w:trPr>
        <w:tc>
          <w:tcPr>
            <w:tcW w:w="2823" w:type="dxa"/>
            <w:shd w:val="clear" w:color="auto" w:fill="auto"/>
            <w:vAlign w:val="center"/>
          </w:tcPr>
          <w:p w:rsidR="003E06DC" w:rsidRDefault="001F60F7">
            <w:pPr>
              <w:widowControl/>
              <w:adjustRightInd w:val="0"/>
              <w:snapToGrid w:val="0"/>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合计</w:t>
            </w:r>
          </w:p>
        </w:tc>
        <w:tc>
          <w:tcPr>
            <w:tcW w:w="2832" w:type="dxa"/>
            <w:shd w:val="clear" w:color="auto" w:fill="auto"/>
            <w:vAlign w:val="center"/>
          </w:tcPr>
          <w:p w:rsidR="003E06DC" w:rsidRDefault="001F60F7">
            <w:pPr>
              <w:widowControl/>
              <w:adjustRightInd w:val="0"/>
              <w:snapToGrid w:val="0"/>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100</w:t>
            </w:r>
          </w:p>
        </w:tc>
        <w:tc>
          <w:tcPr>
            <w:tcW w:w="3055" w:type="dxa"/>
            <w:shd w:val="clear" w:color="auto" w:fill="auto"/>
            <w:vAlign w:val="center"/>
          </w:tcPr>
          <w:p w:rsidR="003E06DC" w:rsidRDefault="001F60F7">
            <w:pPr>
              <w:widowControl/>
              <w:adjustRightInd w:val="0"/>
              <w:snapToGrid w:val="0"/>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84.12</w:t>
            </w:r>
          </w:p>
        </w:tc>
      </w:tr>
    </w:tbl>
    <w:p w:rsidR="003E06DC" w:rsidRDefault="003E06DC">
      <w:pPr>
        <w:adjustRightInd w:val="0"/>
        <w:snapToGrid w:val="0"/>
        <w:spacing w:line="360" w:lineRule="auto"/>
        <w:ind w:firstLineChars="200" w:firstLine="640"/>
        <w:outlineLvl w:val="0"/>
        <w:rPr>
          <w:rFonts w:ascii="仿宋" w:eastAsia="仿宋" w:hAnsi="仿宋"/>
          <w:sz w:val="32"/>
          <w:szCs w:val="32"/>
        </w:rPr>
      </w:pPr>
    </w:p>
    <w:p w:rsidR="003E06DC" w:rsidRDefault="001F60F7">
      <w:pPr>
        <w:pStyle w:val="2"/>
      </w:pPr>
      <w:bookmarkStart w:id="18" w:name="_Toc103649425"/>
      <w:r>
        <w:rPr>
          <w:rFonts w:hint="eastAsia"/>
        </w:rPr>
        <w:t>（二）存在的问题及原因分析</w:t>
      </w:r>
      <w:bookmarkEnd w:id="18"/>
    </w:p>
    <w:p w:rsidR="003E06DC" w:rsidRDefault="001F60F7">
      <w:pPr>
        <w:pStyle w:val="3"/>
        <w:spacing w:before="312"/>
      </w:pPr>
      <w:r>
        <w:rPr>
          <w:rFonts w:hint="eastAsia"/>
        </w:rPr>
        <w:t>1.存在的问题</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（1）部门整体支出绩效目标表填报欠规范。重点工作绩效指标体现有待进一步拓展覆盖面，提高绩效目标与绩效指标的对应性。个别绩效指标细化、量化和可衡量性有待进一步加强。</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2）绩效总结不到位，绩效管理意识有待进一步增强。绩效成果较多，目标完成度较好。绩效报告和现有支撑材料反映不够全面，此外，部分项目绩效成果相关佐证资料不够充分，且未及时开展满意度调查，无法对满意度指标进行完整评价。</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（3）预算执行率偏低，结转结余率偏高。比如，“青年宫办公区空调设备及新风设备采购项目”还处于实施中。“青年宫日常运行项目”中的公开招聘时间紧张，项目尾款未付，绩效目标未完成。</w:t>
      </w:r>
    </w:p>
    <w:p w:rsidR="003E06DC" w:rsidRDefault="001F60F7">
      <w:pPr>
        <w:pStyle w:val="3"/>
        <w:spacing w:before="312"/>
      </w:pPr>
      <w:r>
        <w:rPr>
          <w:rFonts w:hint="eastAsia"/>
        </w:rPr>
        <w:t>2.原因分析</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（1）年度重点工作未严格按照预算内容绩效目标进行分解。</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（2）绩效意识不够强，对于绩效管理的过程控制方式和资料归集规范掌握不够。</w:t>
      </w:r>
    </w:p>
    <w:p w:rsidR="003E06DC" w:rsidRDefault="001F60F7">
      <w:pPr>
        <w:pStyle w:val="1"/>
      </w:pPr>
      <w:bookmarkStart w:id="19" w:name="_Toc103649426"/>
      <w:r>
        <w:rPr>
          <w:rFonts w:hint="eastAsia"/>
        </w:rPr>
        <w:lastRenderedPageBreak/>
        <w:t>六、措施建议</w:t>
      </w:r>
      <w:bookmarkEnd w:id="19"/>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1.进一步规范部门预算绩效目标填报，提高绩效基本覆盖面。将重点项目绩效指标逐一设定为部门整体支出绩效指标的同时，关注部门基本支出的产出指标，围绕中心工作和职责职能，补齐关键指标。</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2.绩效目标和绩效指标设定后，针对重点事项形成折子工程，并做好任务分解和职责分工，确保年终绩效成果与目标匹配。</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3.积极响应财政要求，以绩效为导向，持续推进建立全过程预算绩效管理链条。在预算编制阶段开展预算评审及绩效目标审核，强化绩效意识和成本理念，提高绩效目标申报质量；在预算执行阶段严格按照项目实施进度，跟踪绩效目标实现情况，加强相关佐证材料的收集与汇总，提高项目绩效目标成果的支持力度，开展绩效运行监控，进一步提升预算执行效率和资金使用效益；在决算阶段开展绩效评价，推进绩效信息公开，深化评价结果反馈及应用，并借助社会第三方力量，进一步提升预算绩效管理质量和财政资金使用透明度，实现了预算绩效的闭环管理。</w:t>
      </w:r>
    </w:p>
    <w:p w:rsidR="003E06DC" w:rsidRDefault="001F60F7">
      <w:pPr>
        <w:spacing w:line="600" w:lineRule="exact"/>
        <w:ind w:firstLineChars="200" w:firstLine="640"/>
        <w:rPr>
          <w:rFonts w:ascii="仿宋" w:eastAsia="仿宋" w:hAnsi="仿宋"/>
          <w:sz w:val="32"/>
          <w:szCs w:val="32"/>
        </w:rPr>
      </w:pPr>
      <w:r>
        <w:rPr>
          <w:rFonts w:ascii="仿宋" w:eastAsia="仿宋" w:hAnsi="仿宋" w:hint="eastAsia"/>
          <w:sz w:val="32"/>
          <w:szCs w:val="32"/>
        </w:rPr>
        <w:t>4.加强绩效总结和资料归集，提高预算绩效管理的规范性。注意预算执行过程中绩效资料归集。加大对项目单位的培训和指导，完善项目绩效成果的支撑材料。认真梳理部门整体绩效产出，提高绩效产出与绩效目标的匹配性。</w:t>
      </w:r>
    </w:p>
    <w:p w:rsidR="003E06DC" w:rsidRDefault="003E06DC">
      <w:pPr>
        <w:spacing w:line="600" w:lineRule="exact"/>
        <w:ind w:firstLineChars="200" w:firstLine="640"/>
        <w:rPr>
          <w:rFonts w:ascii="仿宋" w:eastAsia="仿宋" w:hAnsi="仿宋"/>
          <w:sz w:val="32"/>
          <w:szCs w:val="32"/>
        </w:rPr>
      </w:pPr>
    </w:p>
    <w:sectPr w:rsidR="003E06DC" w:rsidSect="001C3FAF">
      <w:pgSz w:w="11906" w:h="16838"/>
      <w:pgMar w:top="1440" w:right="1418" w:bottom="1440" w:left="1758"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6DC" w:rsidRDefault="003E06DC" w:rsidP="003E06DC">
      <w:r>
        <w:separator/>
      </w:r>
    </w:p>
  </w:endnote>
  <w:endnote w:type="continuationSeparator" w:id="0">
    <w:p w:rsidR="003E06DC" w:rsidRDefault="003E06DC" w:rsidP="003E06DC">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华文仿宋">
    <w:altName w:val="仿宋"/>
    <w:charset w:val="86"/>
    <w:family w:val="auto"/>
    <w:pitch w:val="default"/>
    <w:sig w:usb0="00000000" w:usb1="00000000" w:usb2="00000010" w:usb3="00000000" w:csb0="0004009F"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7074522"/>
    </w:sdtPr>
    <w:sdtContent>
      <w:p w:rsidR="003E06DC" w:rsidRDefault="003141AF">
        <w:pPr>
          <w:pStyle w:val="a4"/>
          <w:jc w:val="center"/>
        </w:pPr>
        <w:r w:rsidRPr="003141AF">
          <w:fldChar w:fldCharType="begin"/>
        </w:r>
        <w:r w:rsidR="001F60F7">
          <w:instrText>PAGE   \* MERGEFORMAT</w:instrText>
        </w:r>
        <w:r w:rsidRPr="003141AF">
          <w:fldChar w:fldCharType="separate"/>
        </w:r>
        <w:r w:rsidR="005102A2" w:rsidRPr="005102A2">
          <w:rPr>
            <w:noProof/>
            <w:lang w:val="zh-CN"/>
          </w:rPr>
          <w:t>19</w:t>
        </w:r>
        <w:r>
          <w:rPr>
            <w:lang w:val="zh-CN"/>
          </w:rPr>
          <w:fldChar w:fldCharType="end"/>
        </w:r>
      </w:p>
    </w:sdtContent>
  </w:sdt>
  <w:p w:rsidR="003E06DC" w:rsidRDefault="003E06D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6DC" w:rsidRDefault="003E06DC" w:rsidP="003E06DC">
      <w:r>
        <w:separator/>
      </w:r>
    </w:p>
  </w:footnote>
  <w:footnote w:type="continuationSeparator" w:id="0">
    <w:p w:rsidR="003E06DC" w:rsidRDefault="003E06DC" w:rsidP="003E06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A4B27"/>
    <w:rsid w:val="00000E46"/>
    <w:rsid w:val="00001B6D"/>
    <w:rsid w:val="0000754B"/>
    <w:rsid w:val="00023667"/>
    <w:rsid w:val="000248A0"/>
    <w:rsid w:val="00030D3A"/>
    <w:rsid w:val="00045430"/>
    <w:rsid w:val="00067061"/>
    <w:rsid w:val="0007169A"/>
    <w:rsid w:val="000717C8"/>
    <w:rsid w:val="00093DC8"/>
    <w:rsid w:val="000B0F59"/>
    <w:rsid w:val="000B2239"/>
    <w:rsid w:val="000B2EDA"/>
    <w:rsid w:val="000B5717"/>
    <w:rsid w:val="000E1525"/>
    <w:rsid w:val="000E6CBA"/>
    <w:rsid w:val="000F2502"/>
    <w:rsid w:val="000F65C7"/>
    <w:rsid w:val="00103083"/>
    <w:rsid w:val="0016478E"/>
    <w:rsid w:val="00174F46"/>
    <w:rsid w:val="001A2EDE"/>
    <w:rsid w:val="001A6F4B"/>
    <w:rsid w:val="001C3FAF"/>
    <w:rsid w:val="001F60F7"/>
    <w:rsid w:val="00203AA9"/>
    <w:rsid w:val="00224B06"/>
    <w:rsid w:val="00231269"/>
    <w:rsid w:val="002447E1"/>
    <w:rsid w:val="00252A33"/>
    <w:rsid w:val="00260C3B"/>
    <w:rsid w:val="00263A3A"/>
    <w:rsid w:val="00274D98"/>
    <w:rsid w:val="00295625"/>
    <w:rsid w:val="00296B81"/>
    <w:rsid w:val="00297CCC"/>
    <w:rsid w:val="002D343C"/>
    <w:rsid w:val="002F1492"/>
    <w:rsid w:val="00302C62"/>
    <w:rsid w:val="0030356E"/>
    <w:rsid w:val="00307165"/>
    <w:rsid w:val="00311866"/>
    <w:rsid w:val="003141AF"/>
    <w:rsid w:val="003218AC"/>
    <w:rsid w:val="00330120"/>
    <w:rsid w:val="00331709"/>
    <w:rsid w:val="00337051"/>
    <w:rsid w:val="00340C69"/>
    <w:rsid w:val="00341727"/>
    <w:rsid w:val="003452EA"/>
    <w:rsid w:val="00356CF9"/>
    <w:rsid w:val="00372BD1"/>
    <w:rsid w:val="0038116A"/>
    <w:rsid w:val="00387A0E"/>
    <w:rsid w:val="003950C1"/>
    <w:rsid w:val="003A14A0"/>
    <w:rsid w:val="003A6D6D"/>
    <w:rsid w:val="003B329C"/>
    <w:rsid w:val="003B3E9A"/>
    <w:rsid w:val="003E06DC"/>
    <w:rsid w:val="003E58E7"/>
    <w:rsid w:val="003F5AA8"/>
    <w:rsid w:val="00446D5A"/>
    <w:rsid w:val="00451490"/>
    <w:rsid w:val="00471AB4"/>
    <w:rsid w:val="00475870"/>
    <w:rsid w:val="004A5505"/>
    <w:rsid w:val="004D6359"/>
    <w:rsid w:val="004E1D29"/>
    <w:rsid w:val="004F1E05"/>
    <w:rsid w:val="004F6289"/>
    <w:rsid w:val="004F72BF"/>
    <w:rsid w:val="0050680F"/>
    <w:rsid w:val="00506958"/>
    <w:rsid w:val="005102A2"/>
    <w:rsid w:val="00510A2F"/>
    <w:rsid w:val="00517836"/>
    <w:rsid w:val="00536BE6"/>
    <w:rsid w:val="0054111B"/>
    <w:rsid w:val="00541F39"/>
    <w:rsid w:val="00543912"/>
    <w:rsid w:val="005547D4"/>
    <w:rsid w:val="00560CB5"/>
    <w:rsid w:val="005615ED"/>
    <w:rsid w:val="005C22D9"/>
    <w:rsid w:val="005D6983"/>
    <w:rsid w:val="005E790E"/>
    <w:rsid w:val="005F6A88"/>
    <w:rsid w:val="006266DA"/>
    <w:rsid w:val="006705C2"/>
    <w:rsid w:val="006D178C"/>
    <w:rsid w:val="006D22C9"/>
    <w:rsid w:val="00725227"/>
    <w:rsid w:val="0072790C"/>
    <w:rsid w:val="0073062B"/>
    <w:rsid w:val="00762D08"/>
    <w:rsid w:val="0076796A"/>
    <w:rsid w:val="00767DB3"/>
    <w:rsid w:val="00783F04"/>
    <w:rsid w:val="00791B1E"/>
    <w:rsid w:val="00795466"/>
    <w:rsid w:val="007B07D6"/>
    <w:rsid w:val="007B1AE3"/>
    <w:rsid w:val="007B6D5B"/>
    <w:rsid w:val="007B7D80"/>
    <w:rsid w:val="007C0D2E"/>
    <w:rsid w:val="007C1A33"/>
    <w:rsid w:val="007E56E5"/>
    <w:rsid w:val="007E6396"/>
    <w:rsid w:val="00812C60"/>
    <w:rsid w:val="00813612"/>
    <w:rsid w:val="008138B3"/>
    <w:rsid w:val="0081678E"/>
    <w:rsid w:val="008233E4"/>
    <w:rsid w:val="008471AD"/>
    <w:rsid w:val="00852FE4"/>
    <w:rsid w:val="00862250"/>
    <w:rsid w:val="00871F55"/>
    <w:rsid w:val="008807A9"/>
    <w:rsid w:val="008D2498"/>
    <w:rsid w:val="008E3341"/>
    <w:rsid w:val="008E56DE"/>
    <w:rsid w:val="009145A9"/>
    <w:rsid w:val="009177E2"/>
    <w:rsid w:val="00937156"/>
    <w:rsid w:val="009419C5"/>
    <w:rsid w:val="009769C9"/>
    <w:rsid w:val="009B6F3D"/>
    <w:rsid w:val="009D117E"/>
    <w:rsid w:val="009F2426"/>
    <w:rsid w:val="009F78C3"/>
    <w:rsid w:val="00A073BD"/>
    <w:rsid w:val="00A14408"/>
    <w:rsid w:val="00A154BE"/>
    <w:rsid w:val="00A16AAC"/>
    <w:rsid w:val="00A22383"/>
    <w:rsid w:val="00A310F1"/>
    <w:rsid w:val="00A43162"/>
    <w:rsid w:val="00A80C26"/>
    <w:rsid w:val="00A822CB"/>
    <w:rsid w:val="00AB5E4F"/>
    <w:rsid w:val="00AB713A"/>
    <w:rsid w:val="00AD7A17"/>
    <w:rsid w:val="00AD7F8A"/>
    <w:rsid w:val="00AE5D63"/>
    <w:rsid w:val="00B0401A"/>
    <w:rsid w:val="00B1259D"/>
    <w:rsid w:val="00B3305F"/>
    <w:rsid w:val="00B45F89"/>
    <w:rsid w:val="00B634D1"/>
    <w:rsid w:val="00BA480E"/>
    <w:rsid w:val="00BB4D92"/>
    <w:rsid w:val="00BE31A2"/>
    <w:rsid w:val="00BE5104"/>
    <w:rsid w:val="00BE5FB8"/>
    <w:rsid w:val="00BF2F00"/>
    <w:rsid w:val="00C01771"/>
    <w:rsid w:val="00C124A9"/>
    <w:rsid w:val="00C45186"/>
    <w:rsid w:val="00C47B68"/>
    <w:rsid w:val="00C51F1A"/>
    <w:rsid w:val="00C85D98"/>
    <w:rsid w:val="00C91DBB"/>
    <w:rsid w:val="00CB35F2"/>
    <w:rsid w:val="00CC194A"/>
    <w:rsid w:val="00CC2582"/>
    <w:rsid w:val="00CC4DD0"/>
    <w:rsid w:val="00CD1357"/>
    <w:rsid w:val="00D04633"/>
    <w:rsid w:val="00D2199F"/>
    <w:rsid w:val="00D25BE4"/>
    <w:rsid w:val="00D32EEB"/>
    <w:rsid w:val="00D43827"/>
    <w:rsid w:val="00D71204"/>
    <w:rsid w:val="00D76723"/>
    <w:rsid w:val="00DA3EF8"/>
    <w:rsid w:val="00DB63B6"/>
    <w:rsid w:val="00DC71F1"/>
    <w:rsid w:val="00DD0782"/>
    <w:rsid w:val="00DD3F45"/>
    <w:rsid w:val="00DE3EAE"/>
    <w:rsid w:val="00DF60F1"/>
    <w:rsid w:val="00E16C06"/>
    <w:rsid w:val="00E2008B"/>
    <w:rsid w:val="00E3441A"/>
    <w:rsid w:val="00E43144"/>
    <w:rsid w:val="00E732EC"/>
    <w:rsid w:val="00E75BDC"/>
    <w:rsid w:val="00E85ED3"/>
    <w:rsid w:val="00E90E3D"/>
    <w:rsid w:val="00EA4B27"/>
    <w:rsid w:val="00EB5E77"/>
    <w:rsid w:val="00EE4762"/>
    <w:rsid w:val="00EF094B"/>
    <w:rsid w:val="00EF388F"/>
    <w:rsid w:val="00F31B13"/>
    <w:rsid w:val="00F32504"/>
    <w:rsid w:val="00F45660"/>
    <w:rsid w:val="00F5006D"/>
    <w:rsid w:val="00F57B94"/>
    <w:rsid w:val="00F60BB9"/>
    <w:rsid w:val="00FA4F3C"/>
    <w:rsid w:val="00FE3CAA"/>
    <w:rsid w:val="00FE45ED"/>
    <w:rsid w:val="00FF5D0B"/>
    <w:rsid w:val="194014D5"/>
    <w:rsid w:val="297B126D"/>
    <w:rsid w:val="36D016B5"/>
    <w:rsid w:val="3A063E37"/>
    <w:rsid w:val="46184293"/>
    <w:rsid w:val="5B1D0F7A"/>
    <w:rsid w:val="5E36555E"/>
    <w:rsid w:val="621C2994"/>
    <w:rsid w:val="6F7B5D21"/>
    <w:rsid w:val="72B40E2B"/>
    <w:rsid w:val="797946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qFormat="1"/>
    <w:lsdException w:name="Subtitle" w:semiHidden="0" w:uiPriority="11" w:unhideWhenUsed="0" w:qFormat="1"/>
    <w:lsdException w:name="Body Text Indent 2" w:uiPriority="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6DC"/>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3E06DC"/>
    <w:pPr>
      <w:keepNext/>
      <w:keepLines/>
      <w:adjustRightInd w:val="0"/>
      <w:snapToGrid w:val="0"/>
      <w:spacing w:before="240" w:after="120" w:line="360" w:lineRule="auto"/>
      <w:ind w:firstLineChars="200" w:firstLine="643"/>
      <w:outlineLvl w:val="0"/>
    </w:pPr>
    <w:rPr>
      <w:rFonts w:ascii="黑体" w:eastAsia="黑体" w:hAnsi="黑体"/>
      <w:b/>
      <w:bCs/>
      <w:kern w:val="44"/>
      <w:sz w:val="32"/>
      <w:szCs w:val="32"/>
    </w:rPr>
  </w:style>
  <w:style w:type="paragraph" w:styleId="2">
    <w:name w:val="heading 2"/>
    <w:basedOn w:val="a"/>
    <w:next w:val="a"/>
    <w:link w:val="2Char"/>
    <w:uiPriority w:val="9"/>
    <w:unhideWhenUsed/>
    <w:qFormat/>
    <w:rsid w:val="003E06DC"/>
    <w:pPr>
      <w:keepNext/>
      <w:keepLines/>
      <w:adjustRightInd w:val="0"/>
      <w:snapToGrid w:val="0"/>
      <w:spacing w:before="240" w:after="120" w:line="360" w:lineRule="auto"/>
      <w:ind w:firstLineChars="200" w:firstLine="643"/>
      <w:outlineLvl w:val="1"/>
    </w:pPr>
    <w:rPr>
      <w:rFonts w:ascii="楷体" w:eastAsia="楷体" w:hAnsi="楷体" w:cstheme="majorBidi"/>
      <w:b/>
      <w:bCs/>
      <w:sz w:val="32"/>
      <w:szCs w:val="32"/>
    </w:rPr>
  </w:style>
  <w:style w:type="paragraph" w:styleId="3">
    <w:name w:val="heading 3"/>
    <w:basedOn w:val="a"/>
    <w:next w:val="a"/>
    <w:link w:val="3Char"/>
    <w:uiPriority w:val="9"/>
    <w:unhideWhenUsed/>
    <w:qFormat/>
    <w:rsid w:val="003E06DC"/>
    <w:pPr>
      <w:adjustRightInd w:val="0"/>
      <w:snapToGrid w:val="0"/>
      <w:spacing w:beforeLines="100" w:line="360" w:lineRule="auto"/>
      <w:ind w:firstLineChars="200" w:firstLine="643"/>
      <w:outlineLvl w:val="2"/>
    </w:pPr>
    <w:rPr>
      <w:rFonts w:ascii="仿宋" w:eastAsia="仿宋" w:hAnsi="仿宋"/>
      <w:b/>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qFormat/>
    <w:rsid w:val="003E06DC"/>
    <w:pPr>
      <w:spacing w:after="120"/>
      <w:ind w:leftChars="200" w:left="420"/>
    </w:pPr>
  </w:style>
  <w:style w:type="paragraph" w:styleId="20">
    <w:name w:val="Body Text Indent 2"/>
    <w:basedOn w:val="a"/>
    <w:link w:val="2Char0"/>
    <w:semiHidden/>
    <w:unhideWhenUsed/>
    <w:qFormat/>
    <w:rsid w:val="003E06DC"/>
    <w:pPr>
      <w:spacing w:after="120" w:line="480" w:lineRule="auto"/>
      <w:ind w:leftChars="200" w:left="420"/>
    </w:pPr>
  </w:style>
  <w:style w:type="paragraph" w:styleId="a4">
    <w:name w:val="footer"/>
    <w:basedOn w:val="a"/>
    <w:link w:val="Char0"/>
    <w:uiPriority w:val="99"/>
    <w:unhideWhenUsed/>
    <w:qFormat/>
    <w:rsid w:val="003E06DC"/>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E06DC"/>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3E06DC"/>
  </w:style>
  <w:style w:type="paragraph" w:styleId="21">
    <w:name w:val="toc 2"/>
    <w:basedOn w:val="a"/>
    <w:next w:val="a"/>
    <w:uiPriority w:val="39"/>
    <w:unhideWhenUsed/>
    <w:qFormat/>
    <w:rsid w:val="003E06DC"/>
    <w:pPr>
      <w:ind w:leftChars="200" w:left="420"/>
    </w:pPr>
  </w:style>
  <w:style w:type="paragraph" w:styleId="a6">
    <w:name w:val="Normal (Web)"/>
    <w:basedOn w:val="a"/>
    <w:uiPriority w:val="99"/>
    <w:semiHidden/>
    <w:unhideWhenUsed/>
    <w:qFormat/>
    <w:rsid w:val="003E06DC"/>
    <w:pPr>
      <w:widowControl/>
      <w:spacing w:before="100" w:beforeAutospacing="1" w:after="100" w:afterAutospacing="1"/>
      <w:jc w:val="left"/>
    </w:pPr>
    <w:rPr>
      <w:rFonts w:ascii="宋体" w:hAnsi="宋体" w:cs="宋体"/>
      <w:kern w:val="0"/>
      <w:sz w:val="24"/>
    </w:rPr>
  </w:style>
  <w:style w:type="character" w:styleId="a7">
    <w:name w:val="Hyperlink"/>
    <w:basedOn w:val="a0"/>
    <w:uiPriority w:val="99"/>
    <w:unhideWhenUsed/>
    <w:qFormat/>
    <w:rsid w:val="003E06DC"/>
    <w:rPr>
      <w:color w:val="0563C1" w:themeColor="hyperlink"/>
      <w:u w:val="single"/>
    </w:rPr>
  </w:style>
  <w:style w:type="character" w:customStyle="1" w:styleId="1Char">
    <w:name w:val="标题 1 Char"/>
    <w:basedOn w:val="a0"/>
    <w:link w:val="1"/>
    <w:uiPriority w:val="9"/>
    <w:qFormat/>
    <w:rsid w:val="003E06DC"/>
    <w:rPr>
      <w:rFonts w:ascii="黑体" w:eastAsia="黑体" w:hAnsi="黑体" w:cs="Times New Roman"/>
      <w:b/>
      <w:bCs/>
      <w:kern w:val="44"/>
      <w:sz w:val="32"/>
      <w:szCs w:val="32"/>
    </w:rPr>
  </w:style>
  <w:style w:type="character" w:customStyle="1" w:styleId="2Char">
    <w:name w:val="标题 2 Char"/>
    <w:basedOn w:val="a0"/>
    <w:link w:val="2"/>
    <w:uiPriority w:val="9"/>
    <w:qFormat/>
    <w:rsid w:val="003E06DC"/>
    <w:rPr>
      <w:rFonts w:ascii="楷体" w:eastAsia="楷体" w:hAnsi="楷体" w:cstheme="majorBidi"/>
      <w:b/>
      <w:bCs/>
      <w:sz w:val="32"/>
      <w:szCs w:val="32"/>
    </w:rPr>
  </w:style>
  <w:style w:type="character" w:customStyle="1" w:styleId="3Char">
    <w:name w:val="标题 3 Char"/>
    <w:basedOn w:val="a0"/>
    <w:link w:val="3"/>
    <w:uiPriority w:val="9"/>
    <w:rsid w:val="003E06DC"/>
    <w:rPr>
      <w:rFonts w:ascii="仿宋" w:eastAsia="仿宋" w:hAnsi="仿宋" w:cs="Times New Roman"/>
      <w:b/>
      <w:kern w:val="0"/>
      <w:sz w:val="32"/>
      <w:szCs w:val="32"/>
    </w:rPr>
  </w:style>
  <w:style w:type="paragraph" w:styleId="a8">
    <w:name w:val="List Paragraph"/>
    <w:basedOn w:val="a"/>
    <w:uiPriority w:val="34"/>
    <w:qFormat/>
    <w:rsid w:val="003E06DC"/>
    <w:pPr>
      <w:ind w:firstLineChars="200" w:firstLine="420"/>
    </w:pPr>
  </w:style>
  <w:style w:type="character" w:customStyle="1" w:styleId="11">
    <w:name w:val="未处理的提及1"/>
    <w:basedOn w:val="a0"/>
    <w:uiPriority w:val="99"/>
    <w:semiHidden/>
    <w:unhideWhenUsed/>
    <w:qFormat/>
    <w:rsid w:val="003E06DC"/>
    <w:rPr>
      <w:color w:val="605E5C"/>
      <w:shd w:val="clear" w:color="auto" w:fill="E1DFDD"/>
    </w:rPr>
  </w:style>
  <w:style w:type="character" w:customStyle="1" w:styleId="Char1">
    <w:name w:val="页眉 Char"/>
    <w:basedOn w:val="a0"/>
    <w:link w:val="a5"/>
    <w:uiPriority w:val="99"/>
    <w:qFormat/>
    <w:rsid w:val="003E06DC"/>
    <w:rPr>
      <w:rFonts w:ascii="Times New Roman" w:eastAsia="宋体" w:hAnsi="Times New Roman" w:cs="Times New Roman"/>
      <w:sz w:val="18"/>
      <w:szCs w:val="18"/>
    </w:rPr>
  </w:style>
  <w:style w:type="character" w:customStyle="1" w:styleId="Char0">
    <w:name w:val="页脚 Char"/>
    <w:basedOn w:val="a0"/>
    <w:link w:val="a4"/>
    <w:uiPriority w:val="99"/>
    <w:qFormat/>
    <w:rsid w:val="003E06DC"/>
    <w:rPr>
      <w:rFonts w:ascii="Times New Roman" w:eastAsia="宋体" w:hAnsi="Times New Roman" w:cs="Times New Roman"/>
      <w:sz w:val="18"/>
      <w:szCs w:val="18"/>
    </w:rPr>
  </w:style>
  <w:style w:type="paragraph" w:customStyle="1" w:styleId="12">
    <w:name w:val="列表1"/>
    <w:basedOn w:val="a"/>
    <w:qFormat/>
    <w:rsid w:val="003E06DC"/>
    <w:pPr>
      <w:widowControl/>
      <w:spacing w:before="100" w:beforeAutospacing="1" w:after="100" w:afterAutospacing="1"/>
      <w:jc w:val="left"/>
    </w:pPr>
    <w:rPr>
      <w:rFonts w:ascii="宋体" w:hAnsi="宋体" w:cs="宋体"/>
      <w:kern w:val="0"/>
      <w:sz w:val="24"/>
    </w:rPr>
  </w:style>
  <w:style w:type="paragraph" w:customStyle="1" w:styleId="A9">
    <w:name w:val="正文 A"/>
    <w:qFormat/>
    <w:rsid w:val="003E06DC"/>
    <w:pPr>
      <w:spacing w:after="200"/>
      <w:outlineLvl w:val="0"/>
    </w:pPr>
    <w:rPr>
      <w:rFonts w:ascii="Arial Unicode MS" w:eastAsia="Arial Unicode MS" w:hAnsi="Arial Unicode MS" w:cs="Arial Unicode MS" w:hint="eastAsia"/>
      <w:color w:val="000000"/>
      <w:sz w:val="22"/>
      <w:szCs w:val="22"/>
      <w:u w:color="000000"/>
    </w:rPr>
  </w:style>
  <w:style w:type="character" w:customStyle="1" w:styleId="2Char0">
    <w:name w:val="正文文本缩进 2 Char"/>
    <w:basedOn w:val="a0"/>
    <w:link w:val="20"/>
    <w:semiHidden/>
    <w:qFormat/>
    <w:rsid w:val="003E06DC"/>
    <w:rPr>
      <w:rFonts w:ascii="Times New Roman" w:eastAsia="宋体" w:hAnsi="Times New Roman" w:cs="Times New Roman"/>
      <w:szCs w:val="24"/>
    </w:rPr>
  </w:style>
  <w:style w:type="character" w:customStyle="1" w:styleId="Char">
    <w:name w:val="正文文本缩进 Char"/>
    <w:basedOn w:val="a0"/>
    <w:link w:val="a3"/>
    <w:uiPriority w:val="99"/>
    <w:semiHidden/>
    <w:qFormat/>
    <w:rsid w:val="003E06DC"/>
    <w:rPr>
      <w:rFonts w:ascii="Times New Roman" w:eastAsia="宋体" w:hAnsi="Times New Roman" w:cs="Times New Roman"/>
      <w:szCs w:val="24"/>
    </w:rPr>
  </w:style>
  <w:style w:type="paragraph" w:styleId="aa">
    <w:name w:val="Balloon Text"/>
    <w:basedOn w:val="a"/>
    <w:link w:val="Char2"/>
    <w:uiPriority w:val="99"/>
    <w:semiHidden/>
    <w:unhideWhenUsed/>
    <w:rsid w:val="001F60F7"/>
    <w:rPr>
      <w:sz w:val="18"/>
      <w:szCs w:val="18"/>
    </w:rPr>
  </w:style>
  <w:style w:type="character" w:customStyle="1" w:styleId="Char2">
    <w:name w:val="批注框文本 Char"/>
    <w:basedOn w:val="a0"/>
    <w:link w:val="aa"/>
    <w:uiPriority w:val="99"/>
    <w:semiHidden/>
    <w:rsid w:val="001F60F7"/>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0DB983-F2F0-4C94-A16C-4A1ACFCCB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1751</Words>
  <Characters>9984</Characters>
  <Application>Microsoft Office Word</Application>
  <DocSecurity>0</DocSecurity>
  <Lines>83</Lines>
  <Paragraphs>23</Paragraphs>
  <ScaleCrop>false</ScaleCrop>
  <Company/>
  <LinksUpToDate>false</LinksUpToDate>
  <CharactersWithSpaces>11712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xjg</dc:creator>
  <cp:lastModifiedBy>Administrator</cp:lastModifiedBy>
  <cp:revision>9</cp:revision>
  <dcterms:created xsi:type="dcterms:W3CDTF">2022-05-23T08:09:00Z</dcterms:created>
  <dcterms:modified xsi:type="dcterms:W3CDTF">2022-08-23T12:41:00Z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