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center"/>
        <w:rPr>
          <w:rFonts w:hint="eastAsia" w:ascii="黑体" w:eastAsia="黑体"/>
          <w:sz w:val="32"/>
          <w:szCs w:val="32"/>
        </w:rPr>
      </w:pPr>
      <w:r>
        <w:rPr>
          <w:rFonts w:hint="eastAsia" w:ascii="黑体" w:eastAsia="黑体"/>
          <w:sz w:val="32"/>
          <w:szCs w:val="32"/>
        </w:rPr>
        <w:t xml:space="preserve">第四部分  </w:t>
      </w:r>
      <w:r>
        <w:rPr>
          <w:rFonts w:hint="eastAsia" w:ascii="黑体" w:eastAsia="黑体"/>
          <w:sz w:val="32"/>
          <w:szCs w:val="32"/>
          <w:lang w:eastAsia="zh-CN"/>
        </w:rPr>
        <w:t>2021年度</w:t>
      </w:r>
      <w:r>
        <w:rPr>
          <w:rFonts w:hint="eastAsia" w:ascii="黑体" w:eastAsia="黑体"/>
          <w:sz w:val="32"/>
          <w:szCs w:val="32"/>
        </w:rPr>
        <w:t>部门绩效评价情况</w:t>
      </w:r>
    </w:p>
    <w:p>
      <w:pPr>
        <w:keepNext w:val="0"/>
        <w:keepLines w:val="0"/>
        <w:pageBreakBefore w:val="0"/>
        <w:widowControl w:val="0"/>
        <w:numPr>
          <w:numId w:val="0"/>
        </w:numPr>
        <w:kinsoku/>
        <w:wordWrap/>
        <w:overflowPunct/>
        <w:topLinePunct w:val="0"/>
        <w:autoSpaceDE/>
        <w:autoSpaceDN/>
        <w:bidi w:val="0"/>
        <w:adjustRightInd/>
        <w:snapToGrid/>
        <w:spacing w:line="580" w:lineRule="exact"/>
        <w:textAlignment w:val="auto"/>
        <w:rPr>
          <w:rFonts w:hint="eastAsia" w:ascii="黑体" w:eastAsia="黑体"/>
          <w:sz w:val="36"/>
          <w:szCs w:val="36"/>
          <w:highlight w:val="none"/>
          <w:lang w:eastAsia="zh-CN"/>
        </w:rPr>
      </w:pPr>
    </w:p>
    <w:p>
      <w:pPr>
        <w:keepNext w:val="0"/>
        <w:keepLines w:val="0"/>
        <w:pageBreakBefore w:val="0"/>
        <w:widowControl w:val="0"/>
        <w:numPr>
          <w:numId w:val="0"/>
        </w:numPr>
        <w:kinsoku/>
        <w:wordWrap/>
        <w:overflowPunct/>
        <w:topLinePunct w:val="0"/>
        <w:autoSpaceDE/>
        <w:autoSpaceDN/>
        <w:bidi w:val="0"/>
        <w:adjustRightInd/>
        <w:snapToGrid/>
        <w:spacing w:line="580" w:lineRule="exact"/>
        <w:ind w:firstLine="280" w:firstLineChars="100"/>
        <w:textAlignment w:val="auto"/>
        <w:rPr>
          <w:rFonts w:hint="eastAsia" w:ascii="黑体" w:eastAsia="黑体"/>
          <w:sz w:val="36"/>
          <w:szCs w:val="36"/>
          <w:highlight w:val="none"/>
          <w:lang w:eastAsia="zh-CN"/>
        </w:rPr>
      </w:pPr>
      <w:r>
        <w:rPr>
          <w:rFonts w:hint="eastAsia" w:ascii="黑体" w:eastAsia="黑体" w:cs="Times New Roman"/>
          <w:sz w:val="28"/>
          <w:szCs w:val="28"/>
          <w:highlight w:val="none"/>
          <w:lang w:eastAsia="zh-CN"/>
        </w:rPr>
        <w:t>一、</w:t>
      </w:r>
      <w:r>
        <w:rPr>
          <w:rFonts w:hint="eastAsia" w:ascii="黑体" w:hAnsi="Times New Roman" w:eastAsia="黑体" w:cs="Times New Roman"/>
          <w:sz w:val="28"/>
          <w:szCs w:val="28"/>
          <w:highlight w:val="none"/>
          <w:lang w:eastAsia="zh-CN"/>
        </w:rPr>
        <w:t>部门整体绩效评价报告</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000000"/>
          <w:kern w:val="0"/>
          <w:sz w:val="28"/>
          <w:szCs w:val="28"/>
        </w:rPr>
      </w:pPr>
      <w:r>
        <w:rPr>
          <w:rFonts w:hint="eastAsia" w:ascii="黑体" w:hAnsi="黑体" w:eastAsia="黑体" w:cs="宋体"/>
          <w:color w:val="000000"/>
          <w:kern w:val="0"/>
          <w:sz w:val="28"/>
          <w:szCs w:val="28"/>
          <w:lang w:eastAsia="zh-CN"/>
        </w:rPr>
        <w:t>（</w:t>
      </w:r>
      <w:r>
        <w:rPr>
          <w:rFonts w:hint="eastAsia" w:ascii="仿宋_GB2312" w:hAnsi="仿宋_GB2312" w:eastAsia="仿宋_GB2312" w:cs="仿宋_GB2312"/>
          <w:color w:val="000000"/>
          <w:kern w:val="0"/>
          <w:sz w:val="28"/>
          <w:szCs w:val="28"/>
          <w:lang w:eastAsia="zh-CN"/>
        </w:rPr>
        <w:t>一）</w:t>
      </w:r>
      <w:r>
        <w:rPr>
          <w:rFonts w:hint="eastAsia" w:ascii="仿宋_GB2312" w:hAnsi="仿宋_GB2312" w:eastAsia="仿宋_GB2312" w:cs="仿宋_GB2312"/>
          <w:color w:val="000000"/>
          <w:kern w:val="0"/>
          <w:sz w:val="28"/>
          <w:szCs w:val="28"/>
        </w:rPr>
        <w:t>部门概况</w:t>
      </w:r>
    </w:p>
    <w:p>
      <w:pPr>
        <w:pStyle w:val="2"/>
        <w:ind w:left="0" w:leftChars="0" w:firstLine="638" w:firstLineChars="228"/>
        <w:rPr>
          <w:rFonts w:hint="eastAsia"/>
        </w:rPr>
      </w:pPr>
      <w:r>
        <w:rPr>
          <w:rFonts w:hint="eastAsia" w:ascii="仿宋_GB2312" w:hAnsi="仿宋_GB2312" w:eastAsia="仿宋_GB2312" w:cs="仿宋_GB2312"/>
          <w:color w:val="000000"/>
          <w:kern w:val="0"/>
          <w:sz w:val="28"/>
          <w:szCs w:val="28"/>
          <w:lang w:val="en-US" w:eastAsia="zh-CN" w:bidi="ar-SA"/>
        </w:rPr>
        <w:t>中国人民抗日战争纪念馆是国家一级博物馆，国家4A级旅游景区,全国爱国主义教育示范基地，全国青年志愿者服务示范基地，全国首批红色旅游经典景区，北京市优秀爱国主义教育基地和国防教育基地，全国和北京市首批廉政建设教育基地，北京市首批免费开放的纪念馆，北京市干部教育现场教学基地。建设成为爱国主义教育基地、抗日战争史料收集和研究中心、对外民间交流的窗口和联系港澳台同胞以及海外侨胞的桥梁，是建馆伊始中央赋予本部门的三大任务。进行爱国主义教育及研究抗战史，加强与各国人民的联系，抗战史料的收集、研究、整理、展览、编辑是本部门的宗旨和业务范围。</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机构设置及职责工作任务情况</w:t>
      </w:r>
    </w:p>
    <w:p>
      <w:pPr>
        <w:pStyle w:val="2"/>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（1）组织机构情况</w:t>
      </w:r>
    </w:p>
    <w:p>
      <w:pPr>
        <w:pStyle w:val="2"/>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中国人民抗日战争纪念馆是全额事业单位，隶属中共北京市委宣传部；馆领导班子一正四副，馆长为副局级、副馆长为正处级。内设11个职能部（室），分别是人事部（机关党委）、办公室、行政保障部、财务部、宣传教育部、编辑研究部、文物保管部、对外交流部、展览陈列部、信息资料部、保卫部；1个差额单位：文化宣传推广中心。事业编制157人，在编在岗人员130人。</w:t>
      </w:r>
    </w:p>
    <w:p>
      <w:pPr>
        <w:pStyle w:val="2"/>
        <w:numPr>
          <w:ilvl w:val="0"/>
          <w:numId w:val="1"/>
        </w:numPr>
        <w:ind w:left="640" w:leftChars="0" w:firstLineChars="0"/>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职责工作任务情况</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①人事部（机关党委）10名：负责本部门及所属单位的人事、机构编制、队伍建设工作；负责本馆及所属单位的党群工作。</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②办公室11名：负责本部门政务工作；负责文电、会务、机要、档案等日常运转工作；承担督查、信息、宣传、接待、信访、保密等工作；组织协调重大活动开展；受理并协调解决观众投诉和服务纠纷。</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③行政保障部11名：负责本部门及所属单位的基本建设和设施管理工作；负责固定资产、食堂、政府采购、车辆、物业服务等管理工作。</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④财务部8名：负责本部门及所属单位的财务、内部审计等工作。</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⑤保卫部11名：负责本部门日常安全保卫及消防工作；组织协调重大活动安全保卫工作。</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⑥编辑研究部19名：负责研究编写展览大纲；研究抗战史学、中日关系；编辑抗战类书籍刊物。</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⑦文物保管部17名：负责抗战类文物、史料的收集、保管、利用、维护、修复、复制等工作；负责文物、史料背后故事的研究整理。</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⑧展览陈列部10名：负责主题展览的日常维修、维护；组织临时展览的设计、制作和展示；开展国内外展览工作交流。</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⑨宣传教育部15名：负责组织策划主题教育活动；负责展览讲解词的撰写以及主题展览、临时展览的讲解教育工作；负责观众接待、咨询服务工作；开展爱国主义教育基地间的交流交往；负责社会教育志愿者的培训和管理。</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⑩对外交流部11名：负责本部门及国际二战博物馆协会有关对外交流工作的联络与协调；开展抗战史学学术交流活动；承担有关学会的日常工作。</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⑪信息资料部11名：负责本部门信息化建设和运行维护，推进数字博物馆建设；负责抗战影（音）资料、文史图书资料的收集、保管和利用等工作。</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⑫本部门下属1个差额拨款事业单位-中国人民抗日战争纪念馆文化宣传推广中心（以下简称推广中心）7名。推广中心成立于2015年。主要职能为：组织开展抗战纪录片、纪念品、宣传品等的开发制作；承担抗战类展览图书、刊物的推介推广；经营管理本部门服务设施。</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２.部门整体绩效目标设立情况（包括绩效目标设立依据、目标与职责任务匹配情况、目标合理性等）。</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（１）总体绩效目标</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2021年是新中国成立72周年，是中国人民抗日战争胜利76周年，是全民族抗战爆发84周年。抗战馆在中央、中宣部、北京市委和市委宣传部的正确领导下，坚持以习近平新时代中国特色社会主义思想为指导，深入贯彻党的十九大和十九二中、三中、四中全会精神，深入落实全国、全市宣传思想工作会议和宣传部长会议部署要求，以精心筹备全民族抗战爆发84周年重大纪念活动为主线，大力加强思想理论和意识形态工作，深入推进爱国主义教育，深化开展抗战史研讨和对外交流工作，大力宣传中华民族抗战的伟大精神，全面推动抗战馆各项事业的发展。</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①筹备重大活动，组织筹办纪念全民族抗战爆发84周年仪式，联合属地共同承办群众性纪念活动。通过中国博物馆协会纪念馆专委会，与全国抗战类纪念馆联动，同步举办纪念活动。</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②举办专题展览，群众性纪念活动。</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③加强学术研究，发挥中国博物馆协会纪念馆专委会平台优势，举办好纪念馆2021年年会暨学术研讨会，联动各成员同步举办重大纪念活动。</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④加强对外宣传交流工作，加强国际二战博物馆协会建设，加强协会网站建设，包含中、英、日、韩、俄多语种专题。</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⑤加强文物史料征集利用，做好纪念全民族抗战爆发84周年主题展览及2021年各类临时展览所需文物史料的征集、利用工作，丰富馆藏文物展品，提升文物藏品研究水平。</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⑥积极推进信息化建设。抓好互联网专线接入和抗战文献资料管理信息系统政务云存储重点项目建设，做好网络基础维护保障工作，保证馆内4万余册图书资源的编目、存储，满足馆内职工借阅需求。</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⑦持续抓好社会教育活动，持续开展“我们的节日--清明节的铭记”“忆抗战、学党史、强党性”“初心教育讲堂”“学抗战 看初心 话使命--讲解员学习十九大精神宣讲”等主题活动，以及抗战节点活动等爱国主义教育活动；加强讲解员队伍和志愿者队伍建设；抓好志愿者招募、培训和管理工作；加强与周边学校、部队、社区等的共建合作；扩大志愿者队伍；抓好爱国主义教育基地建设，加强全国中小学生研学实践基地、北京市中小学生社会大课堂、北京市校外教育基地、海峡两岸交流基地等基地建设工作，持续扩大影响。</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⑧加强舆论宣传和文化宣传推广工作，推动爱国主义教育融媒体传播，加强网络舆论宣传阵地建设，加强与线下主流媒体的联动合作，推动社会主义核心价值观融入社会建设。</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⑨增强台湾同胞对祖国的向心力，促进两岸关系和平发展，驳斥日本右翼企图美化、歪曲侵略历史的丑恶行径。</w:t>
      </w:r>
    </w:p>
    <w:p>
      <w:pPr>
        <w:pStyle w:val="2"/>
        <w:numPr>
          <w:ilvl w:val="0"/>
          <w:numId w:val="0"/>
        </w:numPr>
        <w:ind w:left="0" w:leftChars="0" w:firstLine="638" w:firstLineChars="228"/>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⑩规范预算绩效管理，建立规范、科学、高效的预算绩效管理体系，提高财政资金使用效益。</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（二）</w:t>
      </w:r>
      <w:r>
        <w:rPr>
          <w:rFonts w:hint="eastAsia" w:ascii="仿宋_GB2312" w:hAnsi="仿宋_GB2312" w:eastAsia="仿宋_GB2312" w:cs="仿宋_GB2312"/>
          <w:color w:val="000000"/>
          <w:kern w:val="0"/>
          <w:sz w:val="28"/>
          <w:szCs w:val="28"/>
        </w:rPr>
        <w:t>当年预算执行情况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2021年全年预算数14,774.35万元，其中，基本支出预算数7,522.63万元，项目支出预算数7,251.72万元，其他支出预算数0.00万元。资金总体支出13,134.52万元，其中，基本支出7,338.44万元，项目支出5,796.09万元，其他支出0.00万元。预算执行率为88.90%。</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（三）</w:t>
      </w:r>
      <w:r>
        <w:rPr>
          <w:rFonts w:hint="eastAsia" w:ascii="仿宋_GB2312" w:hAnsi="仿宋_GB2312" w:eastAsia="仿宋_GB2312" w:cs="仿宋_GB2312"/>
          <w:color w:val="000000"/>
          <w:kern w:val="0"/>
          <w:sz w:val="28"/>
          <w:szCs w:val="28"/>
        </w:rPr>
        <w:t>整体绩效目标实现情况</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产出完成情况分析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产出数量</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color w:val="000000"/>
          <w:kern w:val="0"/>
          <w:sz w:val="28"/>
          <w:szCs w:val="28"/>
          <w:lang w:val="en-US" w:eastAsia="zh-CN" w:bidi="ar-SA"/>
        </w:rPr>
        <w:t>①</w:t>
      </w:r>
      <w:r>
        <w:rPr>
          <w:rFonts w:hint="eastAsia" w:ascii="仿宋_GB2312" w:hAnsi="仿宋_GB2312" w:eastAsia="仿宋_GB2312" w:cs="仿宋_GB2312"/>
          <w:kern w:val="0"/>
          <w:sz w:val="28"/>
          <w:szCs w:val="28"/>
        </w:rPr>
        <w:t>截至2021年底，本部门保障了事业编制在职人员</w:t>
      </w:r>
      <w:r>
        <w:rPr>
          <w:rFonts w:hint="eastAsia" w:ascii="仿宋_GB2312" w:hAnsi="仿宋_GB2312" w:eastAsia="仿宋_GB2312" w:cs="仿宋_GB2312"/>
          <w:kern w:val="0"/>
          <w:sz w:val="28"/>
          <w:szCs w:val="28"/>
          <w:lang w:eastAsia="zh-CN"/>
        </w:rPr>
        <w:t>130</w:t>
      </w:r>
      <w:r>
        <w:rPr>
          <w:rFonts w:hint="eastAsia" w:ascii="仿宋_GB2312" w:hAnsi="仿宋_GB2312" w:eastAsia="仿宋_GB2312" w:cs="仿宋_GB2312"/>
          <w:kern w:val="0"/>
          <w:sz w:val="28"/>
          <w:szCs w:val="28"/>
        </w:rPr>
        <w:t>人、劳务派遣人员14人的日常支出，能够保证本部门正常运转。</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color w:val="000000"/>
          <w:kern w:val="0"/>
          <w:sz w:val="28"/>
          <w:szCs w:val="28"/>
          <w:lang w:val="en-US" w:eastAsia="zh-CN" w:bidi="ar-SA"/>
        </w:rPr>
        <w:t>②</w:t>
      </w:r>
      <w:r>
        <w:rPr>
          <w:rFonts w:hint="eastAsia" w:ascii="仿宋_GB2312" w:hAnsi="仿宋_GB2312" w:eastAsia="仿宋_GB2312" w:cs="仿宋_GB2312"/>
          <w:kern w:val="0"/>
          <w:sz w:val="28"/>
          <w:szCs w:val="28"/>
        </w:rPr>
        <w:t>本部门2021年计划完成纪念全民族抗战爆发84周年活动、纪念全民族抗战爆发84周年专题展览、爱国主义教育系列活动、北大红楼与中国共产党创建综合主题展等16个项目</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实际完成14个项目。绩效目标计划完成率为87.50%</w:t>
      </w:r>
      <w:r>
        <w:rPr>
          <w:rFonts w:hint="eastAsia" w:ascii="仿宋_GB2312" w:hAnsi="仿宋_GB2312" w:eastAsia="仿宋_GB2312" w:cs="仿宋_GB2312"/>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２</w:t>
      </w:r>
      <w:r>
        <w:rPr>
          <w:rFonts w:hint="eastAsia" w:ascii="仿宋_GB2312" w:hAnsi="仿宋_GB2312" w:eastAsia="仿宋_GB2312" w:cs="仿宋_GB2312"/>
          <w:color w:val="000000"/>
          <w:kern w:val="0"/>
          <w:sz w:val="28"/>
          <w:szCs w:val="28"/>
          <w:lang w:eastAsia="zh-CN"/>
        </w:rPr>
        <w:t>）产出质量</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本部门2021年实际完成的14项工作任务均达到部门绩效目标要求，质量达标率100%。</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84周年纪念活动，纪念仪式庄严肃穆、隆重大气、顺利圆满；项目实施改善了陈列布展，提升抗战馆服务能力；丰富馆藏文物展品，提升文物藏品研究水平；保证本部门正常办公需求及增强观众参观体验并扩大宣传。</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3</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产出进度</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本部门2021年预算批复项目16个，截至2021年12月，按时完成14个项目，两个项目未完成绩效目标。未完成的原因及偏差如下：</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val="en-US" w:eastAsia="zh-CN"/>
        </w:rPr>
        <w:t>①</w:t>
      </w:r>
      <w:r>
        <w:rPr>
          <w:rFonts w:hint="eastAsia" w:ascii="仿宋_GB2312" w:hAnsi="仿宋_GB2312" w:eastAsia="仿宋_GB2312" w:cs="仿宋_GB2312"/>
          <w:kern w:val="0"/>
          <w:sz w:val="28"/>
          <w:szCs w:val="28"/>
        </w:rPr>
        <w:t>是“因公出国（境）项目”未完成绩效目标。该项目原计划在2021年进行国际性交流活动5次，高质量学术活动1次等。截至2021年底，未完成因公出国，主要原因：</w:t>
      </w:r>
      <w:r>
        <w:rPr>
          <w:rFonts w:hint="eastAsia" w:ascii="仿宋_GB2312" w:hAnsi="仿宋_GB2312" w:eastAsia="仿宋_GB2312" w:cs="仿宋_GB2312"/>
          <w:kern w:val="0"/>
          <w:sz w:val="28"/>
          <w:szCs w:val="28"/>
          <w:lang w:eastAsia="zh-CN"/>
        </w:rPr>
        <w:t>取消出国境安排计划，项目无法实施。</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val="en-US" w:eastAsia="zh-CN"/>
        </w:rPr>
        <w:t>②</w:t>
      </w:r>
      <w:r>
        <w:rPr>
          <w:rFonts w:hint="eastAsia" w:ascii="仿宋_GB2312" w:hAnsi="仿宋_GB2312" w:eastAsia="仿宋_GB2312" w:cs="仿宋_GB2312"/>
          <w:kern w:val="0"/>
          <w:sz w:val="28"/>
          <w:szCs w:val="28"/>
        </w:rPr>
        <w:t>是“屋面防水工程项目”未完成绩效目标。该项目原计划在2021年对基本陈列的屋面防水进行整体更新更换，拆除原防水重新铺设新的防水材料；对二期工程的所有雨水管进行整体更换，部分穿墙和楼板的部分增加套管进行保护，彻底解决雨水渗漏的隐患。截至2021年底，未完成屋面防水工程。主要原因：该项目计划在2022年开展</w:t>
      </w:r>
      <w:r>
        <w:rPr>
          <w:rFonts w:hint="eastAsia" w:ascii="仿宋_GB2312" w:hAnsi="仿宋_GB2312" w:eastAsia="仿宋_GB2312" w:cs="仿宋_GB2312"/>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4</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产出成本</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部门2021年项目支出严格按照财务管理制度要求，通过政府采购、三方比价等方式，在保证完成各项工作任务的前提下控制产出成本；公用经费坚持厉行节约、务实高效的原则，提高财政资金使用效益。全年经费使用未超过预算金额。</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效果实现情况分析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经济效益</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通过项目的实施，本部门财务管理工作更加规范有序，提升了部门项目的预算管理水平和财政资金使用绩效，内部控制制度实施更加规范。根据本部门的部门履职及2021年的工作任务不产生直接或间接产生经济效益</w:t>
      </w:r>
      <w:r>
        <w:rPr>
          <w:rFonts w:hint="eastAsia" w:ascii="仿宋_GB2312" w:hAnsi="仿宋_GB2312" w:eastAsia="仿宋_GB2312" w:cs="仿宋_GB2312"/>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2</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社会效益</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有效营造了抗战纪念日的纪念氛围，激发了群众爱党、爱祖国、爱家园的深厚情感，弘扬了抗战精神，凝聚了民族力量，激发了群众铭记历史，追思先烈，汲取奋进力量，凝聚起坚不可摧的民族精神</w:t>
      </w:r>
      <w:r>
        <w:rPr>
          <w:rFonts w:hint="eastAsia" w:ascii="仿宋_GB2312" w:hAnsi="仿宋_GB2312" w:eastAsia="仿宋_GB2312" w:cs="仿宋_GB2312"/>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3</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环境效益</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根据本部门的部门履职及2021年的各项工作任务，部分改善了抗战馆基础设施，丰富展品，改善周边环境。</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4</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可持续性影响</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本部门持续抓好社会教育活动，持续开展“我们的节日--清明节的铭记”“忆抗战、学党史、强党性”“初心教育讲堂”“学抗战 看初心 话使命--讲解员学习十九大精神宣讲”等主题活动，以及抗战节点活动等爱国主义教育活动；突出讲解员队伍和志愿者队伍建设。抓好志愿者招募、培训和管理工作，加强与周边学校、部队、社区等的共建合作；抓好爱国主义教育基地建设，加强全国中小学生研学实践基地、北京市中小学生社会大课堂、北京市校外教育基地、海峡两岸交流基地等基地建设工作，持续扩大影响。</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5</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服务对象满意度</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通</w:t>
      </w:r>
      <w:r>
        <w:rPr>
          <w:rFonts w:hint="eastAsia" w:ascii="仿宋_GB2312" w:hAnsi="仿宋_GB2312" w:eastAsia="仿宋_GB2312" w:cs="仿宋_GB2312"/>
          <w:kern w:val="0"/>
          <w:sz w:val="28"/>
          <w:szCs w:val="28"/>
          <w:lang w:eastAsia="zh-CN"/>
        </w:rPr>
        <w:t>过向来馆参展人员、周边居民、以及部分项目实施人员等服务对象</w:t>
      </w:r>
      <w:r>
        <w:rPr>
          <w:rFonts w:hint="eastAsia" w:ascii="仿宋_GB2312" w:hAnsi="仿宋_GB2312" w:eastAsia="仿宋_GB2312" w:cs="仿宋_GB2312"/>
          <w:kern w:val="0"/>
          <w:sz w:val="28"/>
          <w:szCs w:val="28"/>
        </w:rPr>
        <w:t>发放的问卷分析显示，</w:t>
      </w:r>
      <w:r>
        <w:rPr>
          <w:rFonts w:hint="eastAsia" w:ascii="仿宋_GB2312" w:hAnsi="仿宋_GB2312" w:eastAsia="仿宋_GB2312" w:cs="仿宋_GB2312"/>
          <w:kern w:val="0"/>
          <w:sz w:val="28"/>
          <w:szCs w:val="28"/>
          <w:lang w:eastAsia="zh-CN"/>
        </w:rPr>
        <w:t>本部门2021年预算执行绩效</w:t>
      </w:r>
      <w:r>
        <w:rPr>
          <w:rFonts w:hint="eastAsia" w:ascii="仿宋_GB2312" w:hAnsi="仿宋_GB2312" w:eastAsia="仿宋_GB2312" w:cs="仿宋_GB2312"/>
          <w:kern w:val="0"/>
          <w:sz w:val="28"/>
          <w:szCs w:val="28"/>
        </w:rPr>
        <w:t>满意度达到95%以上</w:t>
      </w:r>
      <w:r>
        <w:rPr>
          <w:rFonts w:hint="eastAsia" w:ascii="仿宋_GB2312" w:hAnsi="仿宋_GB2312" w:eastAsia="仿宋_GB2312" w:cs="仿宋_GB2312"/>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（四）</w:t>
      </w:r>
      <w:r>
        <w:rPr>
          <w:rFonts w:hint="eastAsia" w:ascii="仿宋_GB2312" w:hAnsi="仿宋_GB2312" w:eastAsia="仿宋_GB2312" w:cs="仿宋_GB2312"/>
          <w:color w:val="000000"/>
          <w:kern w:val="0"/>
          <w:sz w:val="28"/>
          <w:szCs w:val="28"/>
        </w:rPr>
        <w:t>预算管理情况分析</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财务管理</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1</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财务管理制度健全性</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根据《政府会计制度》和财政部、北京市财政局等相关部门的政策文件以及内控建设的相关规范要求，本部门成立了由馆长任组长，各副馆长任副组长，各部室负责人任组员的内部控制工作领导小组，下设内控工作小组办公室，具体负责内控制度建设的组织实施和协调推进工作。各成员负责本部室内部控制工作。经过内控领导小组的不懈努力和各部室的密切配合，完善了本部门内部控制手册。健全完善了部门内控制度，根据不同时期业务开展的变化，进一步完善了差旅费管理办法、公务卡管理办法、会议费管理办法、培训费管理办法、外宾接待费管理办法、公务接待费管理办法、内部审计制度、内控规范制度、招投标管理办法、重大资金评审管理办法等规定，并编制了劳务费、专家费等报销制度及规定。完善制度的同时，内控工作小组对本部门的业务流程进行了全面梳理，明确业务环节，分析风险隐患，完善风险评估机制，制定风险应对策略，加强对单位层面和业务层面的内部控制，实现内部控制体系全面、有效实施。</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2</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资金使用合规性和安全性</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部门通过加大执行环节控制，提高预算资金使用的合规性和安全性，采取的方式方法有：一是严格执行《中华人民共和国预算法》，按照部门预算批复执行，坚持统筹兼顾、指标控制、从严考核的原则。围绕部门职能需要确定基本支出和项目支出预算，严格执行专项资金管理制度，执行项目资金审批内容和金额，不挪用和挤占项目资金，确保财政资金使用安全。二是项目支出事项经集体决策后，由领导班子成员按分工和职责组织实施。遇有分工和职责交叉的，由</w:t>
      </w:r>
      <w:r>
        <w:rPr>
          <w:rFonts w:hint="eastAsia" w:ascii="仿宋_GB2312" w:hAnsi="仿宋_GB2312" w:eastAsia="仿宋_GB2312" w:cs="仿宋_GB2312"/>
          <w:kern w:val="0"/>
          <w:sz w:val="28"/>
          <w:szCs w:val="28"/>
          <w:lang w:eastAsia="zh-CN"/>
        </w:rPr>
        <w:t>馆党委</w:t>
      </w:r>
      <w:r>
        <w:rPr>
          <w:rFonts w:hint="eastAsia" w:ascii="仿宋_GB2312" w:hAnsi="仿宋_GB2312" w:eastAsia="仿宋_GB2312" w:cs="仿宋_GB2312"/>
          <w:kern w:val="0"/>
          <w:sz w:val="28"/>
          <w:szCs w:val="28"/>
        </w:rPr>
        <w:t>明确一名班子成员牵头抓落实。牵头负责领导及时安排有关科室人员进行决策的实施，办公室协同督办检查，及时将落实情况向</w:t>
      </w:r>
      <w:r>
        <w:rPr>
          <w:rFonts w:hint="eastAsia" w:ascii="仿宋_GB2312" w:hAnsi="仿宋_GB2312" w:eastAsia="仿宋_GB2312" w:cs="仿宋_GB2312"/>
          <w:kern w:val="0"/>
          <w:sz w:val="28"/>
          <w:szCs w:val="28"/>
          <w:lang w:eastAsia="zh-CN"/>
        </w:rPr>
        <w:t>馆</w:t>
      </w:r>
      <w:r>
        <w:rPr>
          <w:rFonts w:hint="eastAsia" w:ascii="仿宋_GB2312" w:hAnsi="仿宋_GB2312" w:eastAsia="仿宋_GB2312" w:cs="仿宋_GB2312"/>
          <w:kern w:val="0"/>
          <w:sz w:val="28"/>
          <w:szCs w:val="28"/>
        </w:rPr>
        <w:t>党</w:t>
      </w:r>
      <w:r>
        <w:rPr>
          <w:rFonts w:hint="eastAsia" w:ascii="仿宋_GB2312" w:hAnsi="仿宋_GB2312" w:eastAsia="仿宋_GB2312" w:cs="仿宋_GB2312"/>
          <w:kern w:val="0"/>
          <w:sz w:val="28"/>
          <w:szCs w:val="28"/>
          <w:lang w:eastAsia="zh-CN"/>
        </w:rPr>
        <w:t>委</w:t>
      </w:r>
      <w:r>
        <w:rPr>
          <w:rFonts w:hint="eastAsia" w:ascii="仿宋_GB2312" w:hAnsi="仿宋_GB2312" w:eastAsia="仿宋_GB2312" w:cs="仿宋_GB2312"/>
          <w:kern w:val="0"/>
          <w:sz w:val="28"/>
          <w:szCs w:val="28"/>
        </w:rPr>
        <w:t>主要领导汇报。</w:t>
      </w:r>
      <w:r>
        <w:rPr>
          <w:rFonts w:hint="eastAsia" w:ascii="仿宋_GB2312" w:hAnsi="仿宋_GB2312" w:eastAsia="仿宋_GB2312" w:cs="仿宋_GB2312"/>
          <w:kern w:val="0"/>
          <w:sz w:val="28"/>
          <w:szCs w:val="28"/>
          <w:lang w:eastAsia="zh-CN"/>
        </w:rPr>
        <w:t xml:space="preserve"> </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3</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rPr>
        <w:t>会计基础信息完善性</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2021年本部门在内控制度建设的基础上，结合预算执行中发现的问题，进一步完善了财务管理制度。同时，加强会计核算基本工作，保证会计资料准确、完整，部门基础信息管理较好。预算资金的使用与相关的预算财务管理制度相符，符合国家财经法规和财务管理制度规定，以及有关专项资金管理办法的规定。</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资产管理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本部门资产管理工作比较规范。主要体现在以下几方面：</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1</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是加强会计核算工作。严格执行现行固定资产管理制度，将资产管理完全纳入单位内控体系中，对已完工的基建工程、购入的固定资产、收到的捐赠资产等及时入账，并按照数量、金额登记明细账，编制固定资产卡片，确保账面上能真实、完整的反映本单位的固定资产情况，并结合本单位的实际情况，不断完善固定资产管理制度。</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2</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是加强资产过程管理。完善资产新增、调配、报废等流程，严格规范资产处置程序。对纳入政府采购目录范围内的资产采购，必须报政府采购中心进行政府采购；未纳入政府采购目录范围内的资产采购，采用其他形式采购。未纳入预算的固定资产，不得随意采购，确需急用，必须经相关部门批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hAnsi="仿宋_GB2312" w:eastAsia="仿宋_GB2312" w:cs="仿宋_GB2312"/>
          <w:bCs/>
          <w:sz w:val="32"/>
          <w:szCs w:val="32"/>
        </w:rPr>
      </w:pP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lang w:val="en-US" w:eastAsia="zh-CN"/>
        </w:rPr>
        <w:t>3</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是加强内部监督。通过加强资产管理部门内部管理，落实资产保管制度，责任到人。严格执行资产清查制度，定期或不定期的对固定资产进行抽查。检查固定资产的购置、领用、处置等程序是否合规，账实是否相符等，防止国有资产的流失。按时编制资产月报、年报，编制固定资产统计报表和固定资产使用情况报告。按规定权限办理固定资产相关申报审批工作，根据审批结果办理固定资产相关处理。对到达最低使用年限的资产进行评估，如能继续使用，则暂不更新换代，避免浪费。</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绩效管理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根据《预算法》，落实北京市关于全面预算绩效管理《实施意见》，组织人员对全面预算绩效管理相关政策开展学习和探讨，结合本部门预算执行情况实施全面预算绩效管理工作进行分析实践。在预算绩效目标编制方面，针对绩效目标设置指向不清、预算和目标匹配不足，数量目标和质量目标量化不细，效益目标编制不完整等方面加以了改善，增加了事前评估机制，保障预算资金投入公平、精准、科学、有效。加强预算绩效动态监控管理，及时跟踪项目进度，对项目实施中存在的具体问题采取纠偏措施。做到事前有评估、事中有监控、事后有评价。加强相关专业技术人员的业务培训，进一步提高预算绩效评价质量。</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4.</w:t>
      </w:r>
      <w:r>
        <w:rPr>
          <w:rFonts w:hint="eastAsia" w:ascii="仿宋_GB2312" w:hAnsi="仿宋_GB2312" w:eastAsia="仿宋_GB2312" w:cs="仿宋_GB2312"/>
          <w:kern w:val="0"/>
          <w:sz w:val="28"/>
          <w:szCs w:val="28"/>
        </w:rPr>
        <w:t>结转结余率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2021年本部门结转结余率为11.10%。</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结转结余率=结转结余总额/支出预算数*100%= 1,639.83万元/ 14,774.35万元=11.10%</w:t>
      </w:r>
      <w:r>
        <w:rPr>
          <w:rFonts w:hint="eastAsia" w:ascii="仿宋_GB2312" w:hAnsi="仿宋_GB2312" w:eastAsia="仿宋_GB2312" w:cs="仿宋_GB2312"/>
          <w:kern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5.</w:t>
      </w:r>
      <w:r>
        <w:rPr>
          <w:rFonts w:hint="eastAsia" w:ascii="仿宋_GB2312" w:hAnsi="仿宋_GB2312" w:eastAsia="仿宋_GB2312" w:cs="仿宋_GB2312"/>
          <w:kern w:val="0"/>
          <w:sz w:val="28"/>
          <w:szCs w:val="28"/>
        </w:rPr>
        <w:t>部门预决算差异率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2021年本部门预决算差异率为10.31%。</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部门预决算差异率=（年初预算数-决算数）/年初预算数=（14,643.82万元-13,134.52万元）/14,643.82万元=10.31%。</w:t>
      </w:r>
    </w:p>
    <w:p>
      <w:pPr>
        <w:keepNext w:val="0"/>
        <w:keepLines w:val="0"/>
        <w:pageBreakBefore w:val="0"/>
        <w:widowControl w:val="0"/>
        <w:kinsoku/>
        <w:wordWrap/>
        <w:overflowPunct/>
        <w:topLinePunct w:val="0"/>
        <w:autoSpaceDE/>
        <w:autoSpaceDN/>
        <w:bidi w:val="0"/>
        <w:adjustRightInd/>
        <w:snapToGrid/>
        <w:spacing w:line="580" w:lineRule="exact"/>
        <w:ind w:left="105" w:leftChars="50" w:firstLine="420" w:firstLineChars="15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（五）</w:t>
      </w:r>
      <w:r>
        <w:rPr>
          <w:rFonts w:hint="eastAsia" w:ascii="仿宋_GB2312" w:hAnsi="仿宋_GB2312" w:eastAsia="仿宋_GB2312" w:cs="仿宋_GB2312"/>
          <w:sz w:val="28"/>
          <w:szCs w:val="28"/>
        </w:rPr>
        <w:t>总体评价结论</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1.</w:t>
      </w:r>
      <w:r>
        <w:rPr>
          <w:rFonts w:hint="eastAsia" w:ascii="仿宋_GB2312" w:hAnsi="仿宋_GB2312" w:eastAsia="仿宋_GB2312" w:cs="仿宋_GB2312"/>
          <w:kern w:val="0"/>
          <w:sz w:val="28"/>
          <w:szCs w:val="28"/>
        </w:rPr>
        <w:t>评价得分情况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经自评，2021年部门整体支出综合评价得分92.33分，其中，部门决策17分，部门管理19分，部门绩效56.33分，综合绩效评定结论为“优”。</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2.</w:t>
      </w:r>
      <w:r>
        <w:rPr>
          <w:rFonts w:hint="eastAsia" w:ascii="仿宋_GB2312" w:hAnsi="仿宋_GB2312" w:eastAsia="仿宋_GB2312" w:cs="仿宋_GB2312"/>
          <w:kern w:val="0"/>
          <w:sz w:val="28"/>
          <w:szCs w:val="28"/>
        </w:rPr>
        <w:t>存在的问题及原因分析</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CN"/>
        </w:rPr>
        <w:t>（１）</w:t>
      </w:r>
      <w:r>
        <w:rPr>
          <w:rFonts w:hint="eastAsia" w:ascii="仿宋_GB2312" w:hAnsi="仿宋_GB2312" w:eastAsia="仿宋_GB2312" w:cs="仿宋_GB2312"/>
          <w:kern w:val="0"/>
          <w:sz w:val="28"/>
          <w:szCs w:val="28"/>
        </w:rPr>
        <w:t>部门整体绩效总体目标不够明确、合理性，绩效效果指标细化、量化不足。如产出数量均从部门项目的整体角度设定的指标值，不够细化；产出质量指标未明确部门履职的标准和工作规范，难以客观评价部门整体产出完成质量；社会效益指标缺少更充分的依据支撑，各部分职能对应的统计指标数据，缺少数据资料作为支撑，可衡量性稍显不足。</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CN"/>
        </w:rPr>
        <w:t>（２）</w:t>
      </w:r>
      <w:r>
        <w:rPr>
          <w:rFonts w:hint="eastAsia" w:ascii="仿宋_GB2312" w:hAnsi="仿宋_GB2312" w:eastAsia="仿宋_GB2312" w:cs="仿宋_GB2312"/>
          <w:kern w:val="0"/>
          <w:sz w:val="28"/>
          <w:szCs w:val="28"/>
        </w:rPr>
        <w:t>个别项目预算执行率不足，预算编制科学性有待加强。</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ascii="仿宋_GB2312" w:eastAsia="仿宋_GB2312"/>
          <w:sz w:val="32"/>
          <w:szCs w:val="32"/>
        </w:rPr>
      </w:pPr>
      <w:r>
        <w:rPr>
          <w:rFonts w:hint="eastAsia" w:ascii="仿宋_GB2312" w:hAnsi="仿宋_GB2312" w:eastAsia="仿宋_GB2312" w:cs="仿宋_GB2312"/>
          <w:kern w:val="0"/>
          <w:sz w:val="28"/>
          <w:szCs w:val="28"/>
          <w:lang w:eastAsia="zh-CN"/>
        </w:rPr>
        <w:t>（３）</w:t>
      </w:r>
      <w:r>
        <w:rPr>
          <w:rFonts w:hint="eastAsia" w:ascii="仿宋_GB2312" w:hAnsi="仿宋_GB2312" w:eastAsia="仿宋_GB2312" w:cs="仿宋_GB2312"/>
          <w:kern w:val="0"/>
          <w:sz w:val="28"/>
          <w:szCs w:val="28"/>
        </w:rPr>
        <w:t>缺少针对绩效呈现统计数据汇总分析，部门整体履职绩效未能全部呈现，满意度调查问卷样本量较少，缺少统计分析，问卷内容稍显简单，可衡量性不足。</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eastAsia="zh-CN"/>
        </w:rPr>
        <w:t>（六）</w:t>
      </w:r>
      <w:r>
        <w:rPr>
          <w:rFonts w:hint="eastAsia" w:ascii="仿宋_GB2312" w:hAnsi="仿宋_GB2312" w:eastAsia="仿宋_GB2312" w:cs="仿宋_GB2312"/>
          <w:color w:val="000000"/>
          <w:kern w:val="0"/>
          <w:sz w:val="28"/>
          <w:szCs w:val="28"/>
        </w:rPr>
        <w:t>措施建议</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1.加强预算绩效管理，强化绩效目标管理。提高部门的预算绩效管理意识，强化以目标为导向的绩效管理思路；按照绩效指标编报要求，针对绩效目标设置对应的、细化的产出数量、质量、时效、效益及服务对象满意度等指标，提高项目绩效指标设置完整性，为后续绩效评价提供科学合理的考核标准，便于准确考量项目的绩效目标实现程度。</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2.做好项目绩效运行监控，确保项目绩效目标按计划完成。后续本部门将做好、做实中期绩效监控，针对中期监控发现的绩效目标超额完成、无法完成等偏差情况，及时履行绩效目标调整程序，针对完成进度滞后的，加快预算执行进度，确保项目绩效目标按计划完成。</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lang w:eastAsia="zh-CN"/>
        </w:rPr>
      </w:pPr>
      <w:r>
        <w:rPr>
          <w:rFonts w:hint="eastAsia" w:ascii="仿宋_GB2312" w:hAnsi="仿宋_GB2312" w:eastAsia="仿宋_GB2312" w:cs="仿宋_GB2312"/>
          <w:kern w:val="0"/>
          <w:sz w:val="28"/>
          <w:szCs w:val="28"/>
          <w:lang w:eastAsia="zh-CN"/>
        </w:rPr>
        <w:t>3. 重视服务对象满意度调查，明确调查对象和调查方式方法；根据不同对象分别设计调查问卷，合理组织调查工作，加强对调查结果的统计分析，重视结果应用，主动优化布局、提升服务，持续改进和提升部门整体绩效。</w:t>
      </w:r>
    </w:p>
    <w:p/>
    <w:p>
      <w:pPr>
        <w:keepNext w:val="0"/>
        <w:keepLines w:val="0"/>
        <w:pageBreakBefore w:val="0"/>
        <w:widowControl w:val="0"/>
        <w:numPr>
          <w:numId w:val="0"/>
        </w:numPr>
        <w:kinsoku/>
        <w:wordWrap/>
        <w:overflowPunct/>
        <w:topLinePunct w:val="0"/>
        <w:autoSpaceDE/>
        <w:autoSpaceDN/>
        <w:bidi w:val="0"/>
        <w:adjustRightInd/>
        <w:snapToGrid/>
        <w:spacing w:line="580" w:lineRule="exact"/>
        <w:ind w:firstLine="280" w:firstLineChars="100"/>
        <w:textAlignment w:val="auto"/>
        <w:rPr>
          <w:rFonts w:hint="eastAsia" w:ascii="黑体" w:hAnsi="Times New Roman" w:eastAsia="黑体" w:cs="Times New Roman"/>
          <w:sz w:val="28"/>
          <w:szCs w:val="28"/>
          <w:highlight w:val="none"/>
          <w:lang w:eastAsia="zh-CN"/>
        </w:rPr>
      </w:pPr>
      <w:bookmarkStart w:id="1" w:name="_GoBack"/>
      <w:bookmarkEnd w:id="1"/>
      <w:r>
        <w:rPr>
          <w:rFonts w:hint="eastAsia" w:ascii="黑体" w:hAnsi="Times New Roman" w:eastAsia="黑体" w:cs="Times New Roman"/>
          <w:sz w:val="28"/>
          <w:szCs w:val="28"/>
          <w:highlight w:val="none"/>
          <w:lang w:eastAsia="zh-CN"/>
        </w:rPr>
        <w:t>二、项目支出绩效评价报告</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rPr>
        <w:t>基本情况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val="en-US" w:eastAsia="zh-CN"/>
        </w:rPr>
        <w:t>1.</w:t>
      </w:r>
      <w:r>
        <w:rPr>
          <w:rFonts w:hint="eastAsia" w:ascii="仿宋_GB2312" w:hAnsi="仿宋_GB2312" w:eastAsia="仿宋_GB2312" w:cs="仿宋_GB2312"/>
          <w:kern w:val="0"/>
          <w:sz w:val="28"/>
          <w:szCs w:val="28"/>
          <w:lang w:eastAsia="zh-CN"/>
        </w:rPr>
        <w:t>项目概况。包括项目背景、主要内容及实施情况、资金投入和使用情况等。</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（１）项目背景</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2014年7月7日，习近平在纪念全民族抗战爆发七十七周年仪式上发表重要讲话时这样阐释抗战历史的启迪，“历史是最好的教科书，也是最好的清醒剂。中国人民对战争带来的苦难有着刻骨铭心的记忆，对和平有着孜孜不倦的追求。纵观世界历史，依靠武力对外侵略扩张最终都是要失败的。这是历史规律。”2020年，在会见欧洲理事会主席米歇尔和欧盟委员会主席冯德莱恩时，习近平再度重申，中国要和平不要霸权。坚持走和平发展道路是中国对世界未来走向的庄严承诺与责任担当。正如习近平强调的，“中国将通过争取和平国际环境发展自己，又以自身发展维护和促进世界和平”。自2014年国家立法设立中国人民抗日战争胜利日、南京大屠杀死难者国家公祭日之后，每年都在抗战馆举办重要纪念活动。举办纪念活动是对中国人民抗日战争历史的纪念，也是对以爱国主义为核心的抗战精神的大力弘扬。2020年7月抗战馆申报“纪念全民族抗战爆发84周年活动项目”预算。为纪念这一特殊时刻，按照中央文件精神，7月7日上午，将按平年规格，以中央宣传部，北京市委和市政府，中央军委政治工作部名义举行纪念全民族抗战爆发84周年仪式。2021年5月13日抗战馆以京抗文〔2021〕11号文件向中共北京市委宣传提起举办纪念活动请示，中共北京市委宣传部以京宣文〔2021〕26号向中宣部提起举办纪念活动请示。举办纪念活动对于深刻认识中国全民族抗战对世界反法西斯战争胜利所做出的重大贡献，充分认清当今世界发展大势，正确把握历史规律，坚定不移走和平发展道路，推进人类和平发展和文明进步，具有重大意义。</w:t>
      </w:r>
    </w:p>
    <w:p>
      <w:pPr>
        <w:pStyle w:val="2"/>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（２）实施主体</w:t>
      </w:r>
    </w:p>
    <w:p>
      <w:pPr>
        <w:pStyle w:val="2"/>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项目实施主体是抗战馆。抗战馆是国家一级博物馆，国家4A级旅游景区,全国爱国主义教育示范基地，全国青年志愿者服务示范基地，全国首批红色旅游经典景区，北京市优秀爱国主义教育基地和国防教育基地，全国和北京市首批廉政建设教育基地，北京市首批免费开放的纪念馆，北京市干部教育现场教学基地。建设成为爱国主义教育基地、抗日战争史料收集和研究中心、对外民间交流的窗口和联系港澳台同胞以及海外侨胞的桥梁，是建馆伊始中央赋予抗战馆的三大任务。进行爱国主义教育及研究抗战史，加强与各国人民的联系，抗战史料的收集、研究、整理、展览、编辑是抗战馆的宗旨和业务范围。</w:t>
      </w:r>
    </w:p>
    <w:p>
      <w:pPr>
        <w:pStyle w:val="2"/>
        <w:rPr>
          <w:rFonts w:hint="eastAsia" w:ascii="仿宋_GB2312" w:hAnsi="仿宋_GB2312" w:eastAsia="仿宋_GB2312" w:cs="仿宋_GB2312"/>
          <w:kern w:val="2"/>
          <w:sz w:val="28"/>
          <w:szCs w:val="28"/>
          <w:lang w:val="en-US" w:eastAsia="zh-CN" w:bidi="ar-SA"/>
        </w:rPr>
      </w:pPr>
      <w:bookmarkStart w:id="0" w:name="_Toc339544870"/>
      <w:r>
        <w:rPr>
          <w:rFonts w:hint="eastAsia" w:ascii="仿宋_GB2312" w:hAnsi="仿宋_GB2312" w:eastAsia="仿宋_GB2312" w:cs="仿宋_GB2312"/>
          <w:kern w:val="2"/>
          <w:sz w:val="28"/>
          <w:szCs w:val="28"/>
          <w:lang w:val="en-US" w:eastAsia="zh-CN" w:bidi="ar-SA"/>
        </w:rPr>
        <w:t>（３）项目主要内容</w:t>
      </w:r>
    </w:p>
    <w:bookmarkEnd w:id="0"/>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①是布置绿化环境，对建筑物四周和办公区域绿植和花卉的摆放；</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②是举办纪念仪式活动，通过致敬英雄，讴歌中国共产党中流砥柱作用，引领人们从历史中汲取信仰、智慧和前行力量；</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③是举办群众活动，结合庆祝中国共产党成立100周年，以“在党的旗帜下”为主题，通过交响乐伴奏、配乐诗朗诵、男女声独唱、混声合唱、男女二重唱等多种表现形式，唱响抗战经典，回望烽火岁月，致敬不屈抗争。</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（４）项目资金投入及使用情况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项目初始预算申报535.10万元。2020年10月，经北京国融兴华工程项目管理有限公司评审，审减11.66万元，审定项目预算金额523.44万元。 根据“北京市财政局关于批复中国人民抗日战争纪念馆2021年预算的函”（京财科指(2021) 110号）对该项目的批复金额为523.44万元。</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2021年3月，抗战馆收到财政拨付的项目资金。截至2021年12月底，项目实际支出475.19万元，结余48.25万元，项目预算执行率为90.78%，结余资金已按要求上缴财政。</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2.项目绩效目标。包括总体目标和阶段性目标。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（１）项目绩效目标为：</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确保纪念仪式庄严肃穆、隆重大气、顺利圆满。举办群众性纪念活动，继续营造纪念氛围，激发群众爱国热情，弘扬抗战精神，凝聚民族力量。</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（２）具体产出指标：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产出指标包括产出数量、产出质量、产出时效和产出成本。</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①产出数量指标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仪式人数850人；群众性活动纪念人数600人；人员证件2060套；车辆证件320套。</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②产出质量指标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仪式顺利圆满无误；群众性纪念活动隆重热烈。</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③产出时效指标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2021年5月进行第一次协调会；2021年6月进行第二次协调会；2021年7月5日、6日安装调试、排练；2021年7月7日举办仪式活动。年底项目预算执行完毕。</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④产出成本指标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仪式成本控制数439.72万元；群众性纪念活动成本控制数95.38万元；总成本控制数523.44万元。</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⑤效益指标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通过举办纪念仪式，向世界发出强烈信号，历史永远不能忘记，表达爱好和平、维护和平的愿望。</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⑥服务对象满意度指标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参与仪式领导及社会各界群众满意度、保障单位满意度、群众性纪念活动观众满意度≥95%。</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（二）绩效评价工作开展情况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1.绩效评价目的、对象和范围。</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（1）评价目的</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本次评价目的一是为加强预算管理，贯彻落实全面实施预算绩效管理，将绩效理念和方法深度融入预算编制、执行、监督全过程，实现预算和绩效管理一体化；二是通过绩效评价，衡量和考核该项目资金的绩效，强化抗战馆财政资金支出责任，更好的发挥公共财政职能作用；三是通过总结经验，分析问题，采取切实有效措施进一步加强和改进财政支出项目管理，提高财政资金配置和使用效益，为以后此类项目实施的规范性、经济性提供参考依据；四是通过评价，不断提高财政资金使用效益，提高政府公共服务水平。</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（2）评价对象和范围：</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本次绩效评价的对象是抗日纪念馆实施的“纪念全民族抗战爆发84周年活动项目”项目，包括项目预算资金的使用和项目绩效目标的完成情况。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（１）绩效评价应当遵循以下基本原则：</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统筹兼顾。单位自评、部门评价和财政评价应职责明确，各有侧重，相互衔接。单位自评应由项目单位自主实施，即“谁支出、谁自评”。部门评价和财政评价应在单位自评的基础上开展，必要时可委托第三方机构实施。</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③激励约束。绩效评价结果应与预算安排、政策调整、改进管理实质性挂钩，体现奖优罚劣和激励相容导向，有效要安排、低效要压减、无效要问责。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④公开透明。绩效评价结果应依法依规公开，并自觉接受社会监督。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本次评价工作遵循“客观、公正、科学、规范”的原则。</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（２）评价指标体系（附表说明）</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绩效评价指标分为共性和个性指标。共性指标包括预算编制和执行情况、项目财务管理状况、资产配置、使用、处置及其收益管理情况以及社会效益、经济效益等。个性指标是针对部门或项目特点设定的，适用不同预算部门或项目的业绩评价指标。本次评价根据《项目支出绩效评价管理办法》相关规定，评价工作小组结合项目资金的特点及资金使用的具体情况，以资金使用结果为导向，设计本次评价指标内容和权重，综合考虑项目决策、项目过程和资金管理、产出和效益的具体情况，重点对绩效目标及产出指标完成情况、效益实现情况进行综合评价，设定产出指标和效益指标权重不低于60%。具体如下：</w:t>
      </w:r>
    </w:p>
    <w:tbl>
      <w:tblPr>
        <w:tblStyle w:val="3"/>
        <w:tblW w:w="0" w:type="auto"/>
        <w:jc w:val="center"/>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008"/>
        <w:gridCol w:w="2122"/>
        <w:gridCol w:w="4954"/>
      </w:tblGrid>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一级指标</w:t>
            </w:r>
          </w:p>
        </w:tc>
        <w:tc>
          <w:tcPr>
            <w:tcW w:w="212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二级指标</w:t>
            </w:r>
          </w:p>
        </w:tc>
        <w:tc>
          <w:tcPr>
            <w:tcW w:w="4954"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三级指标</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495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决策</w:t>
            </w:r>
          </w:p>
        </w:tc>
        <w:tc>
          <w:tcPr>
            <w:tcW w:w="212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项目立项</w:t>
            </w: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立项依据充分性</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立项程序规范性</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绩效目标</w:t>
            </w: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绩效目标合理性</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绩效指标明确性</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资金投入</w:t>
            </w: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预算编制科学性</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资金分配合理性</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过程</w:t>
            </w:r>
          </w:p>
        </w:tc>
        <w:tc>
          <w:tcPr>
            <w:tcW w:w="212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资金管理</w:t>
            </w: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资金到位率</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预算执行率</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资金使用合规性</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0"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组织实施</w:t>
            </w: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财务制度、项目管理制度健全性</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制度执行有效性</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产出</w:t>
            </w:r>
          </w:p>
        </w:tc>
        <w:tc>
          <w:tcPr>
            <w:tcW w:w="2122"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产出数量</w:t>
            </w: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实际完成率</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产出质量</w:t>
            </w: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质量达标率</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产出时效</w:t>
            </w: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完成及时性</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产出成本</w:t>
            </w: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成本节约率</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效益</w:t>
            </w:r>
          </w:p>
        </w:tc>
        <w:tc>
          <w:tcPr>
            <w:tcW w:w="212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项目效益</w:t>
            </w: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经济效益和社会效益</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可持续影响</w:t>
            </w:r>
          </w:p>
        </w:tc>
      </w:tr>
      <w:tr>
        <w:tblPrEx>
          <w:tblBorders>
            <w:top w:val="single" w:color="auto" w:sz="2" w:space="0"/>
            <w:left w:val="single" w:color="auto" w:sz="2" w:space="0"/>
            <w:bottom w:val="single" w:color="auto" w:sz="4"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00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212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p>
        </w:tc>
        <w:tc>
          <w:tcPr>
            <w:tcW w:w="4954" w:type="dxa"/>
            <w:noWrap w:val="0"/>
            <w:vAlign w:val="center"/>
          </w:tcPr>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社会公众和服务对象满意度</w:t>
            </w:r>
          </w:p>
        </w:tc>
      </w:tr>
    </w:tbl>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（３）</w:t>
      </w:r>
      <w:r>
        <w:rPr>
          <w:rFonts w:hint="eastAsia" w:ascii="仿宋_GB2312" w:hAnsi="仿宋_GB2312" w:eastAsia="仿宋_GB2312" w:cs="仿宋_GB2312"/>
          <w:kern w:val="2"/>
          <w:sz w:val="28"/>
          <w:szCs w:val="28"/>
          <w:lang w:val="en-US" w:eastAsia="zh-CN" w:bidi="ar-SA"/>
        </w:rPr>
        <w:t>绩效评价方法</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绩效评价的方法主要包括成本效益分析法、比较法、因素分析法、最低成本法、公众评判法、标杆管理法等。根据评价对象的具体情况，可采用一种或多种方法。</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①成本效益分析法。是指将投入与产出、效益进行关联性分析的方法。 </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②比较法。是指将实施情况与绩效目标、历史情况、不同部门和地区同类支出情况进行比较的方法。</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③因素分析法。是指综合分析影响绩效目标实现、实施效果的内外部因素的方法。</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④最低成本法。是指在绩效目标确定的前提下，成本最小者为优的方法。</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⑤公众评判法。是指通过专家评估、公众问卷及抽样调查等方式进行评判的方法。</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⑥标杆管理法。是指以国内外同行业中较高的绩效水平为标杆进行评判的方法。</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⑦其他评价方法。</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根据该项目的特点，结合项目决策、项目过程管理、项目产出和项目绩效的实际情况。本次绩效评价工作遵循“客观、公正、科学、规范”的原则，通过对项目的经济性、效率性、效益性、公平性的比较和分析，评价项目预算支出效率和支出效果。该项目绩效评价主要采用公众评判法，同时结合项目的实际情况综合运用上述评价办法进行评价。</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（４）评价标准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绩效评价标准通常包括计划标准、行业标准、历史标准等，用于对绩效指标完成情况进行比较。</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③历史标准。指参照历史数据制定的评价标准，为体现绩效改进的原则，在可实现的条件下应当确定相对较高的评价标准。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④财政部门和预算部门确认或认可的其他标准。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本次评价采用计划标准。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３．绩效评价的主要依据</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（１）国家相关法律、法规和规章制度；</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（２）部门职责相关规定；</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（３）项目预算批复及请示批复；</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（４）预算管理制度及办法，项目及资金管理办法、财务和会计资料；</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（５）项目设立的背景依据和绩效目标，预算执行情况，项目预算评审报告、项目决算或验收报告等相关材料；</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（６）其他相关资料。</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４.绩效评价工作过程</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（１）前期准备工作</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①组建评价工作组。由抗战馆工作人员、中介机构共同组成评价小组。</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②评价小组收集反映项目决策、过程、产出和效益等基本资料。</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（２）绩效评价现场审核情况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评价小组对收集的项目资料，进行整理归集，对项目绩效目标设立情况，项目立项背景及其他相关资料进行审核。主要收集整理审核项目预算批复相关资料、项目绩效报告、项目支出明细账、项目收款、付款等财务核算资料、项目预算评审报告等项目资料。</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（３）遴选业务专家</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根据项目实施情况，评价工作组聘请了五名评价专家。一名高级会计师、一名高级工程师、一名注册会计师、两名从事公共管理理论研究和教学的教授作为本次绩效评价的业务专家，指导评价组开展评价工作。</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（４）设置和细化评价指标体系</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在北京市项目支出绩效评价指标体系基础上，结合本项目实际情况，以资金使用结果为导向，评价组设定了本次评价指标内容、权重和分值，重点对绩效目标及产出指标完成情况、效益实现情况进行综合评价。</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（５）编制专家资料手册</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评价小组对收集到的项目资料进行核对、审核和汇总，在此基础上编制专家资料手册，供评价会专家使用。</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（６）召开专家评价会</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评价工作组于2022年5月7日下午主持召开“纪念全民族抗战爆发84周年活动项目”绩效评价专家会。评价会议由评价专家组组长主持，抗战馆相关人员、及中介机构人员参加了评价会。</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评价会上，评价专家查阅专家资料手册、听取项目实施情况汇报，就项目立项决策、过程管理、绩效目标完成情况等方面与项目单位进行沟通，并进行质询，项目单位就专家提出的问题给与回答。评价专家依据资料、项目单位的现场汇报、质询及回复，对项目立项、过程、产出及效益分别进行了评价和打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（７）编写绩效评价报告</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专家评价会召开后，评价工作组根据评价会召开的实际情况，完成项目绩效评价报告撰写工作。评价工作组与项目负责科室、财务及评价专家反复沟通，对报告初稿进行修改完善、形成项目绩效评价报告终稿。</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（三）综合评价情况及评价结论（附相关评分表）</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１综合评价情况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评价会上，评价专家根据专家资料手册、以及现场汇报，对项目绩效资料进行审核，就该项目立项决策、实施过程、项目产出、项目效益等绩效目标完成情况进行评价打分。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（１）决策</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二级指标分解为项目立项、绩效目标和资金投入，指标分值为10.00分。经专家评价该项最后得分9.02分，扣0.98分。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①项目立项</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该项指标分值2.00分。专家就专家资料手册内容及现场汇报情况给予评价打分，该项得分2.00分，无扣分。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②绩效目标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该项指标分值4.00分。专家就专家资料手册内容及现场汇报情况给予评价打分，该项得分3.52分，扣0.48分。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③资金投入</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该项指标分值4.00分。专家就专家资料手册内容及现场汇报情况给予评价打分，该项得分3.50分，扣0.50分。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（２）过程</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二级指标分解为资金管理和组织实施。该项指标分值为20.00分。由于项目单位未提供该项目明确的项目批复及项目预算。现场专家就项目资料不完整不充分，项目初始资料欠缺给予评价打分，扣1.58分，该项最后得分18.42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①资金管理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该项指标分值10.00分。专家就专家资料手册内容及现场汇报情况给予评价打分，该项得分9.22分，扣0.78分。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②组织实施</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该项指标分值10.00分。专家就专家资料手册内容及现场汇报情况给予评价打分，该项得分9.20分，扣0.80分。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（３）产出</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二级指标分解为产出数量、产出质量、产出时效和产出成本。该项指标分值为45.00分。现场专家就专家资料手册、现场汇报情况，对项目绩效目标完成情况进行质询，给予评价打分，该项最后得分42.00分，扣3.00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①产出数量</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该项指标分值15.00分。专家就专家资料手册内容及现场汇报情况给予评价打分，该项得分13.00分，扣2.00分。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②产出质量</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该项指标分值10.00分。专家就专家资料手册内容及现场汇报情况给予评价打分，该项得分9.20分，扣0.80分。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③产出时效</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该项指标分值10.00分。专家就专家资料手册内容及现场汇报情况给予评价打分，该项得分9.80分，扣0.20分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④产出成本</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该项指标分值10.00分。专家就专家资料手册内容及现场汇报情况给予评价打分，该项得分10.00分，无扣分。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（４）效益</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二级指标分解为经济效益和社会效益、可持续影响和服务对象满意度。该项指标分值为25.00分。现场专家听取了项目单位的汇报，并进行质询评价打分，该项最后得分23.20分，扣1.80分。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①经济效益和社会效益、可持续影响</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该项指标分值15.00分。专家就专家资料手册内容及现场汇报情况给予评价打分，该项得分13.80分，扣1.20分。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②服务对象满意度</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该项指标分值10.00分。专家就专家资料手册内容及现场汇报情况给予评价打分，该项得分9.40分，扣0.60分。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详见附件：专家评分表及专专家意见汇总书</w:t>
      </w:r>
      <w:r>
        <w:rPr>
          <w:rFonts w:hint="eastAsia" w:ascii="仿宋_GB2312" w:hAnsi="仿宋_GB2312" w:eastAsia="仿宋_GB2312" w:cs="仿宋_GB2312"/>
          <w:kern w:val="0"/>
          <w:sz w:val="28"/>
          <w:szCs w:val="28"/>
          <w:lang w:val="en-US" w:eastAsia="zh-CN"/>
        </w:rPr>
        <w:tab/>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２评价结论</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（１）绩效评价得分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根据评价小组收集的项目资料、项目单位现场汇报以及现场专家质询和项目单位的答疑，评价专家对抗日纪念馆2021年度纪念全民族抗战爆发84周年活动项目在立项决策、过程管理、产出及效益绩效目标完成情况，进行认真评价，给予评分。该项目绩效评价得分92.64分，其中：决策9.02分；过程18.42分；产出42.00分；效益23.20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（２）评价结论</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根据《项目支出绩效评价管理办法》第十八条，该项目绩效评价等级为“优”。</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（四）绩效评价指标分析</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1.项目决策情况。</w:t>
      </w:r>
    </w:p>
    <w:p>
      <w:pPr>
        <w:pStyle w:val="2"/>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决策指标分解为项目立项、绩效目标和资金投入三个二级指标。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（１）项目立项</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立项依据充分性。该项目立项依据充分，符合法规、政策以及部门职责。抗战馆是全国唯一一座全面反映中国人民抗日战争历史的大型综合性专题纪念馆，以学习贯彻《新时代公民道德建设实施纲要》《新时代爱国主义教育实施纲要》为遵循，积极探索抗战精神育人载体途径方法，深入培育和践行社会主义核心价值观，2021年是中华民族全民族抗战爆发84周年，为进一步弘扬抗战精神，举办该项目具有深远的历史和现实意义，立项依据充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立项程序规范性。该项目立项申请、设立过程比较规范。抗战馆收到部门预算编制的通知后，积极部署，严格要求。该项目根据年度工作安排提出，编制实施方案，进行了预算评审，经党委会审议通过后上报市财政局。</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（２）绩效目标 </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①绩效目标合理性。该项目绩效目标整体上比较合理，能够按照要求进行规范填报，产出绩效和效果绩效目标基本能够反映项目的特点。</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②绩效目标明确性。该项目绩效目标指向比较明确、比较清晰、具体细化、合理可行。</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（３）资金投入</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预算编制科学性。该项目预算编制经过科学论证，且通过预算评审，预算编制基本科学且合理。该项目初始预算申报535.10万元；2020年10月，北京国融兴华工程项目管理有限公司对该项目预算进行了评审，核减11.66万元，最终审定523.44万元，测算依据比较合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资金分配合理性。该项目资金分配依据充分，分配额度较为合理，与项目实际情况基本相符。该项目进行了充分的可行性研究，对绿化环境布置、音响系统设备、LED大屏服务、供电车、服装等费用进行了科学的计算，经过项目评审后，各类投资支出费用更科学、合理，并以此作为资金分配的依据，保障了资金分配的合理性和与项目的匹配性。</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2.项目过程情况。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（１）资金管理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纪念全民族抗战爆发84周年活动项目年度预算金额为523.44万元，实际到位资金为523.44万元，资金到位率100%，项目实际支出475.19万元，预算执行率90.78%。资金使用合规,项目绩效预期目标基本实现。</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（２）组织实施</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①管理制健全性。抗战馆2020 年12月，修订完善形成了《中人民抗日战争纪念馆内部控制管理手册(2021）》，制定了预算管理、支出管理、采购管理、资产管理和合同管理等制度，单位财务管理和业务管理制度比较健全，制度比较合法、合规、完整。</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②制度执行有效性。该项目在实施过程中基本能够按照上述内部管理制度的相关要求去执行，项目支出审批手续比较完备、验收材料比较齐全、项目实施所需的人力和其他保障措施比较到位。</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3.项目产出情况。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该项目产出指标细化为产出数量、产出质量、产出时效和产出成本四个二级指标。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（１）产出数量</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①该项目编制绩效目标时预计参加仪式人数850人，受疫情影响，实际参加仪式人数410人，该项预期数量指标未完全达到。</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kern w:val="0"/>
          <w:sz w:val="28"/>
          <w:szCs w:val="28"/>
          <w:lang w:val="en-US" w:eastAsia="zh-CN"/>
        </w:rPr>
        <w:t>②该项目编制绩效目标时预计</w:t>
      </w:r>
      <w:r>
        <w:rPr>
          <w:rFonts w:hint="eastAsia" w:ascii="仿宋_GB2312" w:hAnsi="仿宋_GB2312" w:eastAsia="仿宋_GB2312" w:cs="仿宋_GB2312"/>
          <w:kern w:val="0"/>
          <w:sz w:val="28"/>
          <w:szCs w:val="28"/>
          <w:highlight w:val="none"/>
          <w:lang w:val="en-US" w:eastAsia="zh-CN"/>
        </w:rPr>
        <w:t>群众性活动纪念人数600人，实际参加仪式人数600人，预期绩效目标实现。</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kern w:val="0"/>
          <w:sz w:val="28"/>
          <w:szCs w:val="28"/>
          <w:highlight w:val="none"/>
          <w:lang w:val="en-US" w:eastAsia="zh-CN"/>
        </w:rPr>
        <w:t>③该项目编制绩效目标时预计人员证件2060套，受疫情影响，减少参加仪式人数，实际人员证件1140套，该项预期数量指标未完全达到。</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kern w:val="0"/>
          <w:sz w:val="28"/>
          <w:szCs w:val="28"/>
          <w:highlight w:val="none"/>
          <w:lang w:val="en-US" w:eastAsia="zh-CN"/>
        </w:rPr>
        <w:t>④该项目编制绩效目标时预计车辆证件320套，受疫情影响，减少参加人数，实际车辆证件260套，该项预期数量指标未完全达到。</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kern w:val="0"/>
          <w:sz w:val="28"/>
          <w:szCs w:val="28"/>
          <w:highlight w:val="none"/>
          <w:lang w:val="en-US" w:eastAsia="zh-CN"/>
        </w:rPr>
        <w:t>（２）产出质量</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kern w:val="0"/>
          <w:sz w:val="28"/>
          <w:szCs w:val="28"/>
          <w:highlight w:val="none"/>
          <w:lang w:val="en-US" w:eastAsia="zh-CN"/>
        </w:rPr>
        <w:t>①纪念活动仪式顺利圆满无误，抗战馆认真贯彻中央和市委决策部署，在市委办公厅和市委宣传部指导下，团结29家成员单位齐心协力做好各类服务保障，确保了纪念仪式及相关活动圆满举行。</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highlight w:val="none"/>
          <w:lang w:val="en-US" w:eastAsia="zh-CN"/>
        </w:rPr>
        <w:t>②该项目群众性纪念活动隆重热烈，首都各界群众200余人现场观看。一曲曲激</w:t>
      </w:r>
      <w:r>
        <w:rPr>
          <w:rFonts w:hint="eastAsia" w:ascii="仿宋_GB2312" w:hAnsi="仿宋_GB2312" w:eastAsia="仿宋_GB2312" w:cs="仿宋_GB2312"/>
          <w:kern w:val="0"/>
          <w:sz w:val="28"/>
          <w:szCs w:val="28"/>
          <w:lang w:val="en-US" w:eastAsia="zh-CN"/>
        </w:rPr>
        <w:t>昂奋进、磅礴奔涌的旋律，再次让人们感受到全民族抗日战争的呐喊与怒吼、英勇杀敌的血性与豪情，肃然而生强烈的爱国情感，激发了各界群众爱党、爱祖国、爱家园的深厚情感，凝聚起各族人民奋进新时代、启航新征程的强大精神力量。</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（３）产出时效</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①该项目编制绩效目标时预计第一次协调会于2021年5月召开，受疫情影响，实际召开推迟至2021年7月2日。产出时效受疫情影响未如期达到。</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②该项目编制绩效目标时预计第二次协调会于2021年6月召开，受疫情影响，实际未召开第二次协调会。产出时效受疫情影响未如期达到。</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③该项目编制绩效目标时预计安装调试、排练于2021年7月5日、6日开始，实际开始于2021年7月3日、5日，产出时效指标基本达到。</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④该项目编制绩效目标时预计举办仪式活动2021年7月7日举行，实际实际开始于2021年7月7日，预期绩效目标实现。</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⑤项目支出时效设定为年底完成预算523.44万元。截至2021年12月31日，项目决算475.19万元支付完毕。预期绩效目标实现。</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（４）产出成本</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该项目实际到位资金523.44万元，项目预算523.44万元，实际完成475.19万元，严格控制在预算范围内。</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4.项目效益情况。</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（１）经济效益和社会效益</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通过举办纪念仪式，向世界发出强烈信号，历史永远不能忘记，表达爱好和平、维护和平的愿望；通过举办群众性纪念活动，营造了纪念氛围，激发了群众爱国热情，弘扬了抗战精神，凝聚了民族力量，激发了群众铭记历史，追思先烈，汲取奋进力量，凝聚起坚不可摧的民族精神。</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（２）项目可持续影响及服务对象满意度</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该项目通过媒体报告宣传，观看服务满意度较高，《人民日报》、新华社、中央广播电视总台、《光明日报》、中国新闻社、《中国日报》、《经济日报》、《中国青年报》、《人民政协报》、中国教育电视台、北京广播电视台、凤凰卫视等50余家主流媒体持续对仪式活动、专题展览和群众性纪念活动进行多角度深入宣传报道，让人们用心感悟革命先烈用生命传承下来的红色精神，从缅怀先烈、铭记历史中汲取奋进力量。其中，《人民日报》在要闻板块刊发活动信息2条；新华社推出文字、图片、视频及英文多条报道；央视《新闻联播》节目播出活动信息2条，《新闻频道》《今日环球》《朝闻天下》等栏目多次报道；《北京日报》《北京青年报》《中国教育报》《中国妇女报》等在一版主图刊发。东方卫视、辽宁日报、南方日报、湖北日报、安徽日报等京外媒体也积极转发相关活动报道信息。据统计，截至2021年7月10日，全网共监测各类媒体报道信息4681条。</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抗日纪念馆纪念全民族抗战爆发84周年活动项目的实施，对提升群众爱国热情、群众铭记历史等方面有比较显著的提升作用。</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经过与会专家评审，本项目绩效评价综合得分92.64分。评审专家根据项目单位现场汇报及评审资料，认为项目实施过程中存在以下问题：</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1、预算执行率不足，预算编制有待加强。</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2、满意度调查对象的针对性不够，缺少满意度调查支撑资料。</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3、项目的绩效数量指标、质量指标制定的不够准确、不够细化；具体指标的确定依据不够充分；项目绩效申报文本填报不够完整。</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4、项目绩效指标对于政治效益体现不充分。</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（六）</w:t>
      </w:r>
      <w:r>
        <w:rPr>
          <w:rFonts w:hint="eastAsia" w:ascii="仿宋_GB2312" w:hAnsi="仿宋_GB2312" w:eastAsia="仿宋_GB2312" w:cs="仿宋_GB2312"/>
          <w:sz w:val="28"/>
          <w:szCs w:val="28"/>
        </w:rPr>
        <w:t>有关建议</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 xml:space="preserve"> 根据该项目实施中存在的上述问题，专家建议：</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1、强化预算编制的科学、严谨，预算更加细化，更好地提高项目的预算执行率。</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2、项目管理过程中，收集更完善的资料，记录更详细，用客观数据资料文撑项目效果。</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3、建议科学设定产出数量、质量指标；增强具体指标确定依据的科学性；完善项目绩效申报文本的填报信息。</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4、项目效益里可以分成政治效益和社会效益两个部分，详细从政治意义和社会意义两个方面介绍项目的成果。</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（七）</w:t>
      </w:r>
      <w:r>
        <w:rPr>
          <w:rFonts w:hint="eastAsia" w:ascii="仿宋_GB2312" w:hAnsi="仿宋_GB2312" w:eastAsia="仿宋_GB2312" w:cs="仿宋_GB2312"/>
          <w:sz w:val="28"/>
          <w:szCs w:val="28"/>
        </w:rPr>
        <w:t>其他需要说明的问题</w:t>
      </w:r>
    </w:p>
    <w:p>
      <w:pPr>
        <w:pStyle w:val="2"/>
        <w:rPr>
          <w:rFonts w:hint="eastAsia" w:eastAsia="仿宋_GB2312"/>
          <w:lang w:val="en-US" w:eastAsia="zh-CN"/>
        </w:rPr>
      </w:pPr>
      <w:r>
        <w:rPr>
          <w:rFonts w:hint="eastAsia" w:ascii="仿宋_GB2312" w:hAnsi="仿宋_GB2312" w:eastAsia="仿宋_GB2312" w:cs="仿宋_GB2312"/>
          <w:sz w:val="28"/>
          <w:szCs w:val="28"/>
          <w:lang w:val="en-US" w:eastAsia="zh-CN"/>
        </w:rPr>
        <w:t>无</w:t>
      </w:r>
    </w:p>
    <w:p>
      <w:r>
        <w:rPr>
          <w:rFonts w:hint="eastAsia" w:ascii="黑体" w:hAnsi="Times New Roman" w:eastAsia="黑体" w:cs="Times New Roman"/>
          <w:sz w:val="28"/>
          <w:szCs w:val="28"/>
          <w:highlight w:val="none"/>
          <w:lang w:eastAsia="zh-CN"/>
        </w:rPr>
        <w:t>三、项目支出绩效自评表</w:t>
      </w:r>
    </w:p>
    <w:p>
      <w:pPr>
        <w:pStyle w:val="2"/>
      </w:pPr>
    </w:p>
    <w:tbl>
      <w:tblPr>
        <w:tblStyle w:val="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51"/>
        <w:gridCol w:w="950"/>
        <w:gridCol w:w="1500"/>
        <w:gridCol w:w="1404"/>
        <w:gridCol w:w="1290"/>
        <w:gridCol w:w="693"/>
        <w:gridCol w:w="1688"/>
        <w:gridCol w:w="1875"/>
        <w:gridCol w:w="4"/>
        <w:gridCol w:w="533"/>
        <w:gridCol w:w="247"/>
        <w:gridCol w:w="528"/>
        <w:gridCol w:w="1152"/>
        <w:gridCol w:w="15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793" w:type="dxa"/>
            <w:gridSpan w:val="14"/>
            <w:tcBorders>
              <w:top w:val="nil"/>
              <w:left w:val="nil"/>
              <w:bottom w:val="nil"/>
              <w:right w:val="nil"/>
            </w:tcBorders>
            <w:noWrap w:val="0"/>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36"/>
                <w:szCs w:val="36"/>
                <w:u w:val="none"/>
              </w:rPr>
            </w:pPr>
            <w:r>
              <w:rPr>
                <w:rFonts w:hint="eastAsia" w:ascii="方正小标宋简体" w:hAnsi="方正小标宋简体" w:eastAsia="方正小标宋简体" w:cs="方正小标宋简体"/>
                <w:i w:val="0"/>
                <w:color w:val="000000"/>
                <w:kern w:val="0"/>
                <w:sz w:val="36"/>
                <w:szCs w:val="36"/>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14793" w:type="dxa"/>
            <w:gridSpan w:val="14"/>
            <w:tcBorders>
              <w:top w:val="nil"/>
              <w:left w:val="nil"/>
              <w:bottom w:val="nil"/>
              <w:right w:val="nil"/>
            </w:tcBorders>
            <w:noWrap w:val="0"/>
            <w:vAlign w:val="center"/>
          </w:tcPr>
          <w:p>
            <w:pPr>
              <w:keepNext w:val="0"/>
              <w:keepLines w:val="0"/>
              <w:widowControl/>
              <w:suppressLineNumbers w:val="0"/>
              <w:jc w:val="center"/>
              <w:textAlignment w:val="center"/>
              <w:rPr>
                <w:rFonts w:ascii="仿宋_GB2312" w:hAnsi="宋体" w:eastAsia="仿宋_GB2312" w:cs="仿宋_GB2312"/>
                <w:i w:val="0"/>
                <w:color w:val="000000"/>
                <w:sz w:val="28"/>
                <w:szCs w:val="28"/>
                <w:u w:val="none"/>
              </w:rPr>
            </w:pPr>
            <w:r>
              <w:rPr>
                <w:rFonts w:hint="eastAsia" w:ascii="仿宋_GB2312" w:hAnsi="宋体" w:eastAsia="仿宋_GB2312" w:cs="仿宋_GB2312"/>
                <w:i w:val="0"/>
                <w:color w:val="000000"/>
                <w:kern w:val="0"/>
                <w:sz w:val="28"/>
                <w:szCs w:val="28"/>
                <w:u w:val="none"/>
                <w:lang w:val="en-US" w:eastAsia="zh-CN" w:bidi="ar"/>
              </w:rPr>
              <w:t xml:space="preserve">  （    2021  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230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项目名称</w:t>
            </w:r>
          </w:p>
        </w:tc>
        <w:tc>
          <w:tcPr>
            <w:tcW w:w="12492"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纪念全民族抗战爆发84周年活动项目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230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主管部门</w:t>
            </w:r>
          </w:p>
        </w:tc>
        <w:tc>
          <w:tcPr>
            <w:tcW w:w="657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中共北京市委宣传部</w:t>
            </w:r>
          </w:p>
        </w:tc>
        <w:tc>
          <w:tcPr>
            <w:tcW w:w="18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实施单位</w:t>
            </w:r>
          </w:p>
        </w:tc>
        <w:tc>
          <w:tcPr>
            <w:tcW w:w="403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中国人民抗日战争纪念馆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230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项目负责人</w:t>
            </w:r>
          </w:p>
        </w:tc>
        <w:tc>
          <w:tcPr>
            <w:tcW w:w="657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董立新</w:t>
            </w:r>
          </w:p>
        </w:tc>
        <w:tc>
          <w:tcPr>
            <w:tcW w:w="18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联系电话</w:t>
            </w:r>
          </w:p>
        </w:tc>
        <w:tc>
          <w:tcPr>
            <w:tcW w:w="4038"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83893730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230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项目资金</w:t>
            </w:r>
            <w:r>
              <w:rPr>
                <w:rFonts w:hint="eastAsia" w:ascii="仿宋_GB2312" w:hAnsi="宋体" w:eastAsia="仿宋_GB2312" w:cs="仿宋_GB2312"/>
                <w:i w:val="0"/>
                <w:color w:val="000000"/>
                <w:kern w:val="0"/>
                <w:sz w:val="21"/>
                <w:szCs w:val="21"/>
                <w:u w:val="none"/>
                <w:lang w:val="en-US" w:eastAsia="zh-CN" w:bidi="ar"/>
              </w:rPr>
              <w:br w:type="textWrapping"/>
            </w:r>
            <w:r>
              <w:rPr>
                <w:rFonts w:hint="eastAsia" w:ascii="仿宋_GB2312" w:hAnsi="宋体" w:eastAsia="仿宋_GB2312" w:cs="仿宋_GB2312"/>
                <w:i w:val="0"/>
                <w:color w:val="000000"/>
                <w:kern w:val="0"/>
                <w:sz w:val="21"/>
                <w:szCs w:val="21"/>
                <w:u w:val="none"/>
                <w:lang w:val="en-US" w:eastAsia="zh-CN" w:bidi="ar"/>
              </w:rPr>
              <w:t>（万元）</w:t>
            </w:r>
          </w:p>
        </w:tc>
        <w:tc>
          <w:tcPr>
            <w:tcW w:w="290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29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年初预算数</w:t>
            </w:r>
          </w:p>
        </w:tc>
        <w:tc>
          <w:tcPr>
            <w:tcW w:w="238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全年预算数</w:t>
            </w:r>
          </w:p>
        </w:tc>
        <w:tc>
          <w:tcPr>
            <w:tcW w:w="18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全年执行数</w:t>
            </w:r>
          </w:p>
        </w:tc>
        <w:tc>
          <w:tcPr>
            <w:tcW w:w="78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分值</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执行率</w:t>
            </w:r>
          </w:p>
        </w:tc>
        <w:tc>
          <w:tcPr>
            <w:tcW w:w="15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230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290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年度资金总额</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523.44</w:t>
            </w:r>
          </w:p>
        </w:tc>
        <w:tc>
          <w:tcPr>
            <w:tcW w:w="238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523.44</w:t>
            </w:r>
          </w:p>
        </w:tc>
        <w:tc>
          <w:tcPr>
            <w:tcW w:w="18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475.19</w:t>
            </w:r>
          </w:p>
        </w:tc>
        <w:tc>
          <w:tcPr>
            <w:tcW w:w="78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10</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90.78%</w:t>
            </w:r>
          </w:p>
        </w:tc>
        <w:tc>
          <w:tcPr>
            <w:tcW w:w="15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9.08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230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290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其中：当年财政拨款</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523.44</w:t>
            </w:r>
          </w:p>
        </w:tc>
        <w:tc>
          <w:tcPr>
            <w:tcW w:w="238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523.44</w:t>
            </w:r>
          </w:p>
        </w:tc>
        <w:tc>
          <w:tcPr>
            <w:tcW w:w="18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475.19</w:t>
            </w:r>
          </w:p>
        </w:tc>
        <w:tc>
          <w:tcPr>
            <w:tcW w:w="78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230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290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 xml:space="preserve">      上年结转资金</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w:t>
            </w:r>
          </w:p>
        </w:tc>
        <w:tc>
          <w:tcPr>
            <w:tcW w:w="238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w:t>
            </w:r>
          </w:p>
        </w:tc>
        <w:tc>
          <w:tcPr>
            <w:tcW w:w="18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w:t>
            </w:r>
          </w:p>
        </w:tc>
        <w:tc>
          <w:tcPr>
            <w:tcW w:w="78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230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290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 xml:space="preserve">  其他资金</w:t>
            </w:r>
          </w:p>
        </w:tc>
        <w:tc>
          <w:tcPr>
            <w:tcW w:w="12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w:t>
            </w:r>
          </w:p>
        </w:tc>
        <w:tc>
          <w:tcPr>
            <w:tcW w:w="238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w:t>
            </w:r>
          </w:p>
        </w:tc>
        <w:tc>
          <w:tcPr>
            <w:tcW w:w="18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w:t>
            </w:r>
          </w:p>
        </w:tc>
        <w:tc>
          <w:tcPr>
            <w:tcW w:w="78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w:t>
            </w:r>
          </w:p>
        </w:tc>
        <w:tc>
          <w:tcPr>
            <w:tcW w:w="168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年度总体目标</w:t>
            </w:r>
          </w:p>
        </w:tc>
        <w:tc>
          <w:tcPr>
            <w:tcW w:w="752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预期目标</w:t>
            </w:r>
          </w:p>
        </w:tc>
        <w:tc>
          <w:tcPr>
            <w:tcW w:w="591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752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确保纪念仪式庄严肃穆、隆重大气、顺利圆满。举办群众性纪念活动，继续营造纪念氛围，激发群众爱国热情，弘扬抗战精神，凝聚民族力量。</w:t>
            </w:r>
          </w:p>
        </w:tc>
        <w:tc>
          <w:tcPr>
            <w:tcW w:w="591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2021年7月7日，举办了纪念全民族抗战爆发84周年活动，纪念仪式庄严肃穆、隆重大气、顺利圆满。通过举办群众性纪念活动，营造了纪念氛围，激发了群众爱国热情，弘扬了抗战精神，凝聚了民族力量，激发了群众铭记历史，追思先烈，汲取奋进力量，凝聚起坚不可摧的民族精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绩效指标</w:t>
            </w:r>
          </w:p>
        </w:tc>
        <w:tc>
          <w:tcPr>
            <w:tcW w:w="9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一级指标</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二级指标</w:t>
            </w: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三级指标</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年度指标值</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实际完成值</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分值</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得分</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产出指标</w:t>
            </w:r>
          </w:p>
        </w:tc>
        <w:tc>
          <w:tcPr>
            <w:tcW w:w="15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数量指标</w:t>
            </w: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仪式人数</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850人</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410人</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1.45</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受疫情影响，减少仪式人数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群众性活动纪念人数</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600人</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600人</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人员证件</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2060套</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1140套</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1.66</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受疫情影响，减少人员证件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车辆证件</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320套</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260套</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2.44</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受疫情影响，减少车辆证件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质量指标</w:t>
            </w: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仪式顺利圆满无误</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完成</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完成</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6</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6</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0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群众性纪念活动隆重热烈</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完成</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完成</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7</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7</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时效指标</w:t>
            </w: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 xml:space="preserve">第一次协调会 </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2021年5月</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2021年7月2日</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受疫情影响，推迟协调会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第二次协调会</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2021年6月</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未召开</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0</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受疫情影响未召开第二次协调会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安装调试、排练</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2021年7月5日、6日</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2021年7月3日、2021年7月5日</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举办仪式活动</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2021年7月7日</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2021年7月7日</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成本指标</w:t>
            </w: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 xml:space="preserve">仪式预算控制数 </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439.72万元</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380.90万元</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4</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4</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0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群众性纪念活动预算控制数</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95.38万元</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94.29万元</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4</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4</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0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总预算控制数</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535.10万元</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475.19万元</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5</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5</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项目执行效果较好，但预算执行率不足，预算编制有待加强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1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社会效益指标</w:t>
            </w: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通过举办纪念仪式，向世界发出强烈信号，历史永远不能忘记，表达爱好和平、维护和平的愿望</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达到预期目标</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通过举办纪念仪式，向世界发出强烈信号，历史永远不能忘记，表达爱好和平、维护和平的愿望。</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30</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30</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35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满意度指标</w:t>
            </w:r>
          </w:p>
        </w:tc>
        <w:tc>
          <w:tcPr>
            <w:tcW w:w="15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服务对象满意度标</w:t>
            </w:r>
          </w:p>
        </w:tc>
        <w:tc>
          <w:tcPr>
            <w:tcW w:w="338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参与仪式领导及社会各界群众满意度、保障单位满意度、群众性纪念活动观众满意度</w:t>
            </w:r>
          </w:p>
        </w:tc>
        <w:tc>
          <w:tcPr>
            <w:tcW w:w="16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≥95%</w:t>
            </w:r>
          </w:p>
        </w:tc>
        <w:tc>
          <w:tcPr>
            <w:tcW w:w="18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≥95%</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10</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10</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jc w:val="center"/>
        </w:trPr>
        <w:tc>
          <w:tcPr>
            <w:tcW w:w="10751"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总分</w:t>
            </w:r>
          </w:p>
        </w:tc>
        <w:tc>
          <w:tcPr>
            <w:tcW w:w="5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100</w:t>
            </w:r>
          </w:p>
        </w:tc>
        <w:tc>
          <w:tcPr>
            <w:tcW w:w="7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r>
              <w:rPr>
                <w:rFonts w:hint="eastAsia" w:ascii="仿宋_GB2312" w:hAnsi="宋体" w:eastAsia="仿宋_GB2312" w:cs="仿宋_GB2312"/>
                <w:i w:val="0"/>
                <w:color w:val="000000"/>
                <w:kern w:val="0"/>
                <w:sz w:val="21"/>
                <w:szCs w:val="21"/>
                <w:u w:val="none"/>
                <w:lang w:val="en-US" w:eastAsia="zh-CN" w:bidi="ar"/>
              </w:rPr>
              <w:t>92.63</w:t>
            </w:r>
          </w:p>
        </w:tc>
        <w:tc>
          <w:tcPr>
            <w:tcW w:w="273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_GB2312" w:hAnsi="宋体" w:eastAsia="仿宋_GB2312" w:cs="仿宋_GB2312"/>
                <w:i w:val="0"/>
                <w:color w:val="000000"/>
                <w:kern w:val="0"/>
                <w:sz w:val="21"/>
                <w:szCs w:val="21"/>
                <w:u w:val="none"/>
                <w:lang w:val="en-US" w:eastAsia="zh-CN" w:bidi="ar"/>
              </w:rPr>
            </w:pPr>
          </w:p>
        </w:tc>
      </w:tr>
    </w:tbl>
    <w:p>
      <w:pPr>
        <w:pStyle w:val="2"/>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2000000000000000000"/>
    <w:charset w:val="00"/>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9C9E3C"/>
    <w:multiLevelType w:val="singleLevel"/>
    <w:tmpl w:val="D49C9E3C"/>
    <w:lvl w:ilvl="0" w:tentative="0">
      <w:start w:val="2"/>
      <w:numFmt w:val="decimal"/>
      <w:suff w:val="nothing"/>
      <w:lvlText w:val="（%1）"/>
      <w:lvlJc w:val="left"/>
      <w:pPr>
        <w:ind w:left="6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ZTJkMDZkMzRmMjdhMWU1MGYwNjIzMGI3MGYyYTMifQ=="/>
  </w:docVars>
  <w:rsids>
    <w:rsidRoot w:val="4C8F48D3"/>
    <w:rsid w:val="16E568A8"/>
    <w:rsid w:val="177B278D"/>
    <w:rsid w:val="4C8F48D3"/>
    <w:rsid w:val="67C64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8558</Words>
  <Characters>9004</Characters>
  <Lines>0</Lines>
  <Paragraphs>0</Paragraphs>
  <TotalTime>1</TotalTime>
  <ScaleCrop>false</ScaleCrop>
  <LinksUpToDate>false</LinksUpToDate>
  <CharactersWithSpaces>9011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2022-06-08T04:32:00Z</dcterms:created>
  <dc:creator>抗战馆财务部</dc:creator>
  <cp:lastModifiedBy>抗战馆财务部</cp:lastModifiedBy>
  <dcterms:modified xsi:type="dcterms:W3CDTF">2022-08-19T07:39:34Z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0E1BB938ABBB42728FB9B4486858347A</vt:lpwstr>
  </property>
</Properties>
</file>