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55ED" w:rsidRPr="00DD77ED" w:rsidRDefault="001B5565">
      <w:pPr>
        <w:spacing w:line="560" w:lineRule="exact"/>
        <w:jc w:val="center"/>
        <w:rPr>
          <w:rFonts w:asciiTheme="majorEastAsia" w:eastAsiaTheme="majorEastAsia" w:hAnsiTheme="majorEastAsia"/>
          <w:sz w:val="44"/>
          <w:szCs w:val="44"/>
        </w:rPr>
      </w:pPr>
      <w:bookmarkStart w:id="0" w:name="_Toc24612"/>
      <w:r w:rsidRPr="00DD77ED">
        <w:rPr>
          <w:rFonts w:asciiTheme="majorEastAsia" w:eastAsiaTheme="majorEastAsia" w:hAnsiTheme="majorEastAsia" w:hint="eastAsia"/>
          <w:sz w:val="44"/>
          <w:szCs w:val="44"/>
        </w:rPr>
        <w:t>北京市体育彩票管理中心市场营销费</w:t>
      </w:r>
      <w:bookmarkEnd w:id="0"/>
    </w:p>
    <w:p w:rsidR="005255ED" w:rsidRPr="00DD77ED" w:rsidRDefault="001B5565">
      <w:pPr>
        <w:spacing w:line="560" w:lineRule="exact"/>
        <w:jc w:val="center"/>
        <w:rPr>
          <w:rFonts w:asciiTheme="majorEastAsia" w:eastAsiaTheme="majorEastAsia" w:hAnsiTheme="majorEastAsia"/>
          <w:sz w:val="44"/>
          <w:szCs w:val="44"/>
        </w:rPr>
      </w:pPr>
      <w:bookmarkStart w:id="1" w:name="_Toc13516"/>
      <w:r w:rsidRPr="00DD77ED">
        <w:rPr>
          <w:rFonts w:asciiTheme="majorEastAsia" w:eastAsiaTheme="majorEastAsia" w:hAnsiTheme="majorEastAsia" w:hint="eastAsia"/>
          <w:sz w:val="44"/>
          <w:szCs w:val="44"/>
        </w:rPr>
        <w:t>项目支出绩效评价报告</w:t>
      </w:r>
      <w:bookmarkEnd w:id="1"/>
    </w:p>
    <w:p w:rsidR="005255ED" w:rsidRDefault="005255ED">
      <w:pPr>
        <w:jc w:val="center"/>
        <w:rPr>
          <w:rFonts w:ascii="仿宋_GB2312" w:eastAsia="仿宋_GB2312"/>
          <w:sz w:val="32"/>
          <w:szCs w:val="32"/>
        </w:rPr>
      </w:pPr>
    </w:p>
    <w:p w:rsidR="005255ED" w:rsidRDefault="001B5565">
      <w:pPr>
        <w:spacing w:line="600" w:lineRule="exact"/>
        <w:ind w:firstLineChars="200" w:firstLine="640"/>
        <w:outlineLvl w:val="0"/>
        <w:rPr>
          <w:rFonts w:ascii="黑体" w:eastAsia="黑体" w:hAnsi="黑体" w:cs="黑体"/>
          <w:sz w:val="32"/>
          <w:szCs w:val="32"/>
        </w:rPr>
      </w:pPr>
      <w:bookmarkStart w:id="2" w:name="_Toc103676867"/>
      <w:bookmarkStart w:id="3" w:name="_Toc103607497"/>
      <w:bookmarkStart w:id="4" w:name="_Toc103617243"/>
      <w:bookmarkStart w:id="5" w:name="_Toc23769"/>
      <w:bookmarkStart w:id="6" w:name="_Toc32763"/>
      <w:r>
        <w:rPr>
          <w:rFonts w:ascii="黑体" w:eastAsia="黑体" w:hAnsi="黑体" w:cs="黑体" w:hint="eastAsia"/>
          <w:sz w:val="32"/>
          <w:szCs w:val="32"/>
        </w:rPr>
        <w:t>一、基本情况</w:t>
      </w:r>
      <w:bookmarkEnd w:id="2"/>
      <w:bookmarkEnd w:id="3"/>
      <w:bookmarkEnd w:id="4"/>
      <w:bookmarkEnd w:id="5"/>
      <w:bookmarkEnd w:id="6"/>
    </w:p>
    <w:p w:rsidR="005255ED" w:rsidRDefault="001B5565">
      <w:pPr>
        <w:spacing w:line="600" w:lineRule="exact"/>
        <w:ind w:firstLineChars="200" w:firstLine="640"/>
        <w:outlineLvl w:val="1"/>
        <w:rPr>
          <w:rFonts w:ascii="楷体_GB2312" w:eastAsia="楷体_GB2312" w:hAnsi="楷体_GB2312" w:cs="楷体_GB2312"/>
          <w:sz w:val="32"/>
          <w:szCs w:val="32"/>
        </w:rPr>
      </w:pPr>
      <w:bookmarkStart w:id="7" w:name="_Toc25086"/>
      <w:bookmarkStart w:id="8" w:name="_Toc103676868"/>
      <w:bookmarkStart w:id="9" w:name="_Toc103617244"/>
      <w:bookmarkStart w:id="10" w:name="_Toc103607498"/>
      <w:bookmarkStart w:id="11" w:name="_Toc12588"/>
      <w:r>
        <w:rPr>
          <w:rFonts w:ascii="楷体_GB2312" w:eastAsia="楷体_GB2312" w:hAnsi="楷体_GB2312" w:cs="楷体_GB2312" w:hint="eastAsia"/>
          <w:sz w:val="32"/>
          <w:szCs w:val="32"/>
        </w:rPr>
        <w:t>（一）项目概况</w:t>
      </w:r>
      <w:bookmarkEnd w:id="7"/>
      <w:bookmarkEnd w:id="8"/>
      <w:bookmarkEnd w:id="9"/>
      <w:bookmarkEnd w:id="10"/>
      <w:bookmarkEnd w:id="11"/>
    </w:p>
    <w:p w:rsidR="005255ED" w:rsidRDefault="001B5565">
      <w:pPr>
        <w:spacing w:line="600" w:lineRule="exact"/>
        <w:ind w:firstLineChars="200" w:firstLine="602"/>
        <w:outlineLvl w:val="2"/>
        <w:rPr>
          <w:rFonts w:ascii="仿宋_GB2312" w:eastAsia="仿宋_GB2312"/>
          <w:b/>
          <w:bCs/>
          <w:sz w:val="30"/>
          <w:szCs w:val="22"/>
        </w:rPr>
      </w:pPr>
      <w:r>
        <w:rPr>
          <w:rFonts w:ascii="仿宋_GB2312" w:eastAsia="仿宋_GB2312" w:hint="eastAsia"/>
          <w:b/>
          <w:bCs/>
          <w:sz w:val="30"/>
          <w:szCs w:val="22"/>
        </w:rPr>
        <w:t>1.项目背景</w:t>
      </w:r>
    </w:p>
    <w:p w:rsidR="005255ED" w:rsidRDefault="001B5565">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为配合国家体育总局体育彩票管理中心2021年中国体育彩票品牌营销规划，促进北京地区中国体育彩票的品牌推广工作，传播“公益体彩 乐善人生”的品牌理念，提升中国体育彩票的“公益、健康、乐活、进取”的品牌形象，吸引更多北京市民关注中国体育彩票，使销售规模实现稳步增长，总体销售额确保位居全国中上游，人均销量继续处于全国领先水平，市场份额不低于55%，保持市场优势地位，设立市场营销费项目，以“十四五”体育彩票发展规划要求为基础，以习近平新时代中国特色社会主义思想为指导，深入贯彻党的十九大和十九届二中、三中、四中、五中全会精神，开展市场营销活动，吸纳更多的群体理性购买中国体育彩票，为国家公益事业和体育事业发展提供资金支持，活动针对目前主要的彩票品种,包括乐透游戏、竞猜游戏和即开游戏三大类。</w:t>
      </w:r>
    </w:p>
    <w:p w:rsidR="005255ED" w:rsidRDefault="001B5565">
      <w:pPr>
        <w:spacing w:line="600" w:lineRule="exact"/>
        <w:ind w:firstLineChars="200" w:firstLine="602"/>
        <w:outlineLvl w:val="2"/>
        <w:rPr>
          <w:rFonts w:ascii="仿宋_GB2312" w:eastAsia="仿宋_GB2312"/>
          <w:b/>
          <w:bCs/>
          <w:sz w:val="30"/>
          <w:szCs w:val="22"/>
        </w:rPr>
      </w:pPr>
      <w:r>
        <w:rPr>
          <w:rFonts w:ascii="仿宋_GB2312" w:eastAsia="仿宋_GB2312" w:hint="eastAsia"/>
          <w:b/>
          <w:bCs/>
          <w:sz w:val="30"/>
          <w:szCs w:val="22"/>
        </w:rPr>
        <w:t>2.主要内容及实施情况</w:t>
      </w:r>
    </w:p>
    <w:p w:rsidR="005255ED" w:rsidRDefault="001B5565">
      <w:pPr>
        <w:pStyle w:val="a0"/>
        <w:ind w:firstLineChars="200" w:firstLine="640"/>
        <w:rPr>
          <w:rFonts w:hAnsi="仿宋_GB2312" w:cs="仿宋_GB2312"/>
          <w:sz w:val="32"/>
          <w:szCs w:val="32"/>
        </w:rPr>
      </w:pPr>
      <w:r>
        <w:rPr>
          <w:rFonts w:hAnsi="仿宋_GB2312" w:cs="仿宋_GB2312" w:hint="eastAsia"/>
          <w:sz w:val="32"/>
          <w:szCs w:val="32"/>
        </w:rPr>
        <w:t>2021年主要对</w:t>
      </w:r>
      <w:proofErr w:type="gramStart"/>
      <w:r>
        <w:rPr>
          <w:rFonts w:hAnsi="仿宋_GB2312" w:cs="仿宋_GB2312" w:hint="eastAsia"/>
          <w:sz w:val="32"/>
          <w:szCs w:val="32"/>
        </w:rPr>
        <w:t>乐透型游戏</w:t>
      </w:r>
      <w:proofErr w:type="gramEnd"/>
      <w:r>
        <w:rPr>
          <w:rFonts w:hAnsi="仿宋_GB2312" w:cs="仿宋_GB2312" w:hint="eastAsia"/>
          <w:sz w:val="32"/>
          <w:szCs w:val="32"/>
        </w:rPr>
        <w:t>、竞猜型游戏和</w:t>
      </w:r>
      <w:proofErr w:type="gramStart"/>
      <w:r>
        <w:rPr>
          <w:rFonts w:hAnsi="仿宋_GB2312" w:cs="仿宋_GB2312" w:hint="eastAsia"/>
          <w:sz w:val="32"/>
          <w:szCs w:val="32"/>
        </w:rPr>
        <w:t>即</w:t>
      </w:r>
      <w:proofErr w:type="gramEnd"/>
      <w:r>
        <w:rPr>
          <w:rFonts w:hAnsi="仿宋_GB2312" w:cs="仿宋_GB2312" w:hint="eastAsia"/>
          <w:sz w:val="32"/>
          <w:szCs w:val="32"/>
        </w:rPr>
        <w:t>开型游戏开展营销活动，全年共举办各类营销活动9次，活动期间销售</w:t>
      </w:r>
      <w:r>
        <w:rPr>
          <w:rFonts w:hAnsi="仿宋_GB2312" w:cs="仿宋_GB2312" w:hint="eastAsia"/>
          <w:sz w:val="32"/>
          <w:szCs w:val="32"/>
        </w:rPr>
        <w:lastRenderedPageBreak/>
        <w:t>额48,767.34万元，</w:t>
      </w:r>
      <w:proofErr w:type="gramStart"/>
      <w:r>
        <w:rPr>
          <w:rFonts w:hAnsi="仿宋_GB2312" w:cs="仿宋_GB2312" w:hint="eastAsia"/>
          <w:sz w:val="32"/>
          <w:szCs w:val="32"/>
        </w:rPr>
        <w:t>拉新用户</w:t>
      </w:r>
      <w:proofErr w:type="gramEnd"/>
      <w:r>
        <w:rPr>
          <w:rFonts w:hAnsi="仿宋_GB2312" w:cs="仿宋_GB2312" w:hint="eastAsia"/>
          <w:sz w:val="32"/>
          <w:szCs w:val="32"/>
        </w:rPr>
        <w:t>41203人次，有效活跃了北京市体育彩票市场，带动体</w:t>
      </w:r>
      <w:proofErr w:type="gramStart"/>
      <w:r>
        <w:rPr>
          <w:rFonts w:hAnsi="仿宋_GB2312" w:cs="仿宋_GB2312" w:hint="eastAsia"/>
          <w:sz w:val="32"/>
          <w:szCs w:val="32"/>
        </w:rPr>
        <w:t>彩销售</w:t>
      </w:r>
      <w:proofErr w:type="gramEnd"/>
      <w:r>
        <w:rPr>
          <w:rFonts w:hAnsi="仿宋_GB2312" w:cs="仿宋_GB2312" w:hint="eastAsia"/>
          <w:sz w:val="32"/>
          <w:szCs w:val="32"/>
        </w:rPr>
        <w:t>稳步增长。</w:t>
      </w:r>
    </w:p>
    <w:p w:rsidR="005255ED" w:rsidRDefault="001B5565">
      <w:pPr>
        <w:spacing w:line="600" w:lineRule="exact"/>
        <w:ind w:firstLineChars="200" w:firstLine="643"/>
        <w:outlineLvl w:val="2"/>
        <w:rPr>
          <w:rFonts w:ascii="仿宋_GB2312" w:eastAsia="仿宋_GB2312"/>
          <w:b/>
          <w:bCs/>
          <w:sz w:val="32"/>
          <w:szCs w:val="32"/>
        </w:rPr>
      </w:pPr>
      <w:r>
        <w:rPr>
          <w:rFonts w:ascii="仿宋_GB2312" w:eastAsia="仿宋_GB2312" w:hint="eastAsia"/>
          <w:b/>
          <w:bCs/>
          <w:sz w:val="32"/>
          <w:szCs w:val="32"/>
        </w:rPr>
        <w:t>3.资金投入</w:t>
      </w:r>
    </w:p>
    <w:p w:rsidR="005255ED" w:rsidRDefault="001B5565">
      <w:pPr>
        <w:pStyle w:val="a0"/>
        <w:ind w:firstLineChars="200" w:firstLine="640"/>
        <w:rPr>
          <w:sz w:val="32"/>
          <w:szCs w:val="32"/>
        </w:rPr>
      </w:pPr>
      <w:r>
        <w:rPr>
          <w:rFonts w:hint="eastAsia"/>
          <w:sz w:val="32"/>
          <w:szCs w:val="32"/>
        </w:rPr>
        <w:t>2021年该项目年初预算申报及批复1440.80万元，年中调减预算10.91万元，全年预算1429.89万元，其中专家劳务费预算0.80万元、新渠道营销费预算40.00万元、竞猜型游戏营销费预算496.00万元、即开型游戏营销费预算396.00万元、</w:t>
      </w:r>
      <w:proofErr w:type="gramStart"/>
      <w:r>
        <w:rPr>
          <w:rFonts w:hint="eastAsia"/>
          <w:sz w:val="32"/>
          <w:szCs w:val="32"/>
        </w:rPr>
        <w:t>乐透型游戏</w:t>
      </w:r>
      <w:proofErr w:type="gramEnd"/>
      <w:r>
        <w:rPr>
          <w:rFonts w:hint="eastAsia"/>
          <w:sz w:val="32"/>
          <w:szCs w:val="32"/>
        </w:rPr>
        <w:t>营销预算497.09万元。</w:t>
      </w:r>
    </w:p>
    <w:p w:rsidR="005255ED" w:rsidRDefault="001B5565">
      <w:pPr>
        <w:spacing w:line="600" w:lineRule="exact"/>
        <w:ind w:firstLineChars="200" w:firstLine="643"/>
        <w:outlineLvl w:val="2"/>
        <w:rPr>
          <w:rFonts w:ascii="仿宋_GB2312" w:eastAsia="仿宋_GB2312"/>
          <w:b/>
          <w:bCs/>
          <w:sz w:val="32"/>
          <w:szCs w:val="32"/>
        </w:rPr>
      </w:pPr>
      <w:r>
        <w:rPr>
          <w:rFonts w:ascii="仿宋_GB2312" w:eastAsia="仿宋_GB2312" w:hint="eastAsia"/>
          <w:b/>
          <w:bCs/>
          <w:sz w:val="32"/>
          <w:szCs w:val="32"/>
        </w:rPr>
        <w:t>4.使用情况</w:t>
      </w:r>
    </w:p>
    <w:p w:rsidR="005255ED" w:rsidRDefault="001B5565">
      <w:pPr>
        <w:pStyle w:val="a0"/>
        <w:ind w:firstLineChars="200" w:firstLine="640"/>
        <w:rPr>
          <w:sz w:val="32"/>
          <w:szCs w:val="32"/>
        </w:rPr>
      </w:pPr>
      <w:r>
        <w:rPr>
          <w:rFonts w:hint="eastAsia"/>
          <w:sz w:val="32"/>
          <w:szCs w:val="32"/>
        </w:rPr>
        <w:t>2021年该项目共支出1429.84万元，预算执行率99.99%，其中专家劳务费支出0.76万元、新渠道营销费支出40.00万元、竞猜型游戏营销费支出496.00万元、即开型游戏营销费支出396.00万元、</w:t>
      </w:r>
      <w:proofErr w:type="gramStart"/>
      <w:r>
        <w:rPr>
          <w:rFonts w:hint="eastAsia"/>
          <w:sz w:val="32"/>
          <w:szCs w:val="32"/>
        </w:rPr>
        <w:t>乐透型游戏</w:t>
      </w:r>
      <w:proofErr w:type="gramEnd"/>
      <w:r>
        <w:rPr>
          <w:rFonts w:hint="eastAsia"/>
          <w:sz w:val="32"/>
          <w:szCs w:val="32"/>
        </w:rPr>
        <w:t>营销支出497.09万元，结余资金0.04万元已全部上缴财政。</w:t>
      </w:r>
    </w:p>
    <w:p w:rsidR="005255ED" w:rsidRDefault="001B5565">
      <w:pPr>
        <w:numPr>
          <w:ilvl w:val="0"/>
          <w:numId w:val="1"/>
        </w:numPr>
        <w:spacing w:line="600" w:lineRule="exact"/>
        <w:ind w:firstLineChars="200" w:firstLine="640"/>
        <w:outlineLvl w:val="1"/>
        <w:rPr>
          <w:rFonts w:ascii="楷体_GB2312" w:eastAsia="楷体_GB2312" w:hAnsi="楷体_GB2312" w:cs="楷体_GB2312"/>
          <w:sz w:val="32"/>
          <w:szCs w:val="32"/>
        </w:rPr>
      </w:pPr>
      <w:bookmarkStart w:id="12" w:name="_Toc2722"/>
      <w:bookmarkStart w:id="13" w:name="_Toc103676869"/>
      <w:bookmarkStart w:id="14" w:name="_Toc103607499"/>
      <w:bookmarkStart w:id="15" w:name="_Toc23244"/>
      <w:bookmarkStart w:id="16" w:name="_Toc103617245"/>
      <w:r>
        <w:rPr>
          <w:rFonts w:ascii="楷体_GB2312" w:eastAsia="楷体_GB2312" w:hAnsi="楷体_GB2312" w:cs="楷体_GB2312" w:hint="eastAsia"/>
          <w:sz w:val="32"/>
          <w:szCs w:val="32"/>
        </w:rPr>
        <w:t>项目绩效目标</w:t>
      </w:r>
      <w:bookmarkEnd w:id="12"/>
      <w:bookmarkEnd w:id="13"/>
      <w:bookmarkEnd w:id="14"/>
      <w:bookmarkEnd w:id="15"/>
      <w:bookmarkEnd w:id="16"/>
    </w:p>
    <w:p w:rsidR="005255ED" w:rsidRDefault="001B5565">
      <w:pPr>
        <w:pStyle w:val="a0"/>
        <w:ind w:firstLineChars="200" w:firstLine="643"/>
        <w:outlineLvl w:val="2"/>
        <w:rPr>
          <w:b/>
          <w:bCs/>
          <w:sz w:val="32"/>
          <w:szCs w:val="32"/>
        </w:rPr>
      </w:pPr>
      <w:r>
        <w:rPr>
          <w:rFonts w:hint="eastAsia"/>
          <w:b/>
          <w:bCs/>
          <w:sz w:val="32"/>
          <w:szCs w:val="32"/>
        </w:rPr>
        <w:t>1.总体目标</w:t>
      </w:r>
    </w:p>
    <w:p w:rsidR="005255ED" w:rsidRDefault="001B5565">
      <w:pPr>
        <w:pStyle w:val="a0"/>
        <w:ind w:firstLineChars="200" w:firstLine="640"/>
        <w:rPr>
          <w:sz w:val="32"/>
          <w:szCs w:val="32"/>
        </w:rPr>
      </w:pPr>
      <w:r>
        <w:rPr>
          <w:sz w:val="32"/>
          <w:szCs w:val="32"/>
        </w:rPr>
        <w:t>通过开展一系列市场营销活动，促进体育彩票销售，提升体育彩票品牌影响力，扩大彩民群体；配合总局中心为客户提供相关服务，提升中国体育彩票品牌知名度及美誉度，加强顾客对</w:t>
      </w:r>
      <w:proofErr w:type="gramStart"/>
      <w:r>
        <w:rPr>
          <w:sz w:val="32"/>
          <w:szCs w:val="32"/>
        </w:rPr>
        <w:t>体彩各游戏</w:t>
      </w:r>
      <w:proofErr w:type="gramEnd"/>
      <w:r>
        <w:rPr>
          <w:sz w:val="32"/>
          <w:szCs w:val="32"/>
        </w:rPr>
        <w:t>产品关注度及忠诚度，让公众深入感知体</w:t>
      </w:r>
      <w:proofErr w:type="gramStart"/>
      <w:r>
        <w:rPr>
          <w:sz w:val="32"/>
          <w:szCs w:val="32"/>
        </w:rPr>
        <w:t>彩品牌</w:t>
      </w:r>
      <w:proofErr w:type="gramEnd"/>
      <w:r>
        <w:rPr>
          <w:sz w:val="32"/>
          <w:szCs w:val="32"/>
        </w:rPr>
        <w:t>形象，引发对</w:t>
      </w:r>
      <w:proofErr w:type="gramStart"/>
      <w:r>
        <w:rPr>
          <w:sz w:val="32"/>
          <w:szCs w:val="32"/>
        </w:rPr>
        <w:t>体彩各产品</w:t>
      </w:r>
      <w:proofErr w:type="gramEnd"/>
      <w:r>
        <w:rPr>
          <w:sz w:val="32"/>
          <w:szCs w:val="32"/>
        </w:rPr>
        <w:t>消费兴趣，为支持体育及社会公益事业发展筹集更多的体彩公益金。</w:t>
      </w:r>
    </w:p>
    <w:p w:rsidR="005255ED" w:rsidRDefault="001B5565">
      <w:pPr>
        <w:pStyle w:val="a0"/>
        <w:ind w:firstLineChars="200" w:firstLine="643"/>
        <w:outlineLvl w:val="2"/>
        <w:rPr>
          <w:b/>
          <w:bCs/>
          <w:sz w:val="32"/>
          <w:szCs w:val="32"/>
        </w:rPr>
      </w:pPr>
      <w:r>
        <w:rPr>
          <w:rFonts w:hint="eastAsia"/>
          <w:b/>
          <w:bCs/>
          <w:sz w:val="32"/>
          <w:szCs w:val="32"/>
        </w:rPr>
        <w:lastRenderedPageBreak/>
        <w:t>2.阶段性目标</w:t>
      </w:r>
    </w:p>
    <w:p w:rsidR="005255ED" w:rsidRDefault="001B5565">
      <w:pPr>
        <w:adjustRightInd w:val="0"/>
        <w:snapToGrid w:val="0"/>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市场营销费项目设置了项目三级绩效指标，详见表1。</w:t>
      </w:r>
    </w:p>
    <w:p w:rsidR="005255ED" w:rsidRDefault="001B5565" w:rsidP="00DD77ED">
      <w:pPr>
        <w:pStyle w:val="a7"/>
        <w:snapToGrid w:val="0"/>
        <w:spacing w:beforeLines="50" w:before="156" w:after="0"/>
        <w:outlineLvl w:val="9"/>
        <w:rPr>
          <w:rFonts w:ascii="黑体" w:eastAsia="黑体" w:hAnsi="黑体" w:cs="黑体"/>
          <w:b w:val="0"/>
          <w:bCs/>
          <w:sz w:val="21"/>
          <w:szCs w:val="21"/>
        </w:rPr>
      </w:pPr>
      <w:bookmarkStart w:id="17" w:name="_Toc1537"/>
      <w:bookmarkStart w:id="18" w:name="_Toc9716"/>
      <w:r>
        <w:rPr>
          <w:rFonts w:ascii="黑体" w:eastAsia="黑体" w:hAnsi="黑体" w:cs="黑体" w:hint="eastAsia"/>
          <w:b w:val="0"/>
          <w:bCs/>
          <w:sz w:val="21"/>
          <w:szCs w:val="21"/>
        </w:rPr>
        <w:t>表1 市场营销费项目绩效指标</w:t>
      </w:r>
      <w:bookmarkEnd w:id="17"/>
      <w:bookmarkEnd w:id="18"/>
    </w:p>
    <w:tbl>
      <w:tblPr>
        <w:tblW w:w="8151" w:type="dxa"/>
        <w:jc w:val="center"/>
        <w:tblLook w:val="04A0" w:firstRow="1" w:lastRow="0" w:firstColumn="1" w:lastColumn="0" w:noHBand="0" w:noVBand="1"/>
      </w:tblPr>
      <w:tblGrid>
        <w:gridCol w:w="1302"/>
        <w:gridCol w:w="1268"/>
        <w:gridCol w:w="4146"/>
        <w:gridCol w:w="1435"/>
      </w:tblGrid>
      <w:tr w:rsidR="005255ED">
        <w:trPr>
          <w:trHeight w:val="567"/>
          <w:jc w:val="center"/>
        </w:trPr>
        <w:tc>
          <w:tcPr>
            <w:tcW w:w="130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5255ED" w:rsidRDefault="001B5565">
            <w:pPr>
              <w:widowControl/>
              <w:jc w:val="center"/>
              <w:textAlignment w:val="center"/>
              <w:rPr>
                <w:rFonts w:ascii="宋体" w:hAnsi="宋体" w:cs="宋体"/>
                <w:b/>
                <w:bCs/>
                <w:color w:val="000000"/>
                <w:kern w:val="0"/>
                <w:szCs w:val="21"/>
                <w:lang w:bidi="ar"/>
              </w:rPr>
            </w:pPr>
            <w:r>
              <w:rPr>
                <w:rFonts w:ascii="宋体" w:hAnsi="宋体" w:cs="宋体" w:hint="eastAsia"/>
                <w:b/>
                <w:bCs/>
                <w:color w:val="000000"/>
                <w:kern w:val="0"/>
                <w:szCs w:val="21"/>
                <w:lang w:bidi="ar"/>
              </w:rPr>
              <w:t>一级指标</w:t>
            </w:r>
          </w:p>
        </w:tc>
        <w:tc>
          <w:tcPr>
            <w:tcW w:w="126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5255ED" w:rsidRDefault="001B5565">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二级指标</w:t>
            </w:r>
          </w:p>
        </w:tc>
        <w:tc>
          <w:tcPr>
            <w:tcW w:w="414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5255ED" w:rsidRDefault="001B5565">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三级指标</w:t>
            </w:r>
          </w:p>
        </w:tc>
        <w:tc>
          <w:tcPr>
            <w:tcW w:w="143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noWrap/>
            <w:vAlign w:val="center"/>
          </w:tcPr>
          <w:p w:rsidR="005255ED" w:rsidRDefault="001B5565">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指标值</w:t>
            </w:r>
          </w:p>
        </w:tc>
      </w:tr>
      <w:tr w:rsidR="005255ED">
        <w:trPr>
          <w:trHeight w:val="567"/>
          <w:jc w:val="center"/>
        </w:trPr>
        <w:tc>
          <w:tcPr>
            <w:tcW w:w="1302" w:type="dxa"/>
            <w:vMerge w:val="restart"/>
            <w:tcBorders>
              <w:top w:val="single" w:sz="4" w:space="0" w:color="000000"/>
              <w:left w:val="single" w:sz="4" w:space="0" w:color="000000"/>
              <w:right w:val="single" w:sz="4" w:space="0" w:color="000000"/>
            </w:tcBorders>
            <w:shd w:val="clear" w:color="auto" w:fill="auto"/>
            <w:vAlign w:val="center"/>
          </w:tcPr>
          <w:p w:rsidR="005255ED" w:rsidRDefault="001B5565">
            <w:pPr>
              <w:widowControl/>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产出指标</w:t>
            </w: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55ED" w:rsidRDefault="001B5565">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产出数量</w:t>
            </w:r>
          </w:p>
        </w:tc>
        <w:tc>
          <w:tcPr>
            <w:tcW w:w="41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55ED" w:rsidRDefault="001B5565">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全年促销活动次数</w:t>
            </w:r>
          </w:p>
        </w:tc>
        <w:tc>
          <w:tcPr>
            <w:tcW w:w="1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255ED" w:rsidRDefault="001B5565">
            <w:pPr>
              <w:widowControl/>
              <w:jc w:val="left"/>
              <w:textAlignment w:val="center"/>
              <w:rPr>
                <w:rFonts w:ascii="宋体" w:hAnsi="宋体" w:cs="宋体"/>
                <w:color w:val="000000"/>
                <w:szCs w:val="21"/>
              </w:rPr>
            </w:pPr>
            <w:r>
              <w:rPr>
                <w:rFonts w:ascii="宋体" w:hAnsi="宋体" w:cs="宋体" w:hint="eastAsia"/>
                <w:color w:val="000000"/>
                <w:kern w:val="0"/>
                <w:szCs w:val="21"/>
                <w:lang w:bidi="ar"/>
              </w:rPr>
              <w:t>≥6次</w:t>
            </w:r>
          </w:p>
        </w:tc>
      </w:tr>
      <w:tr w:rsidR="005255ED">
        <w:trPr>
          <w:trHeight w:val="567"/>
          <w:jc w:val="center"/>
        </w:trPr>
        <w:tc>
          <w:tcPr>
            <w:tcW w:w="1302" w:type="dxa"/>
            <w:vMerge/>
            <w:tcBorders>
              <w:left w:val="single" w:sz="4" w:space="0" w:color="000000"/>
              <w:right w:val="single" w:sz="4" w:space="0" w:color="000000"/>
            </w:tcBorders>
            <w:shd w:val="clear" w:color="auto" w:fill="auto"/>
            <w:vAlign w:val="center"/>
          </w:tcPr>
          <w:p w:rsidR="005255ED" w:rsidRDefault="005255ED">
            <w:pPr>
              <w:widowControl/>
              <w:jc w:val="center"/>
              <w:textAlignment w:val="center"/>
              <w:rPr>
                <w:rFonts w:ascii="宋体" w:hAnsi="宋体" w:cs="宋体"/>
                <w:color w:val="000000"/>
                <w:kern w:val="0"/>
                <w:szCs w:val="21"/>
                <w:lang w:bidi="ar"/>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55ED" w:rsidRDefault="001B5565">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产出进度</w:t>
            </w:r>
          </w:p>
        </w:tc>
        <w:tc>
          <w:tcPr>
            <w:tcW w:w="41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55ED" w:rsidRDefault="001B5565">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全年执行</w:t>
            </w:r>
          </w:p>
        </w:tc>
        <w:tc>
          <w:tcPr>
            <w:tcW w:w="1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255ED" w:rsidRDefault="001B5565">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全年执行</w:t>
            </w:r>
          </w:p>
        </w:tc>
      </w:tr>
      <w:tr w:rsidR="005255ED">
        <w:trPr>
          <w:trHeight w:val="567"/>
          <w:jc w:val="center"/>
        </w:trPr>
        <w:tc>
          <w:tcPr>
            <w:tcW w:w="1302" w:type="dxa"/>
            <w:vMerge/>
            <w:tcBorders>
              <w:left w:val="single" w:sz="4" w:space="0" w:color="000000"/>
              <w:bottom w:val="single" w:sz="4" w:space="0" w:color="000000"/>
              <w:right w:val="single" w:sz="4" w:space="0" w:color="000000"/>
            </w:tcBorders>
            <w:shd w:val="clear" w:color="auto" w:fill="auto"/>
            <w:vAlign w:val="center"/>
          </w:tcPr>
          <w:p w:rsidR="005255ED" w:rsidRDefault="005255ED">
            <w:pPr>
              <w:widowControl/>
              <w:jc w:val="center"/>
              <w:textAlignment w:val="center"/>
              <w:rPr>
                <w:rFonts w:ascii="宋体" w:hAnsi="宋体" w:cs="宋体"/>
                <w:color w:val="000000"/>
                <w:kern w:val="0"/>
                <w:szCs w:val="21"/>
                <w:lang w:bidi="ar"/>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55ED" w:rsidRDefault="001B5565">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产出成本</w:t>
            </w:r>
          </w:p>
        </w:tc>
        <w:tc>
          <w:tcPr>
            <w:tcW w:w="41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55ED" w:rsidRDefault="001B5565">
            <w:pPr>
              <w:widowControl/>
              <w:jc w:val="left"/>
              <w:textAlignment w:val="center"/>
              <w:rPr>
                <w:rFonts w:ascii="宋体" w:hAnsi="宋体" w:cs="宋体"/>
                <w:color w:val="000000"/>
                <w:szCs w:val="21"/>
              </w:rPr>
            </w:pPr>
            <w:r>
              <w:rPr>
                <w:rFonts w:ascii="宋体" w:hAnsi="宋体" w:cs="宋体" w:hint="eastAsia"/>
                <w:color w:val="000000"/>
                <w:kern w:val="0"/>
                <w:szCs w:val="21"/>
                <w:lang w:bidi="ar"/>
              </w:rPr>
              <w:t>严格控制在预算范围之内</w:t>
            </w:r>
          </w:p>
        </w:tc>
        <w:tc>
          <w:tcPr>
            <w:tcW w:w="1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255ED" w:rsidRDefault="001B5565">
            <w:pPr>
              <w:widowControl/>
              <w:jc w:val="left"/>
              <w:textAlignment w:val="center"/>
              <w:rPr>
                <w:rFonts w:ascii="宋体" w:hAnsi="宋体" w:cs="宋体"/>
                <w:color w:val="000000"/>
                <w:szCs w:val="21"/>
              </w:rPr>
            </w:pPr>
            <w:r>
              <w:rPr>
                <w:rFonts w:ascii="宋体" w:hAnsi="宋体" w:cs="宋体" w:hint="eastAsia"/>
                <w:color w:val="000000"/>
                <w:kern w:val="0"/>
                <w:szCs w:val="21"/>
                <w:lang w:bidi="ar"/>
              </w:rPr>
              <w:t>控制在预算范围之内</w:t>
            </w:r>
          </w:p>
        </w:tc>
      </w:tr>
      <w:tr w:rsidR="005255ED">
        <w:trPr>
          <w:trHeight w:val="567"/>
          <w:jc w:val="center"/>
        </w:trPr>
        <w:tc>
          <w:tcPr>
            <w:tcW w:w="13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55ED" w:rsidRDefault="001B5565">
            <w:pPr>
              <w:widowControl/>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效益指标</w:t>
            </w: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55ED" w:rsidRDefault="001B5565">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社会效益</w:t>
            </w:r>
          </w:p>
        </w:tc>
        <w:tc>
          <w:tcPr>
            <w:tcW w:w="55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255ED" w:rsidRDefault="001B5565">
            <w:pPr>
              <w:widowControl/>
              <w:rPr>
                <w:rFonts w:ascii="宋体" w:hAnsi="宋体" w:cs="宋体"/>
                <w:color w:val="000000"/>
                <w:szCs w:val="21"/>
              </w:rPr>
            </w:pPr>
            <w:r>
              <w:rPr>
                <w:rFonts w:ascii="宋体" w:hAnsi="宋体" w:cs="宋体" w:hint="eastAsia"/>
                <w:color w:val="000000"/>
                <w:kern w:val="0"/>
                <w:szCs w:val="21"/>
                <w:lang w:bidi="ar"/>
              </w:rPr>
              <w:t>提升体育彩票品牌知名度，扩大彩民群体，增强彩民购彩的体验度，提高销量，促销期间所促销玩法同比销量增长达到10%以上</w:t>
            </w:r>
          </w:p>
        </w:tc>
      </w:tr>
      <w:tr w:rsidR="005255ED">
        <w:trPr>
          <w:trHeight w:val="567"/>
          <w:jc w:val="center"/>
        </w:trPr>
        <w:tc>
          <w:tcPr>
            <w:tcW w:w="1302" w:type="dxa"/>
            <w:vMerge w:val="restart"/>
            <w:tcBorders>
              <w:top w:val="single" w:sz="4" w:space="0" w:color="000000"/>
              <w:left w:val="single" w:sz="4" w:space="0" w:color="000000"/>
              <w:right w:val="single" w:sz="4" w:space="0" w:color="000000"/>
            </w:tcBorders>
            <w:shd w:val="clear" w:color="auto" w:fill="auto"/>
            <w:vAlign w:val="center"/>
          </w:tcPr>
          <w:p w:rsidR="005255ED" w:rsidRDefault="001B5565">
            <w:pPr>
              <w:widowControl/>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满意度指标</w:t>
            </w:r>
          </w:p>
        </w:tc>
        <w:tc>
          <w:tcPr>
            <w:tcW w:w="126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255ED" w:rsidRDefault="001B5565">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服务对象满意度</w:t>
            </w:r>
          </w:p>
        </w:tc>
        <w:tc>
          <w:tcPr>
            <w:tcW w:w="41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55ED" w:rsidRDefault="001B5565">
            <w:pPr>
              <w:widowControl/>
              <w:jc w:val="left"/>
              <w:textAlignment w:val="center"/>
              <w:rPr>
                <w:rFonts w:ascii="宋体" w:hAnsi="宋体" w:cs="宋体"/>
                <w:color w:val="000000"/>
                <w:szCs w:val="21"/>
              </w:rPr>
            </w:pPr>
            <w:r>
              <w:rPr>
                <w:rFonts w:ascii="宋体" w:hAnsi="宋体" w:cs="宋体" w:hint="eastAsia"/>
                <w:color w:val="000000"/>
                <w:kern w:val="0"/>
                <w:szCs w:val="21"/>
                <w:lang w:bidi="ar"/>
              </w:rPr>
              <w:t>网点满意度</w:t>
            </w:r>
          </w:p>
        </w:tc>
        <w:tc>
          <w:tcPr>
            <w:tcW w:w="1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255ED" w:rsidRDefault="001B5565">
            <w:pPr>
              <w:widowControl/>
              <w:jc w:val="left"/>
              <w:textAlignment w:val="center"/>
              <w:rPr>
                <w:rFonts w:ascii="宋体" w:hAnsi="宋体" w:cs="宋体"/>
                <w:color w:val="000000"/>
                <w:szCs w:val="21"/>
              </w:rPr>
            </w:pPr>
            <w:r>
              <w:rPr>
                <w:rFonts w:ascii="宋体" w:hAnsi="宋体" w:cs="宋体" w:hint="eastAsia"/>
                <w:color w:val="000000"/>
                <w:kern w:val="0"/>
                <w:szCs w:val="21"/>
                <w:lang w:bidi="ar"/>
              </w:rPr>
              <w:t>≥80%</w:t>
            </w:r>
          </w:p>
        </w:tc>
      </w:tr>
      <w:tr w:rsidR="005255ED">
        <w:trPr>
          <w:trHeight w:val="567"/>
          <w:jc w:val="center"/>
        </w:trPr>
        <w:tc>
          <w:tcPr>
            <w:tcW w:w="1302" w:type="dxa"/>
            <w:vMerge/>
            <w:tcBorders>
              <w:left w:val="single" w:sz="4" w:space="0" w:color="000000"/>
              <w:bottom w:val="single" w:sz="4" w:space="0" w:color="000000"/>
              <w:right w:val="single" w:sz="4" w:space="0" w:color="000000"/>
            </w:tcBorders>
            <w:shd w:val="clear" w:color="auto" w:fill="auto"/>
            <w:vAlign w:val="center"/>
          </w:tcPr>
          <w:p w:rsidR="005255ED" w:rsidRDefault="005255ED">
            <w:pPr>
              <w:widowControl/>
              <w:jc w:val="center"/>
              <w:rPr>
                <w:rFonts w:ascii="宋体" w:hAnsi="宋体" w:cs="宋体"/>
                <w:b/>
                <w:bCs/>
                <w:color w:val="000000"/>
                <w:szCs w:val="21"/>
              </w:rPr>
            </w:pPr>
          </w:p>
        </w:tc>
        <w:tc>
          <w:tcPr>
            <w:tcW w:w="12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255ED" w:rsidRDefault="005255ED">
            <w:pPr>
              <w:widowControl/>
              <w:jc w:val="center"/>
              <w:rPr>
                <w:rFonts w:ascii="宋体" w:hAnsi="宋体" w:cs="宋体"/>
                <w:b/>
                <w:bCs/>
                <w:color w:val="000000"/>
                <w:szCs w:val="21"/>
              </w:rPr>
            </w:pPr>
          </w:p>
        </w:tc>
        <w:tc>
          <w:tcPr>
            <w:tcW w:w="41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55ED" w:rsidRDefault="001B5565">
            <w:pPr>
              <w:widowControl/>
              <w:jc w:val="left"/>
              <w:textAlignment w:val="center"/>
              <w:rPr>
                <w:rFonts w:ascii="宋体" w:hAnsi="宋体" w:cs="宋体"/>
                <w:color w:val="000000"/>
                <w:szCs w:val="21"/>
              </w:rPr>
            </w:pPr>
            <w:r>
              <w:rPr>
                <w:rFonts w:ascii="宋体" w:hAnsi="宋体" w:cs="宋体" w:hint="eastAsia"/>
                <w:color w:val="000000"/>
                <w:kern w:val="0"/>
                <w:szCs w:val="21"/>
                <w:lang w:bidi="ar"/>
              </w:rPr>
              <w:t>购彩者满意度</w:t>
            </w:r>
          </w:p>
        </w:tc>
        <w:tc>
          <w:tcPr>
            <w:tcW w:w="1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255ED" w:rsidRDefault="001B5565">
            <w:pPr>
              <w:widowControl/>
              <w:jc w:val="left"/>
              <w:textAlignment w:val="center"/>
              <w:rPr>
                <w:rFonts w:ascii="宋体" w:hAnsi="宋体" w:cs="宋体"/>
                <w:color w:val="000000"/>
                <w:szCs w:val="21"/>
              </w:rPr>
            </w:pPr>
            <w:r>
              <w:rPr>
                <w:rFonts w:ascii="宋体" w:hAnsi="宋体" w:cs="宋体" w:hint="eastAsia"/>
                <w:color w:val="000000"/>
                <w:kern w:val="0"/>
                <w:szCs w:val="21"/>
                <w:lang w:bidi="ar"/>
              </w:rPr>
              <w:t>≥80%</w:t>
            </w:r>
          </w:p>
        </w:tc>
      </w:tr>
    </w:tbl>
    <w:p w:rsidR="005255ED" w:rsidRDefault="001B5565">
      <w:pPr>
        <w:spacing w:line="600" w:lineRule="exact"/>
        <w:ind w:firstLineChars="200" w:firstLine="640"/>
        <w:outlineLvl w:val="0"/>
        <w:rPr>
          <w:rFonts w:ascii="黑体" w:eastAsia="黑体" w:hAnsi="黑体" w:cs="黑体"/>
          <w:sz w:val="32"/>
          <w:szCs w:val="32"/>
        </w:rPr>
      </w:pPr>
      <w:bookmarkStart w:id="19" w:name="_Toc7155"/>
      <w:bookmarkStart w:id="20" w:name="_Toc103607500"/>
      <w:bookmarkStart w:id="21" w:name="_Toc103617246"/>
      <w:bookmarkStart w:id="22" w:name="_Toc11544"/>
      <w:bookmarkStart w:id="23" w:name="_Toc103676870"/>
      <w:r>
        <w:rPr>
          <w:rFonts w:ascii="黑体" w:eastAsia="黑体" w:hAnsi="黑体" w:cs="黑体" w:hint="eastAsia"/>
          <w:sz w:val="32"/>
          <w:szCs w:val="32"/>
        </w:rPr>
        <w:t>二、绩效评价工作开展情况</w:t>
      </w:r>
      <w:bookmarkEnd w:id="19"/>
      <w:bookmarkEnd w:id="20"/>
      <w:bookmarkEnd w:id="21"/>
      <w:bookmarkEnd w:id="22"/>
      <w:bookmarkEnd w:id="23"/>
    </w:p>
    <w:p w:rsidR="005255ED" w:rsidRDefault="001B5565">
      <w:pPr>
        <w:spacing w:line="600" w:lineRule="exact"/>
        <w:ind w:firstLineChars="200" w:firstLine="640"/>
        <w:outlineLvl w:val="1"/>
        <w:rPr>
          <w:rFonts w:ascii="楷体_GB2312" w:eastAsia="楷体_GB2312" w:hAnsi="楷体_GB2312" w:cs="楷体_GB2312"/>
          <w:sz w:val="32"/>
          <w:szCs w:val="32"/>
        </w:rPr>
      </w:pPr>
      <w:bookmarkStart w:id="24" w:name="_Toc103617247"/>
      <w:bookmarkStart w:id="25" w:name="_Toc2821"/>
      <w:bookmarkStart w:id="26" w:name="_Toc103607501"/>
      <w:bookmarkStart w:id="27" w:name="_Toc103676871"/>
      <w:bookmarkStart w:id="28" w:name="_Toc6881"/>
      <w:r>
        <w:rPr>
          <w:rFonts w:ascii="楷体_GB2312" w:eastAsia="楷体_GB2312" w:hAnsi="楷体_GB2312" w:cs="楷体_GB2312" w:hint="eastAsia"/>
          <w:sz w:val="32"/>
          <w:szCs w:val="32"/>
        </w:rPr>
        <w:t>（一）绩效评价目的、对象和范围</w:t>
      </w:r>
      <w:bookmarkEnd w:id="24"/>
      <w:bookmarkEnd w:id="25"/>
      <w:bookmarkEnd w:id="26"/>
      <w:bookmarkEnd w:id="27"/>
      <w:bookmarkEnd w:id="28"/>
    </w:p>
    <w:p w:rsidR="005255ED" w:rsidRDefault="001B5565">
      <w:pPr>
        <w:pStyle w:val="a0"/>
        <w:ind w:firstLineChars="200" w:firstLine="643"/>
        <w:outlineLvl w:val="2"/>
        <w:rPr>
          <w:b/>
          <w:bCs/>
          <w:sz w:val="32"/>
          <w:szCs w:val="32"/>
        </w:rPr>
      </w:pPr>
      <w:bookmarkStart w:id="29" w:name="_Toc103607502"/>
      <w:r>
        <w:rPr>
          <w:rFonts w:hint="eastAsia"/>
          <w:b/>
          <w:bCs/>
          <w:sz w:val="32"/>
          <w:szCs w:val="32"/>
        </w:rPr>
        <w:t>1.评价目的</w:t>
      </w:r>
      <w:bookmarkEnd w:id="29"/>
    </w:p>
    <w:p w:rsidR="005255ED" w:rsidRDefault="001B5565">
      <w:pPr>
        <w:pStyle w:val="a7"/>
        <w:spacing w:before="0" w:after="0"/>
        <w:ind w:firstLineChars="200" w:firstLine="640"/>
        <w:jc w:val="both"/>
        <w:outlineLvl w:val="9"/>
        <w:rPr>
          <w:rFonts w:ascii="仿宋_GB2312" w:eastAsia="仿宋_GB2312" w:hAnsi="Times New Roman"/>
          <w:b w:val="0"/>
          <w:szCs w:val="32"/>
        </w:rPr>
      </w:pPr>
      <w:bookmarkStart w:id="30" w:name="_Toc20680"/>
      <w:bookmarkStart w:id="31" w:name="_Toc4047"/>
      <w:r>
        <w:rPr>
          <w:rFonts w:ascii="仿宋_GB2312" w:eastAsia="仿宋_GB2312" w:hAnsi="Times New Roman" w:hint="eastAsia"/>
          <w:b w:val="0"/>
          <w:szCs w:val="32"/>
        </w:rPr>
        <w:t>通过对项目经济性、效率性和效果性的分析，梳理总结项目决策、项目管理和项目绩效中存在的问题，为项目单位改进工作提供建议和依据，提高科学决策水平，促进项目单位树立以结果为导向的绩效管理理念，规范项目管理，保障财政资金使用的规范性、安全性。</w:t>
      </w:r>
      <w:bookmarkEnd w:id="30"/>
      <w:bookmarkEnd w:id="31"/>
    </w:p>
    <w:p w:rsidR="005255ED" w:rsidRDefault="001B5565">
      <w:pPr>
        <w:pStyle w:val="a0"/>
        <w:ind w:firstLineChars="200" w:firstLine="643"/>
        <w:outlineLvl w:val="2"/>
        <w:rPr>
          <w:b/>
          <w:bCs/>
          <w:sz w:val="32"/>
          <w:szCs w:val="32"/>
        </w:rPr>
      </w:pPr>
      <w:bookmarkStart w:id="32" w:name="_Toc103607503"/>
      <w:r>
        <w:rPr>
          <w:rFonts w:hint="eastAsia"/>
          <w:b/>
          <w:bCs/>
          <w:sz w:val="32"/>
          <w:szCs w:val="32"/>
        </w:rPr>
        <w:t>2.评价对象和范围</w:t>
      </w:r>
      <w:bookmarkEnd w:id="32"/>
    </w:p>
    <w:p w:rsidR="005255ED" w:rsidRDefault="001B5565">
      <w:pPr>
        <w:pStyle w:val="a7"/>
        <w:spacing w:before="0" w:after="0"/>
        <w:ind w:firstLineChars="200" w:firstLine="640"/>
        <w:jc w:val="both"/>
        <w:outlineLvl w:val="9"/>
        <w:rPr>
          <w:rFonts w:ascii="仿宋_GB2312" w:eastAsia="仿宋_GB2312" w:hAnsi="仿宋_GB2312" w:cs="仿宋_GB2312"/>
          <w:b w:val="0"/>
          <w:bCs/>
          <w:szCs w:val="32"/>
        </w:rPr>
      </w:pPr>
      <w:bookmarkStart w:id="33" w:name="_Toc30719"/>
      <w:bookmarkStart w:id="34" w:name="_Toc31709"/>
      <w:r>
        <w:rPr>
          <w:rFonts w:ascii="仿宋_GB2312" w:eastAsia="仿宋_GB2312" w:hAnsi="仿宋_GB2312" w:cs="仿宋_GB2312" w:hint="eastAsia"/>
          <w:b w:val="0"/>
          <w:bCs/>
          <w:szCs w:val="32"/>
        </w:rPr>
        <w:t>评价对象为北京市体育彩票管理中心2021年市场营销费项目；评价范围为市场营销费项目决策、过程、产出、效益四个维</w:t>
      </w:r>
      <w:proofErr w:type="gramStart"/>
      <w:r>
        <w:rPr>
          <w:rFonts w:ascii="仿宋_GB2312" w:eastAsia="仿宋_GB2312" w:hAnsi="仿宋_GB2312" w:cs="仿宋_GB2312" w:hint="eastAsia"/>
          <w:b w:val="0"/>
          <w:bCs/>
          <w:szCs w:val="32"/>
        </w:rPr>
        <w:t>度相关</w:t>
      </w:r>
      <w:proofErr w:type="gramEnd"/>
      <w:r>
        <w:rPr>
          <w:rFonts w:ascii="仿宋_GB2312" w:eastAsia="仿宋_GB2312" w:hAnsi="仿宋_GB2312" w:cs="仿宋_GB2312" w:hint="eastAsia"/>
          <w:b w:val="0"/>
          <w:bCs/>
          <w:szCs w:val="32"/>
        </w:rPr>
        <w:t>的项目资料，以纸质资料为主要评价依据。</w:t>
      </w:r>
      <w:bookmarkEnd w:id="33"/>
      <w:bookmarkEnd w:id="34"/>
    </w:p>
    <w:p w:rsidR="005255ED" w:rsidRDefault="001B5565">
      <w:pPr>
        <w:spacing w:line="600" w:lineRule="exact"/>
        <w:ind w:firstLineChars="200" w:firstLine="640"/>
        <w:outlineLvl w:val="1"/>
        <w:rPr>
          <w:rFonts w:ascii="楷体_GB2312" w:eastAsia="楷体_GB2312" w:hAnsi="楷体_GB2312" w:cs="楷体_GB2312"/>
          <w:sz w:val="32"/>
          <w:szCs w:val="32"/>
        </w:rPr>
      </w:pPr>
      <w:bookmarkStart w:id="35" w:name="_Toc103607504"/>
      <w:bookmarkStart w:id="36" w:name="_Toc14111"/>
      <w:bookmarkStart w:id="37" w:name="_Toc103617248"/>
      <w:bookmarkStart w:id="38" w:name="_Toc5003"/>
      <w:bookmarkStart w:id="39" w:name="_Toc103676872"/>
      <w:r>
        <w:rPr>
          <w:rFonts w:ascii="楷体_GB2312" w:eastAsia="楷体_GB2312" w:hAnsi="楷体_GB2312" w:cs="楷体_GB2312" w:hint="eastAsia"/>
          <w:sz w:val="32"/>
          <w:szCs w:val="32"/>
        </w:rPr>
        <w:lastRenderedPageBreak/>
        <w:t>（二）绩效评价原则、评价指标体系、评价方法、评价标准等</w:t>
      </w:r>
      <w:bookmarkEnd w:id="35"/>
      <w:bookmarkEnd w:id="36"/>
      <w:bookmarkEnd w:id="37"/>
      <w:bookmarkEnd w:id="38"/>
      <w:bookmarkEnd w:id="39"/>
    </w:p>
    <w:p w:rsidR="005255ED" w:rsidRDefault="001B5565">
      <w:pPr>
        <w:pStyle w:val="a0"/>
        <w:ind w:firstLineChars="200" w:firstLine="643"/>
        <w:outlineLvl w:val="2"/>
        <w:rPr>
          <w:b/>
          <w:bCs/>
          <w:sz w:val="32"/>
          <w:szCs w:val="32"/>
        </w:rPr>
      </w:pPr>
      <w:bookmarkStart w:id="40" w:name="_Toc103607505"/>
      <w:r>
        <w:rPr>
          <w:rFonts w:hint="eastAsia"/>
          <w:b/>
          <w:bCs/>
          <w:sz w:val="32"/>
          <w:szCs w:val="32"/>
        </w:rPr>
        <w:t>1.评价原则及方法</w:t>
      </w:r>
      <w:bookmarkEnd w:id="40"/>
    </w:p>
    <w:p w:rsidR="005255ED" w:rsidRDefault="001B5565">
      <w:pPr>
        <w:spacing w:line="360" w:lineRule="auto"/>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评价工作遵循“客观、公正、科学、规范”的原则，综合采用统计分析、因素分析、成本效益分析、对比分析等方法，对反映项目决策、管理、绩效等内容的资料和数据进行分析，梳理项目问题并分析成因，根据专家评议结果形成评价结论并提出建设性意见。</w:t>
      </w:r>
    </w:p>
    <w:p w:rsidR="005255ED" w:rsidRDefault="001B5565">
      <w:pPr>
        <w:pStyle w:val="a0"/>
        <w:ind w:firstLineChars="200" w:firstLine="643"/>
        <w:outlineLvl w:val="2"/>
        <w:rPr>
          <w:b/>
          <w:bCs/>
          <w:sz w:val="32"/>
          <w:szCs w:val="32"/>
        </w:rPr>
      </w:pPr>
      <w:bookmarkStart w:id="41" w:name="_Toc103607506"/>
      <w:r>
        <w:rPr>
          <w:rFonts w:hint="eastAsia"/>
          <w:b/>
          <w:bCs/>
          <w:sz w:val="32"/>
          <w:szCs w:val="32"/>
        </w:rPr>
        <w:t>2.评价指标体系</w:t>
      </w:r>
      <w:bookmarkEnd w:id="41"/>
    </w:p>
    <w:p w:rsidR="005255ED" w:rsidRDefault="001B5565">
      <w:pPr>
        <w:spacing w:line="360" w:lineRule="auto"/>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评价工作组根据北京市财政支出项目绩效评价体系框架，围绕决策、过程、产出和效益四个维度分解制定“市场营销费”项目绩效评价指标体系，并根据指标的重要性与相关性确定权重，参考历史数据及绩效评价等级要求确定评分标准。评价指标体系包括一级指标4个，二级指标10个，三级指标18个。</w:t>
      </w:r>
    </w:p>
    <w:p w:rsidR="005255ED" w:rsidRDefault="001B5565">
      <w:pPr>
        <w:spacing w:line="600" w:lineRule="exact"/>
        <w:ind w:firstLineChars="200" w:firstLine="640"/>
        <w:outlineLvl w:val="1"/>
        <w:rPr>
          <w:rFonts w:ascii="楷体_GB2312" w:eastAsia="楷体_GB2312" w:hAnsi="楷体_GB2312" w:cs="楷体_GB2312"/>
          <w:sz w:val="32"/>
          <w:szCs w:val="32"/>
        </w:rPr>
      </w:pPr>
      <w:bookmarkStart w:id="42" w:name="_Toc31493"/>
      <w:bookmarkStart w:id="43" w:name="_Toc2435"/>
      <w:bookmarkStart w:id="44" w:name="_Toc103617249"/>
      <w:bookmarkStart w:id="45" w:name="_Toc103607507"/>
      <w:bookmarkStart w:id="46" w:name="_Toc103676873"/>
      <w:r>
        <w:rPr>
          <w:rFonts w:ascii="楷体_GB2312" w:eastAsia="楷体_GB2312" w:hAnsi="楷体_GB2312" w:cs="楷体_GB2312" w:hint="eastAsia"/>
          <w:sz w:val="32"/>
          <w:szCs w:val="32"/>
        </w:rPr>
        <w:t>（三）绩效评价工作过程</w:t>
      </w:r>
      <w:bookmarkEnd w:id="42"/>
      <w:bookmarkEnd w:id="43"/>
      <w:bookmarkEnd w:id="44"/>
      <w:bookmarkEnd w:id="45"/>
      <w:bookmarkEnd w:id="46"/>
    </w:p>
    <w:p w:rsidR="005255ED" w:rsidRDefault="001B5565">
      <w:pPr>
        <w:pStyle w:val="a0"/>
        <w:ind w:firstLineChars="200" w:firstLine="643"/>
        <w:outlineLvl w:val="2"/>
        <w:rPr>
          <w:b/>
          <w:bCs/>
          <w:sz w:val="32"/>
          <w:szCs w:val="32"/>
        </w:rPr>
      </w:pPr>
      <w:bookmarkStart w:id="47" w:name="_Toc103607508"/>
      <w:r>
        <w:rPr>
          <w:rFonts w:hint="eastAsia"/>
          <w:b/>
          <w:bCs/>
          <w:sz w:val="32"/>
          <w:szCs w:val="32"/>
        </w:rPr>
        <w:t>1.前期准备情况</w:t>
      </w:r>
      <w:bookmarkEnd w:id="47"/>
    </w:p>
    <w:p w:rsidR="005255ED" w:rsidRDefault="001B5565">
      <w:pPr>
        <w:spacing w:line="360" w:lineRule="auto"/>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参与评价机构组建评价工作组并进行内部培训，邀请绩效管理专家作为全程专家，对评价工作进行全过程跟踪，与项目单位建立沟通协调工作机制并进行针对性培训。</w:t>
      </w:r>
    </w:p>
    <w:p w:rsidR="005255ED" w:rsidRDefault="001B5565">
      <w:pPr>
        <w:pStyle w:val="a0"/>
        <w:ind w:firstLineChars="200" w:firstLine="643"/>
        <w:outlineLvl w:val="2"/>
        <w:rPr>
          <w:b/>
          <w:bCs/>
          <w:sz w:val="32"/>
          <w:szCs w:val="32"/>
        </w:rPr>
      </w:pPr>
      <w:bookmarkStart w:id="48" w:name="_Toc103607509"/>
      <w:r>
        <w:rPr>
          <w:rFonts w:hint="eastAsia"/>
          <w:b/>
          <w:bCs/>
          <w:sz w:val="32"/>
          <w:szCs w:val="32"/>
        </w:rPr>
        <w:t>2.资料信息汇总</w:t>
      </w:r>
      <w:bookmarkEnd w:id="48"/>
    </w:p>
    <w:p w:rsidR="005255ED" w:rsidRDefault="001B5565">
      <w:pPr>
        <w:spacing w:line="360" w:lineRule="auto"/>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根据绩效评价要求收集相应资料，围绕项目决策、项目</w:t>
      </w:r>
      <w:r>
        <w:rPr>
          <w:rFonts w:ascii="仿宋_GB2312" w:eastAsia="仿宋_GB2312" w:hAnsi="仿宋_GB2312" w:cs="仿宋_GB2312" w:hint="eastAsia"/>
          <w:bCs/>
          <w:sz w:val="32"/>
          <w:szCs w:val="32"/>
        </w:rPr>
        <w:lastRenderedPageBreak/>
        <w:t>管理和项目绩效进行资料梳理，通过现场与非现场结合的方式对资料真实性进行审核，对存疑情况与项目单位进行沟通确认。</w:t>
      </w:r>
    </w:p>
    <w:p w:rsidR="005255ED" w:rsidRDefault="001B5565">
      <w:pPr>
        <w:pStyle w:val="a0"/>
        <w:ind w:firstLineChars="200" w:firstLine="643"/>
        <w:outlineLvl w:val="2"/>
        <w:rPr>
          <w:b/>
          <w:bCs/>
          <w:sz w:val="32"/>
          <w:szCs w:val="32"/>
        </w:rPr>
      </w:pPr>
      <w:bookmarkStart w:id="49" w:name="_Toc103607510"/>
      <w:r>
        <w:rPr>
          <w:rFonts w:hint="eastAsia"/>
          <w:b/>
          <w:bCs/>
          <w:sz w:val="32"/>
          <w:szCs w:val="32"/>
        </w:rPr>
        <w:t>3.评价分析</w:t>
      </w:r>
      <w:bookmarkEnd w:id="49"/>
    </w:p>
    <w:p w:rsidR="005255ED" w:rsidRDefault="001B5565">
      <w:pPr>
        <w:spacing w:line="360" w:lineRule="auto"/>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评价工作组综合采用统计分析、因素分析、成本效益分析、对比分析等方法，围绕项目决策、过程、产出和效益进行初步分析，梳理项目存在问题。</w:t>
      </w:r>
    </w:p>
    <w:p w:rsidR="005255ED" w:rsidRDefault="001B5565">
      <w:pPr>
        <w:pStyle w:val="a0"/>
        <w:ind w:firstLineChars="200" w:firstLine="643"/>
        <w:outlineLvl w:val="2"/>
        <w:rPr>
          <w:b/>
          <w:bCs/>
          <w:sz w:val="32"/>
          <w:szCs w:val="32"/>
        </w:rPr>
      </w:pPr>
      <w:bookmarkStart w:id="50" w:name="_Toc103607511"/>
      <w:r>
        <w:rPr>
          <w:rFonts w:hint="eastAsia"/>
          <w:b/>
          <w:bCs/>
          <w:sz w:val="32"/>
          <w:szCs w:val="32"/>
        </w:rPr>
        <w:t>4.专家评议</w:t>
      </w:r>
      <w:bookmarkEnd w:id="50"/>
    </w:p>
    <w:p w:rsidR="005255ED" w:rsidRDefault="001B5565">
      <w:pPr>
        <w:spacing w:line="360" w:lineRule="auto"/>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评价工作组组织召开专家评价会，根据项目实际情况，细化调整评价指标体系，明确指标权重和评分标准，与项目单位进行现场沟通，形成绩效评价结论。</w:t>
      </w:r>
    </w:p>
    <w:p w:rsidR="005255ED" w:rsidRDefault="001B5565">
      <w:pPr>
        <w:pStyle w:val="a0"/>
        <w:ind w:firstLineChars="200" w:firstLine="643"/>
        <w:outlineLvl w:val="2"/>
        <w:rPr>
          <w:b/>
          <w:bCs/>
          <w:sz w:val="32"/>
          <w:szCs w:val="32"/>
        </w:rPr>
      </w:pPr>
      <w:bookmarkStart w:id="51" w:name="_Toc103607512"/>
      <w:r>
        <w:rPr>
          <w:rFonts w:hint="eastAsia"/>
          <w:b/>
          <w:bCs/>
          <w:sz w:val="32"/>
          <w:szCs w:val="32"/>
        </w:rPr>
        <w:t>5.出具报告</w:t>
      </w:r>
      <w:bookmarkEnd w:id="51"/>
    </w:p>
    <w:p w:rsidR="005255ED" w:rsidRDefault="001B5565">
      <w:pPr>
        <w:spacing w:line="360" w:lineRule="auto"/>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评价工作组结合工作组审核结果和专家评价意见，对项目决策、管理和绩效情况进行综合分析，形成绩效评价报告。</w:t>
      </w:r>
    </w:p>
    <w:p w:rsidR="005255ED" w:rsidRDefault="001B5565">
      <w:pPr>
        <w:spacing w:line="600" w:lineRule="exact"/>
        <w:ind w:firstLineChars="200" w:firstLine="640"/>
        <w:outlineLvl w:val="0"/>
        <w:rPr>
          <w:rFonts w:ascii="黑体" w:eastAsia="黑体" w:hAnsi="黑体" w:cs="黑体"/>
          <w:sz w:val="32"/>
          <w:szCs w:val="32"/>
        </w:rPr>
      </w:pPr>
      <w:bookmarkStart w:id="52" w:name="_Toc12931"/>
      <w:bookmarkStart w:id="53" w:name="_Toc103676874"/>
      <w:bookmarkStart w:id="54" w:name="_Toc103617250"/>
      <w:bookmarkStart w:id="55" w:name="_Toc103607513"/>
      <w:bookmarkStart w:id="56" w:name="_Toc6453"/>
      <w:r>
        <w:rPr>
          <w:rFonts w:ascii="黑体" w:eastAsia="黑体" w:hAnsi="黑体" w:cs="黑体" w:hint="eastAsia"/>
          <w:sz w:val="32"/>
          <w:szCs w:val="32"/>
        </w:rPr>
        <w:t>三、综合评价情况及评价结论</w:t>
      </w:r>
      <w:bookmarkEnd w:id="52"/>
      <w:bookmarkEnd w:id="53"/>
      <w:bookmarkEnd w:id="54"/>
      <w:bookmarkEnd w:id="55"/>
      <w:bookmarkEnd w:id="56"/>
    </w:p>
    <w:p w:rsidR="005255ED" w:rsidRDefault="001B5565">
      <w:pPr>
        <w:spacing w:line="360" w:lineRule="auto"/>
        <w:ind w:firstLineChars="200" w:firstLine="643"/>
        <w:rPr>
          <w:rFonts w:ascii="仿宋_GB2312" w:eastAsia="仿宋_GB2312" w:hAnsi="仿宋_GB2312" w:cs="仿宋_GB2312"/>
          <w:bCs/>
          <w:kern w:val="0"/>
          <w:sz w:val="32"/>
          <w:szCs w:val="32"/>
          <w:lang w:bidi="ar"/>
        </w:rPr>
      </w:pPr>
      <w:r>
        <w:rPr>
          <w:rFonts w:ascii="仿宋_GB2312" w:eastAsia="仿宋_GB2312" w:hAnsi="仿宋_GB2312" w:cs="仿宋_GB2312" w:hint="eastAsia"/>
          <w:b/>
          <w:sz w:val="32"/>
          <w:szCs w:val="32"/>
          <w:lang w:bidi="ar"/>
        </w:rPr>
        <w:t>绩效评价得分为83.3分，评价等级为“良好”。</w:t>
      </w:r>
      <w:r>
        <w:rPr>
          <w:rFonts w:ascii="仿宋_GB2312" w:eastAsia="仿宋_GB2312" w:hAnsi="仿宋_GB2312" w:cs="仿宋_GB2312" w:hint="eastAsia"/>
          <w:bCs/>
          <w:kern w:val="0"/>
          <w:sz w:val="32"/>
          <w:szCs w:val="32"/>
          <w:lang w:bidi="ar"/>
        </w:rPr>
        <w:t>项目立项依据充分、程序规范，资金到位及时，业务财务管理制度完整，2</w:t>
      </w:r>
      <w:r>
        <w:rPr>
          <w:rFonts w:ascii="仿宋_GB2312" w:eastAsia="仿宋_GB2312" w:hAnsi="仿宋_GB2312" w:cs="仿宋_GB2312"/>
          <w:bCs/>
          <w:kern w:val="0"/>
          <w:sz w:val="32"/>
          <w:szCs w:val="32"/>
          <w:lang w:bidi="ar"/>
        </w:rPr>
        <w:t>021</w:t>
      </w:r>
      <w:r>
        <w:rPr>
          <w:rFonts w:ascii="仿宋_GB2312" w:eastAsia="仿宋_GB2312" w:hAnsi="仿宋_GB2312" w:cs="仿宋_GB2312" w:hint="eastAsia"/>
          <w:bCs/>
          <w:kern w:val="0"/>
          <w:sz w:val="32"/>
          <w:szCs w:val="32"/>
          <w:lang w:bidi="ar"/>
        </w:rPr>
        <w:t>年超额完成营销活动，活动期间即开型、竞猜型、</w:t>
      </w:r>
      <w:proofErr w:type="gramStart"/>
      <w:r>
        <w:rPr>
          <w:rFonts w:ascii="仿宋_GB2312" w:eastAsia="仿宋_GB2312" w:hAnsi="仿宋_GB2312" w:cs="仿宋_GB2312" w:hint="eastAsia"/>
          <w:bCs/>
          <w:kern w:val="0"/>
          <w:sz w:val="32"/>
          <w:szCs w:val="32"/>
          <w:lang w:bidi="ar"/>
        </w:rPr>
        <w:t>乐透型游戏</w:t>
      </w:r>
      <w:proofErr w:type="gramEnd"/>
      <w:r>
        <w:rPr>
          <w:rFonts w:ascii="仿宋_GB2312" w:eastAsia="仿宋_GB2312" w:hAnsi="仿宋_GB2312" w:cs="仿宋_GB2312" w:hint="eastAsia"/>
          <w:bCs/>
          <w:kern w:val="0"/>
          <w:sz w:val="32"/>
          <w:szCs w:val="32"/>
          <w:lang w:bidi="ar"/>
        </w:rPr>
        <w:t>日均销售量较2020年提升，达到预期效益效果。但评价发现本项目部分绩效指标设定不够完善，预算编制科学性不足，反映项目绩效的佐证性资料收集不够全面，满意度调查工作不够到位。一级指标得分情况见表2。</w:t>
      </w:r>
    </w:p>
    <w:p w:rsidR="005255ED" w:rsidRDefault="001B5565">
      <w:pPr>
        <w:pStyle w:val="2"/>
        <w:spacing w:after="0" w:line="240" w:lineRule="auto"/>
        <w:ind w:leftChars="0" w:left="0"/>
        <w:jc w:val="center"/>
        <w:rPr>
          <w:rFonts w:ascii="黑体" w:eastAsia="黑体" w:hAnsi="黑体" w:cs="黑体"/>
          <w:bCs/>
          <w:szCs w:val="21"/>
        </w:rPr>
      </w:pPr>
      <w:r>
        <w:rPr>
          <w:rFonts w:ascii="黑体" w:eastAsia="黑体" w:hAnsi="黑体" w:cs="黑体" w:hint="eastAsia"/>
          <w:bCs/>
          <w:szCs w:val="21"/>
        </w:rPr>
        <w:lastRenderedPageBreak/>
        <w:t>表2 市场营销费项目绩效评价结论一览表</w:t>
      </w:r>
    </w:p>
    <w:tbl>
      <w:tblPr>
        <w:tblW w:w="7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57" w:type="dxa"/>
          <w:right w:w="57" w:type="dxa"/>
        </w:tblCellMar>
        <w:tblLook w:val="04A0" w:firstRow="1" w:lastRow="0" w:firstColumn="1" w:lastColumn="0" w:noHBand="0" w:noVBand="1"/>
      </w:tblPr>
      <w:tblGrid>
        <w:gridCol w:w="2250"/>
        <w:gridCol w:w="1800"/>
        <w:gridCol w:w="1566"/>
        <w:gridCol w:w="1566"/>
      </w:tblGrid>
      <w:tr w:rsidR="005255ED">
        <w:trPr>
          <w:cantSplit/>
          <w:trHeight w:val="442"/>
          <w:tblHeader/>
          <w:jc w:val="center"/>
        </w:trPr>
        <w:tc>
          <w:tcPr>
            <w:tcW w:w="2250" w:type="dxa"/>
            <w:shd w:val="clear" w:color="auto" w:fill="BFBFBF" w:themeFill="background1" w:themeFillShade="BF"/>
            <w:vAlign w:val="center"/>
          </w:tcPr>
          <w:p w:rsidR="005255ED" w:rsidRDefault="001B5565">
            <w:pPr>
              <w:adjustRightInd w:val="0"/>
              <w:snapToGrid w:val="0"/>
              <w:spacing w:before="120" w:after="60" w:line="300" w:lineRule="auto"/>
              <w:jc w:val="center"/>
              <w:rPr>
                <w:rFonts w:ascii="宋体" w:hAnsi="宋体" w:cs="宋体"/>
                <w:b/>
                <w:szCs w:val="21"/>
              </w:rPr>
            </w:pPr>
            <w:r>
              <w:rPr>
                <w:rFonts w:ascii="宋体" w:hAnsi="宋体" w:cs="宋体" w:hint="eastAsia"/>
                <w:b/>
                <w:szCs w:val="21"/>
              </w:rPr>
              <w:t>评价内容</w:t>
            </w:r>
          </w:p>
        </w:tc>
        <w:tc>
          <w:tcPr>
            <w:tcW w:w="1800" w:type="dxa"/>
            <w:shd w:val="clear" w:color="auto" w:fill="BFBFBF" w:themeFill="background1" w:themeFillShade="BF"/>
            <w:vAlign w:val="center"/>
          </w:tcPr>
          <w:p w:rsidR="005255ED" w:rsidRDefault="001B5565">
            <w:pPr>
              <w:adjustRightInd w:val="0"/>
              <w:snapToGrid w:val="0"/>
              <w:spacing w:before="120" w:after="60" w:line="300" w:lineRule="auto"/>
              <w:jc w:val="center"/>
              <w:rPr>
                <w:rFonts w:ascii="宋体" w:hAnsi="宋体" w:cs="宋体"/>
                <w:b/>
                <w:szCs w:val="21"/>
              </w:rPr>
            </w:pPr>
            <w:r>
              <w:rPr>
                <w:rFonts w:ascii="宋体" w:hAnsi="宋体" w:cs="宋体" w:hint="eastAsia"/>
                <w:b/>
                <w:szCs w:val="21"/>
              </w:rPr>
              <w:t>分值</w:t>
            </w:r>
          </w:p>
        </w:tc>
        <w:tc>
          <w:tcPr>
            <w:tcW w:w="1566" w:type="dxa"/>
            <w:shd w:val="clear" w:color="auto" w:fill="BFBFBF" w:themeFill="background1" w:themeFillShade="BF"/>
            <w:vAlign w:val="center"/>
          </w:tcPr>
          <w:p w:rsidR="005255ED" w:rsidRDefault="001B5565">
            <w:pPr>
              <w:adjustRightInd w:val="0"/>
              <w:snapToGrid w:val="0"/>
              <w:spacing w:before="120" w:after="60" w:line="300" w:lineRule="auto"/>
              <w:jc w:val="center"/>
              <w:rPr>
                <w:rFonts w:ascii="宋体" w:hAnsi="宋体" w:cs="宋体"/>
                <w:b/>
                <w:szCs w:val="21"/>
              </w:rPr>
            </w:pPr>
            <w:r>
              <w:rPr>
                <w:rFonts w:ascii="宋体" w:hAnsi="宋体" w:cs="宋体" w:hint="eastAsia"/>
                <w:b/>
                <w:szCs w:val="21"/>
              </w:rPr>
              <w:t>评价得分</w:t>
            </w:r>
          </w:p>
        </w:tc>
        <w:tc>
          <w:tcPr>
            <w:tcW w:w="1566" w:type="dxa"/>
            <w:shd w:val="clear" w:color="auto" w:fill="BFBFBF" w:themeFill="background1" w:themeFillShade="BF"/>
            <w:vAlign w:val="center"/>
          </w:tcPr>
          <w:p w:rsidR="005255ED" w:rsidRDefault="001B5565">
            <w:pPr>
              <w:adjustRightInd w:val="0"/>
              <w:snapToGrid w:val="0"/>
              <w:spacing w:before="120" w:after="60" w:line="300" w:lineRule="auto"/>
              <w:jc w:val="center"/>
              <w:rPr>
                <w:rFonts w:ascii="宋体" w:hAnsi="宋体" w:cs="宋体"/>
                <w:b/>
                <w:szCs w:val="21"/>
              </w:rPr>
            </w:pPr>
            <w:r>
              <w:rPr>
                <w:rFonts w:ascii="宋体" w:hAnsi="宋体" w:cs="宋体" w:hint="eastAsia"/>
                <w:b/>
                <w:szCs w:val="21"/>
              </w:rPr>
              <w:t>得分占比</w:t>
            </w:r>
          </w:p>
        </w:tc>
      </w:tr>
      <w:tr w:rsidR="005255ED">
        <w:trPr>
          <w:cantSplit/>
          <w:trHeight w:val="532"/>
          <w:jc w:val="center"/>
        </w:trPr>
        <w:tc>
          <w:tcPr>
            <w:tcW w:w="2250" w:type="dxa"/>
            <w:shd w:val="clear" w:color="auto" w:fill="FFFFFF"/>
            <w:vAlign w:val="center"/>
          </w:tcPr>
          <w:p w:rsidR="005255ED" w:rsidRDefault="001B5565">
            <w:pPr>
              <w:pStyle w:val="a4"/>
              <w:adjustRightInd w:val="0"/>
              <w:snapToGrid w:val="0"/>
              <w:spacing w:before="120" w:after="60" w:line="300" w:lineRule="auto"/>
              <w:ind w:firstLine="0"/>
              <w:jc w:val="center"/>
              <w:rPr>
                <w:rFonts w:ascii="宋体" w:hAnsi="宋体" w:cs="宋体"/>
                <w:bCs/>
                <w:szCs w:val="21"/>
              </w:rPr>
            </w:pPr>
            <w:r>
              <w:rPr>
                <w:rFonts w:ascii="宋体" w:hAnsi="宋体" w:cs="宋体" w:hint="eastAsia"/>
                <w:bCs/>
                <w:szCs w:val="21"/>
              </w:rPr>
              <w:t>决策</w:t>
            </w:r>
          </w:p>
        </w:tc>
        <w:tc>
          <w:tcPr>
            <w:tcW w:w="1800" w:type="dxa"/>
            <w:shd w:val="clear" w:color="auto" w:fill="FFFFFF"/>
            <w:vAlign w:val="center"/>
          </w:tcPr>
          <w:p w:rsidR="005255ED" w:rsidRDefault="001B5565">
            <w:pPr>
              <w:adjustRightInd w:val="0"/>
              <w:snapToGrid w:val="0"/>
              <w:jc w:val="center"/>
              <w:rPr>
                <w:rFonts w:ascii="宋体" w:hAnsi="宋体" w:cs="宋体"/>
                <w:bCs/>
                <w:szCs w:val="21"/>
              </w:rPr>
            </w:pPr>
            <w:r>
              <w:rPr>
                <w:rFonts w:ascii="宋体" w:hAnsi="宋体" w:cs="宋体" w:hint="eastAsia"/>
                <w:bCs/>
                <w:szCs w:val="21"/>
              </w:rPr>
              <w:t>20.00</w:t>
            </w:r>
          </w:p>
        </w:tc>
        <w:tc>
          <w:tcPr>
            <w:tcW w:w="1566" w:type="dxa"/>
            <w:shd w:val="clear" w:color="auto" w:fill="FFFFFF"/>
            <w:vAlign w:val="center"/>
          </w:tcPr>
          <w:p w:rsidR="005255ED" w:rsidRDefault="001B5565">
            <w:pPr>
              <w:adjustRightInd w:val="0"/>
              <w:snapToGrid w:val="0"/>
              <w:jc w:val="center"/>
              <w:rPr>
                <w:rFonts w:ascii="宋体" w:hAnsi="宋体" w:cs="宋体"/>
                <w:bCs/>
                <w:szCs w:val="21"/>
              </w:rPr>
            </w:pPr>
            <w:r>
              <w:rPr>
                <w:rFonts w:ascii="宋体" w:hAnsi="宋体" w:cs="宋体" w:hint="eastAsia"/>
                <w:bCs/>
                <w:szCs w:val="21"/>
              </w:rPr>
              <w:t>15.9</w:t>
            </w:r>
          </w:p>
        </w:tc>
        <w:tc>
          <w:tcPr>
            <w:tcW w:w="1566" w:type="dxa"/>
            <w:shd w:val="clear" w:color="auto" w:fill="FFFFFF"/>
            <w:vAlign w:val="center"/>
          </w:tcPr>
          <w:p w:rsidR="005255ED" w:rsidRDefault="001B5565">
            <w:pPr>
              <w:adjustRightInd w:val="0"/>
              <w:snapToGrid w:val="0"/>
              <w:jc w:val="center"/>
              <w:rPr>
                <w:rFonts w:ascii="宋体" w:hAnsi="宋体" w:cs="宋体"/>
                <w:bCs/>
                <w:szCs w:val="21"/>
              </w:rPr>
            </w:pPr>
            <w:r>
              <w:rPr>
                <w:rFonts w:ascii="宋体" w:hAnsi="宋体" w:cs="宋体" w:hint="eastAsia"/>
                <w:bCs/>
                <w:szCs w:val="21"/>
              </w:rPr>
              <w:t>79.6%</w:t>
            </w:r>
          </w:p>
        </w:tc>
      </w:tr>
      <w:tr w:rsidR="005255ED">
        <w:trPr>
          <w:cantSplit/>
          <w:trHeight w:val="532"/>
          <w:jc w:val="center"/>
        </w:trPr>
        <w:tc>
          <w:tcPr>
            <w:tcW w:w="2250" w:type="dxa"/>
            <w:shd w:val="clear" w:color="auto" w:fill="FFFFFF"/>
            <w:vAlign w:val="center"/>
          </w:tcPr>
          <w:p w:rsidR="005255ED" w:rsidRDefault="001B5565">
            <w:pPr>
              <w:adjustRightInd w:val="0"/>
              <w:snapToGrid w:val="0"/>
              <w:spacing w:before="120" w:after="60" w:line="300" w:lineRule="auto"/>
              <w:jc w:val="center"/>
              <w:rPr>
                <w:rFonts w:ascii="宋体" w:hAnsi="宋体" w:cs="宋体"/>
                <w:bCs/>
                <w:szCs w:val="21"/>
              </w:rPr>
            </w:pPr>
            <w:r>
              <w:rPr>
                <w:rFonts w:ascii="宋体" w:hAnsi="宋体" w:cs="宋体" w:hint="eastAsia"/>
                <w:bCs/>
                <w:szCs w:val="21"/>
              </w:rPr>
              <w:t>过程</w:t>
            </w:r>
          </w:p>
        </w:tc>
        <w:tc>
          <w:tcPr>
            <w:tcW w:w="1800" w:type="dxa"/>
            <w:shd w:val="clear" w:color="auto" w:fill="FFFFFF"/>
            <w:vAlign w:val="center"/>
          </w:tcPr>
          <w:p w:rsidR="005255ED" w:rsidRDefault="001B5565">
            <w:pPr>
              <w:adjustRightInd w:val="0"/>
              <w:snapToGrid w:val="0"/>
              <w:jc w:val="center"/>
              <w:rPr>
                <w:rFonts w:ascii="宋体" w:hAnsi="宋体" w:cs="宋体"/>
                <w:bCs/>
                <w:szCs w:val="21"/>
              </w:rPr>
            </w:pPr>
            <w:r>
              <w:rPr>
                <w:rFonts w:ascii="宋体" w:hAnsi="宋体" w:cs="宋体" w:hint="eastAsia"/>
                <w:bCs/>
                <w:szCs w:val="21"/>
              </w:rPr>
              <w:t>20.00</w:t>
            </w:r>
          </w:p>
        </w:tc>
        <w:tc>
          <w:tcPr>
            <w:tcW w:w="1566" w:type="dxa"/>
            <w:shd w:val="clear" w:color="auto" w:fill="FFFFFF"/>
            <w:vAlign w:val="center"/>
          </w:tcPr>
          <w:p w:rsidR="005255ED" w:rsidRDefault="001B5565">
            <w:pPr>
              <w:adjustRightInd w:val="0"/>
              <w:snapToGrid w:val="0"/>
              <w:jc w:val="center"/>
              <w:rPr>
                <w:rFonts w:ascii="宋体" w:hAnsi="宋体" w:cs="宋体"/>
                <w:bCs/>
                <w:szCs w:val="21"/>
              </w:rPr>
            </w:pPr>
            <w:r>
              <w:rPr>
                <w:rFonts w:ascii="宋体" w:hAnsi="宋体" w:cs="宋体" w:hint="eastAsia"/>
                <w:bCs/>
                <w:szCs w:val="21"/>
              </w:rPr>
              <w:t>16.9</w:t>
            </w:r>
          </w:p>
        </w:tc>
        <w:tc>
          <w:tcPr>
            <w:tcW w:w="1566" w:type="dxa"/>
            <w:shd w:val="clear" w:color="auto" w:fill="FFFFFF"/>
            <w:vAlign w:val="center"/>
          </w:tcPr>
          <w:p w:rsidR="005255ED" w:rsidRDefault="001B5565">
            <w:pPr>
              <w:adjustRightInd w:val="0"/>
              <w:snapToGrid w:val="0"/>
              <w:jc w:val="center"/>
              <w:rPr>
                <w:rFonts w:ascii="宋体" w:hAnsi="宋体" w:cs="宋体"/>
                <w:bCs/>
                <w:szCs w:val="21"/>
              </w:rPr>
            </w:pPr>
            <w:r>
              <w:rPr>
                <w:rFonts w:ascii="宋体" w:hAnsi="宋体" w:cs="宋体" w:hint="eastAsia"/>
                <w:bCs/>
                <w:szCs w:val="21"/>
              </w:rPr>
              <w:t>84.5%</w:t>
            </w:r>
          </w:p>
        </w:tc>
      </w:tr>
      <w:tr w:rsidR="005255ED">
        <w:trPr>
          <w:cantSplit/>
          <w:trHeight w:val="532"/>
          <w:jc w:val="center"/>
        </w:trPr>
        <w:tc>
          <w:tcPr>
            <w:tcW w:w="2250" w:type="dxa"/>
            <w:shd w:val="clear" w:color="auto" w:fill="FFFFFF"/>
            <w:vAlign w:val="center"/>
          </w:tcPr>
          <w:p w:rsidR="005255ED" w:rsidRDefault="001B5565">
            <w:pPr>
              <w:adjustRightInd w:val="0"/>
              <w:snapToGrid w:val="0"/>
              <w:spacing w:before="120" w:after="60" w:line="300" w:lineRule="auto"/>
              <w:jc w:val="center"/>
              <w:rPr>
                <w:rFonts w:ascii="宋体" w:hAnsi="宋体" w:cs="宋体"/>
                <w:bCs/>
                <w:szCs w:val="21"/>
              </w:rPr>
            </w:pPr>
            <w:r>
              <w:rPr>
                <w:rFonts w:ascii="宋体" w:hAnsi="宋体" w:cs="宋体" w:hint="eastAsia"/>
                <w:bCs/>
                <w:szCs w:val="21"/>
              </w:rPr>
              <w:t>产出</w:t>
            </w:r>
          </w:p>
        </w:tc>
        <w:tc>
          <w:tcPr>
            <w:tcW w:w="1800" w:type="dxa"/>
            <w:shd w:val="clear" w:color="auto" w:fill="FFFFFF"/>
            <w:vAlign w:val="center"/>
          </w:tcPr>
          <w:p w:rsidR="005255ED" w:rsidRDefault="001B5565">
            <w:pPr>
              <w:adjustRightInd w:val="0"/>
              <w:snapToGrid w:val="0"/>
              <w:jc w:val="center"/>
              <w:rPr>
                <w:rFonts w:ascii="宋体" w:hAnsi="宋体" w:cs="宋体"/>
                <w:bCs/>
                <w:szCs w:val="21"/>
              </w:rPr>
            </w:pPr>
            <w:r>
              <w:rPr>
                <w:rFonts w:ascii="宋体" w:hAnsi="宋体" w:cs="宋体"/>
                <w:bCs/>
                <w:szCs w:val="21"/>
              </w:rPr>
              <w:t>3</w:t>
            </w:r>
            <w:r>
              <w:rPr>
                <w:rFonts w:ascii="宋体" w:hAnsi="宋体" w:cs="宋体" w:hint="eastAsia"/>
                <w:bCs/>
                <w:szCs w:val="21"/>
              </w:rPr>
              <w:t>0.00</w:t>
            </w:r>
          </w:p>
        </w:tc>
        <w:tc>
          <w:tcPr>
            <w:tcW w:w="1566" w:type="dxa"/>
            <w:shd w:val="clear" w:color="auto" w:fill="FFFFFF"/>
            <w:vAlign w:val="center"/>
          </w:tcPr>
          <w:p w:rsidR="005255ED" w:rsidRDefault="001B5565">
            <w:pPr>
              <w:adjustRightInd w:val="0"/>
              <w:snapToGrid w:val="0"/>
              <w:jc w:val="center"/>
              <w:rPr>
                <w:rFonts w:ascii="宋体" w:hAnsi="宋体" w:cs="宋体"/>
                <w:bCs/>
                <w:szCs w:val="21"/>
              </w:rPr>
            </w:pPr>
            <w:r>
              <w:rPr>
                <w:rFonts w:ascii="宋体" w:hAnsi="宋体" w:cs="宋体" w:hint="eastAsia"/>
                <w:bCs/>
                <w:szCs w:val="21"/>
              </w:rPr>
              <w:t>26.0</w:t>
            </w:r>
          </w:p>
        </w:tc>
        <w:tc>
          <w:tcPr>
            <w:tcW w:w="1566" w:type="dxa"/>
            <w:shd w:val="clear" w:color="auto" w:fill="FFFFFF"/>
            <w:vAlign w:val="center"/>
          </w:tcPr>
          <w:p w:rsidR="005255ED" w:rsidRDefault="001B5565">
            <w:pPr>
              <w:adjustRightInd w:val="0"/>
              <w:snapToGrid w:val="0"/>
              <w:jc w:val="center"/>
              <w:rPr>
                <w:rFonts w:ascii="宋体" w:hAnsi="宋体" w:cs="宋体"/>
                <w:bCs/>
                <w:szCs w:val="21"/>
              </w:rPr>
            </w:pPr>
            <w:r>
              <w:rPr>
                <w:rFonts w:ascii="宋体" w:hAnsi="宋体" w:cs="宋体" w:hint="eastAsia"/>
                <w:bCs/>
                <w:szCs w:val="21"/>
              </w:rPr>
              <w:t>86.7%</w:t>
            </w:r>
          </w:p>
        </w:tc>
      </w:tr>
      <w:tr w:rsidR="005255ED">
        <w:trPr>
          <w:cantSplit/>
          <w:trHeight w:val="532"/>
          <w:jc w:val="center"/>
        </w:trPr>
        <w:tc>
          <w:tcPr>
            <w:tcW w:w="2250" w:type="dxa"/>
            <w:shd w:val="clear" w:color="auto" w:fill="FFFFFF"/>
            <w:vAlign w:val="center"/>
          </w:tcPr>
          <w:p w:rsidR="005255ED" w:rsidRDefault="001B5565">
            <w:pPr>
              <w:adjustRightInd w:val="0"/>
              <w:snapToGrid w:val="0"/>
              <w:spacing w:before="120" w:after="60" w:line="300" w:lineRule="auto"/>
              <w:jc w:val="center"/>
              <w:rPr>
                <w:rFonts w:ascii="宋体" w:hAnsi="宋体" w:cs="宋体"/>
                <w:bCs/>
                <w:szCs w:val="21"/>
              </w:rPr>
            </w:pPr>
            <w:r>
              <w:rPr>
                <w:rFonts w:ascii="宋体" w:hAnsi="宋体" w:cs="宋体" w:hint="eastAsia"/>
                <w:bCs/>
                <w:szCs w:val="21"/>
              </w:rPr>
              <w:t>效益</w:t>
            </w:r>
          </w:p>
        </w:tc>
        <w:tc>
          <w:tcPr>
            <w:tcW w:w="1800" w:type="dxa"/>
            <w:shd w:val="clear" w:color="auto" w:fill="FFFFFF"/>
            <w:vAlign w:val="center"/>
          </w:tcPr>
          <w:p w:rsidR="005255ED" w:rsidRDefault="001B5565">
            <w:pPr>
              <w:adjustRightInd w:val="0"/>
              <w:snapToGrid w:val="0"/>
              <w:jc w:val="center"/>
              <w:rPr>
                <w:rFonts w:ascii="宋体" w:hAnsi="宋体" w:cs="宋体"/>
                <w:bCs/>
                <w:szCs w:val="21"/>
              </w:rPr>
            </w:pPr>
            <w:r>
              <w:rPr>
                <w:rFonts w:ascii="宋体" w:hAnsi="宋体" w:cs="宋体" w:hint="eastAsia"/>
                <w:bCs/>
                <w:szCs w:val="21"/>
              </w:rPr>
              <w:t>30.00</w:t>
            </w:r>
          </w:p>
        </w:tc>
        <w:tc>
          <w:tcPr>
            <w:tcW w:w="1566" w:type="dxa"/>
            <w:shd w:val="clear" w:color="auto" w:fill="FFFFFF"/>
            <w:vAlign w:val="center"/>
          </w:tcPr>
          <w:p w:rsidR="005255ED" w:rsidRDefault="001B5565">
            <w:pPr>
              <w:adjustRightInd w:val="0"/>
              <w:snapToGrid w:val="0"/>
              <w:jc w:val="center"/>
              <w:rPr>
                <w:rFonts w:ascii="宋体" w:hAnsi="宋体" w:cs="宋体"/>
                <w:bCs/>
                <w:szCs w:val="21"/>
              </w:rPr>
            </w:pPr>
            <w:r>
              <w:rPr>
                <w:rFonts w:ascii="宋体" w:hAnsi="宋体" w:cs="宋体" w:hint="eastAsia"/>
                <w:bCs/>
                <w:szCs w:val="21"/>
              </w:rPr>
              <w:t>24.5</w:t>
            </w:r>
          </w:p>
        </w:tc>
        <w:tc>
          <w:tcPr>
            <w:tcW w:w="1566" w:type="dxa"/>
            <w:shd w:val="clear" w:color="auto" w:fill="FFFFFF"/>
            <w:vAlign w:val="center"/>
          </w:tcPr>
          <w:p w:rsidR="005255ED" w:rsidRDefault="001B5565">
            <w:pPr>
              <w:adjustRightInd w:val="0"/>
              <w:snapToGrid w:val="0"/>
              <w:jc w:val="center"/>
              <w:rPr>
                <w:rFonts w:ascii="宋体" w:hAnsi="宋体" w:cs="宋体"/>
                <w:bCs/>
                <w:szCs w:val="21"/>
              </w:rPr>
            </w:pPr>
            <w:r>
              <w:rPr>
                <w:rFonts w:ascii="宋体" w:hAnsi="宋体" w:cs="宋体" w:hint="eastAsia"/>
                <w:bCs/>
                <w:szCs w:val="21"/>
              </w:rPr>
              <w:t>81.7%</w:t>
            </w:r>
          </w:p>
        </w:tc>
      </w:tr>
      <w:tr w:rsidR="005255ED">
        <w:trPr>
          <w:cantSplit/>
          <w:trHeight w:val="530"/>
          <w:jc w:val="center"/>
        </w:trPr>
        <w:tc>
          <w:tcPr>
            <w:tcW w:w="2250" w:type="dxa"/>
            <w:shd w:val="clear" w:color="auto" w:fill="FFFFFF"/>
            <w:vAlign w:val="center"/>
          </w:tcPr>
          <w:p w:rsidR="005255ED" w:rsidRDefault="001B5565">
            <w:pPr>
              <w:adjustRightInd w:val="0"/>
              <w:snapToGrid w:val="0"/>
              <w:spacing w:before="120" w:after="60" w:line="300" w:lineRule="auto"/>
              <w:jc w:val="center"/>
              <w:rPr>
                <w:rFonts w:ascii="宋体" w:hAnsi="宋体" w:cs="宋体"/>
                <w:b/>
                <w:szCs w:val="21"/>
              </w:rPr>
            </w:pPr>
            <w:r>
              <w:rPr>
                <w:rFonts w:ascii="宋体" w:hAnsi="宋体" w:cs="宋体" w:hint="eastAsia"/>
                <w:b/>
                <w:szCs w:val="21"/>
              </w:rPr>
              <w:t>综合得分</w:t>
            </w:r>
          </w:p>
        </w:tc>
        <w:tc>
          <w:tcPr>
            <w:tcW w:w="1800" w:type="dxa"/>
            <w:shd w:val="clear" w:color="auto" w:fill="FFFFFF"/>
            <w:vAlign w:val="center"/>
          </w:tcPr>
          <w:p w:rsidR="005255ED" w:rsidRDefault="001B5565">
            <w:pPr>
              <w:adjustRightInd w:val="0"/>
              <w:snapToGrid w:val="0"/>
              <w:jc w:val="center"/>
              <w:rPr>
                <w:rFonts w:ascii="宋体" w:hAnsi="宋体" w:cs="宋体"/>
                <w:b/>
                <w:szCs w:val="21"/>
              </w:rPr>
            </w:pPr>
            <w:r>
              <w:rPr>
                <w:rFonts w:ascii="宋体" w:hAnsi="宋体" w:cs="宋体" w:hint="eastAsia"/>
                <w:b/>
                <w:szCs w:val="21"/>
              </w:rPr>
              <w:t>100.00</w:t>
            </w:r>
          </w:p>
        </w:tc>
        <w:tc>
          <w:tcPr>
            <w:tcW w:w="1566" w:type="dxa"/>
            <w:shd w:val="clear" w:color="auto" w:fill="FFFFFF"/>
            <w:vAlign w:val="center"/>
          </w:tcPr>
          <w:p w:rsidR="005255ED" w:rsidRDefault="001B5565">
            <w:pPr>
              <w:adjustRightInd w:val="0"/>
              <w:snapToGrid w:val="0"/>
              <w:jc w:val="center"/>
              <w:rPr>
                <w:rFonts w:ascii="宋体" w:hAnsi="宋体" w:cs="宋体"/>
                <w:b/>
                <w:szCs w:val="21"/>
              </w:rPr>
            </w:pPr>
            <w:r>
              <w:rPr>
                <w:rFonts w:ascii="宋体" w:hAnsi="宋体" w:cs="宋体" w:hint="eastAsia"/>
                <w:b/>
                <w:szCs w:val="21"/>
              </w:rPr>
              <w:t>83.3</w:t>
            </w:r>
          </w:p>
        </w:tc>
        <w:tc>
          <w:tcPr>
            <w:tcW w:w="1566" w:type="dxa"/>
            <w:shd w:val="clear" w:color="auto" w:fill="FFFFFF"/>
            <w:vAlign w:val="center"/>
          </w:tcPr>
          <w:p w:rsidR="005255ED" w:rsidRDefault="001B5565">
            <w:pPr>
              <w:adjustRightInd w:val="0"/>
              <w:snapToGrid w:val="0"/>
              <w:jc w:val="center"/>
              <w:rPr>
                <w:rFonts w:ascii="宋体" w:hAnsi="宋体" w:cs="宋体"/>
                <w:b/>
                <w:szCs w:val="21"/>
              </w:rPr>
            </w:pPr>
            <w:r>
              <w:rPr>
                <w:rFonts w:ascii="宋体" w:hAnsi="宋体" w:cs="宋体" w:hint="eastAsia"/>
                <w:b/>
                <w:szCs w:val="21"/>
              </w:rPr>
              <w:t>83.3%</w:t>
            </w:r>
          </w:p>
        </w:tc>
      </w:tr>
      <w:tr w:rsidR="005255ED">
        <w:trPr>
          <w:cantSplit/>
          <w:trHeight w:val="492"/>
          <w:jc w:val="center"/>
        </w:trPr>
        <w:tc>
          <w:tcPr>
            <w:tcW w:w="2250" w:type="dxa"/>
            <w:shd w:val="clear" w:color="auto" w:fill="FFFFFF"/>
            <w:vAlign w:val="center"/>
          </w:tcPr>
          <w:p w:rsidR="005255ED" w:rsidRDefault="001B5565">
            <w:pPr>
              <w:adjustRightInd w:val="0"/>
              <w:snapToGrid w:val="0"/>
              <w:spacing w:before="120" w:after="60" w:line="300" w:lineRule="auto"/>
              <w:jc w:val="center"/>
              <w:rPr>
                <w:rFonts w:ascii="宋体" w:hAnsi="宋体" w:cs="宋体"/>
                <w:b/>
                <w:szCs w:val="21"/>
              </w:rPr>
            </w:pPr>
            <w:r>
              <w:rPr>
                <w:rFonts w:ascii="宋体" w:hAnsi="宋体" w:cs="宋体" w:hint="eastAsia"/>
                <w:b/>
                <w:szCs w:val="21"/>
              </w:rPr>
              <w:t>绩效评定级别</w:t>
            </w:r>
          </w:p>
        </w:tc>
        <w:tc>
          <w:tcPr>
            <w:tcW w:w="4932" w:type="dxa"/>
            <w:gridSpan w:val="3"/>
            <w:shd w:val="clear" w:color="auto" w:fill="FFFFFF"/>
            <w:vAlign w:val="center"/>
          </w:tcPr>
          <w:p w:rsidR="005255ED" w:rsidRDefault="001B5565">
            <w:pPr>
              <w:adjustRightInd w:val="0"/>
              <w:snapToGrid w:val="0"/>
              <w:jc w:val="center"/>
              <w:rPr>
                <w:rFonts w:ascii="宋体" w:hAnsi="宋体" w:cs="宋体"/>
                <w:b/>
                <w:szCs w:val="21"/>
              </w:rPr>
            </w:pPr>
            <w:r>
              <w:rPr>
                <w:rFonts w:ascii="宋体" w:hAnsi="宋体" w:cs="宋体" w:hint="eastAsia"/>
                <w:b/>
                <w:szCs w:val="21"/>
              </w:rPr>
              <w:t>良好</w:t>
            </w:r>
          </w:p>
        </w:tc>
      </w:tr>
    </w:tbl>
    <w:p w:rsidR="005255ED" w:rsidRDefault="001B5565">
      <w:pPr>
        <w:spacing w:line="600" w:lineRule="exact"/>
        <w:ind w:firstLineChars="200" w:firstLine="640"/>
        <w:outlineLvl w:val="0"/>
        <w:rPr>
          <w:rFonts w:ascii="黑体" w:eastAsia="黑体" w:hAnsi="黑体" w:cs="黑体"/>
          <w:sz w:val="32"/>
          <w:szCs w:val="32"/>
        </w:rPr>
      </w:pPr>
      <w:bookmarkStart w:id="57" w:name="_Toc103617251"/>
      <w:bookmarkStart w:id="58" w:name="_Toc103607514"/>
      <w:bookmarkStart w:id="59" w:name="_Toc103676875"/>
      <w:bookmarkStart w:id="60" w:name="_Toc29436"/>
      <w:bookmarkStart w:id="61" w:name="_Toc5614"/>
      <w:r>
        <w:rPr>
          <w:rFonts w:ascii="黑体" w:eastAsia="黑体" w:hAnsi="黑体" w:cs="黑体" w:hint="eastAsia"/>
          <w:sz w:val="32"/>
          <w:szCs w:val="32"/>
        </w:rPr>
        <w:t>四、绩效评价指标分析</w:t>
      </w:r>
      <w:bookmarkEnd w:id="57"/>
      <w:bookmarkEnd w:id="58"/>
      <w:bookmarkEnd w:id="59"/>
      <w:bookmarkEnd w:id="60"/>
      <w:bookmarkEnd w:id="61"/>
    </w:p>
    <w:p w:rsidR="005255ED" w:rsidRDefault="001B5565">
      <w:pPr>
        <w:spacing w:line="600" w:lineRule="exact"/>
        <w:ind w:firstLineChars="200" w:firstLine="640"/>
        <w:outlineLvl w:val="1"/>
        <w:rPr>
          <w:rFonts w:ascii="楷体_GB2312" w:eastAsia="楷体_GB2312" w:hAnsi="楷体_GB2312" w:cs="楷体_GB2312"/>
          <w:sz w:val="32"/>
          <w:szCs w:val="32"/>
        </w:rPr>
      </w:pPr>
      <w:bookmarkStart w:id="62" w:name="_Toc103617252"/>
      <w:bookmarkStart w:id="63" w:name="_Toc103607515"/>
      <w:bookmarkStart w:id="64" w:name="_Toc21418"/>
      <w:bookmarkStart w:id="65" w:name="_Toc29186"/>
      <w:bookmarkStart w:id="66" w:name="_Toc103676876"/>
      <w:r>
        <w:rPr>
          <w:rFonts w:ascii="楷体_GB2312" w:eastAsia="楷体_GB2312" w:hAnsi="楷体_GB2312" w:cs="楷体_GB2312" w:hint="eastAsia"/>
          <w:sz w:val="32"/>
          <w:szCs w:val="32"/>
        </w:rPr>
        <w:t>（一）项目决策情况</w:t>
      </w:r>
      <w:bookmarkEnd w:id="62"/>
      <w:bookmarkEnd w:id="63"/>
      <w:bookmarkEnd w:id="64"/>
      <w:bookmarkEnd w:id="65"/>
      <w:bookmarkEnd w:id="66"/>
    </w:p>
    <w:p w:rsidR="005255ED" w:rsidRDefault="001B5565">
      <w:pPr>
        <w:spacing w:line="360" w:lineRule="auto"/>
        <w:ind w:firstLineChars="200" w:firstLine="643"/>
        <w:outlineLvl w:val="2"/>
        <w:rPr>
          <w:rFonts w:ascii="仿宋_GB2312" w:eastAsia="仿宋_GB2312" w:hAnsi="仿宋_GB2312" w:cs="仿宋_GB2312"/>
          <w:b/>
          <w:sz w:val="32"/>
          <w:szCs w:val="32"/>
        </w:rPr>
      </w:pPr>
      <w:r>
        <w:rPr>
          <w:rFonts w:ascii="仿宋_GB2312" w:eastAsia="仿宋_GB2312" w:hAnsi="仿宋_GB2312" w:cs="仿宋_GB2312" w:hint="eastAsia"/>
          <w:b/>
          <w:sz w:val="32"/>
          <w:szCs w:val="32"/>
        </w:rPr>
        <w:t>1.项目立项</w:t>
      </w:r>
    </w:p>
    <w:p w:rsidR="005255ED" w:rsidRDefault="001B5565">
      <w:pPr>
        <w:pStyle w:val="a0"/>
        <w:ind w:firstLineChars="200" w:firstLine="640"/>
        <w:rPr>
          <w:rFonts w:hAnsi="仿宋_GB2312" w:cs="仿宋_GB2312"/>
          <w:sz w:val="32"/>
          <w:szCs w:val="32"/>
        </w:rPr>
      </w:pPr>
      <w:r>
        <w:rPr>
          <w:rFonts w:hAnsi="仿宋_GB2312" w:cs="仿宋_GB2312" w:hint="eastAsia"/>
          <w:sz w:val="32"/>
          <w:szCs w:val="32"/>
        </w:rPr>
        <w:t>2021年市场营销费项目由北京市体育彩票管理中心市场部申报，财务部汇总审核项目申报资料后，上报北京市体育局办公会，通过审议后，将项目申请书报至北京市财政局立项评审，再由部门委托第三方机构对项目进行预算评审，按照财政预算评审的价格进行政府采购。该项目设立符合《彩票管理条例》要求，符合国家体育总局体育彩票管理中心2021年市场营销工作安排，与北京市体育彩票管理中心部门职责相符，未发现部门内部相关项目交叉重复。评价认为，项目立项较为规范。</w:t>
      </w:r>
    </w:p>
    <w:p w:rsidR="005255ED" w:rsidRDefault="001B5565">
      <w:pPr>
        <w:pStyle w:val="a0"/>
        <w:ind w:firstLineChars="200" w:firstLine="643"/>
        <w:outlineLvl w:val="2"/>
        <w:rPr>
          <w:rFonts w:hAnsi="仿宋_GB2312" w:cs="仿宋_GB2312"/>
          <w:b/>
          <w:bCs/>
          <w:sz w:val="32"/>
          <w:szCs w:val="32"/>
        </w:rPr>
      </w:pPr>
      <w:r>
        <w:rPr>
          <w:rFonts w:hAnsi="仿宋_GB2312" w:cs="仿宋_GB2312" w:hint="eastAsia"/>
          <w:b/>
          <w:bCs/>
          <w:sz w:val="32"/>
          <w:szCs w:val="32"/>
        </w:rPr>
        <w:t>2.绩效目标</w:t>
      </w:r>
    </w:p>
    <w:p w:rsidR="005255ED" w:rsidRDefault="001B5565">
      <w:pPr>
        <w:pStyle w:val="a0"/>
        <w:ind w:firstLineChars="200" w:firstLine="640"/>
        <w:rPr>
          <w:rFonts w:hAnsi="仿宋_GB2312" w:cs="仿宋_GB2312"/>
          <w:sz w:val="32"/>
          <w:szCs w:val="32"/>
        </w:rPr>
      </w:pPr>
      <w:r>
        <w:rPr>
          <w:rFonts w:hAnsi="仿宋_GB2312" w:cs="仿宋_GB2312" w:hint="eastAsia"/>
          <w:sz w:val="32"/>
          <w:szCs w:val="32"/>
        </w:rPr>
        <w:t>该</w:t>
      </w:r>
      <w:r>
        <w:rPr>
          <w:rFonts w:hAnsi="仿宋_GB2312" w:cs="仿宋_GB2312"/>
          <w:sz w:val="32"/>
          <w:szCs w:val="32"/>
        </w:rPr>
        <w:t>项目年度绩效目标设置为“通过开展一系列市场营销活动，促进体育彩票销售，提升体育彩票品牌影响力，扩大彩民群体；配合总局中心为客户提供相关服务”，与体育</w:t>
      </w:r>
      <w:r>
        <w:rPr>
          <w:rFonts w:hAnsi="仿宋_GB2312" w:cs="仿宋_GB2312"/>
          <w:sz w:val="32"/>
          <w:szCs w:val="32"/>
        </w:rPr>
        <w:lastRenderedPageBreak/>
        <w:t>彩票市场营销实际工作内容具有相关性，绩效指标值与正常业绩水平、预算</w:t>
      </w:r>
      <w:proofErr w:type="gramStart"/>
      <w:r>
        <w:rPr>
          <w:rFonts w:hAnsi="仿宋_GB2312" w:cs="仿宋_GB2312"/>
          <w:sz w:val="32"/>
          <w:szCs w:val="32"/>
        </w:rPr>
        <w:t>资金量项匹配</w:t>
      </w:r>
      <w:proofErr w:type="gramEnd"/>
      <w:r>
        <w:rPr>
          <w:rFonts w:hAnsi="仿宋_GB2312" w:cs="仿宋_GB2312" w:hint="eastAsia"/>
          <w:sz w:val="32"/>
          <w:szCs w:val="32"/>
        </w:rPr>
        <w:t>。且</w:t>
      </w:r>
      <w:r>
        <w:rPr>
          <w:rFonts w:hAnsi="仿宋_GB2312" w:cs="仿宋_GB2312"/>
          <w:sz w:val="32"/>
          <w:szCs w:val="32"/>
        </w:rPr>
        <w:t>围绕</w:t>
      </w:r>
      <w:r>
        <w:rPr>
          <w:rFonts w:hAnsi="仿宋_GB2312" w:cs="仿宋_GB2312" w:hint="eastAsia"/>
          <w:sz w:val="32"/>
          <w:szCs w:val="32"/>
        </w:rPr>
        <w:t>项目</w:t>
      </w:r>
      <w:r>
        <w:rPr>
          <w:rFonts w:hAnsi="仿宋_GB2312" w:cs="仿宋_GB2312"/>
          <w:sz w:val="32"/>
          <w:szCs w:val="32"/>
        </w:rPr>
        <w:t>绩效目标，</w:t>
      </w:r>
      <w:r>
        <w:rPr>
          <w:rFonts w:hAnsi="仿宋_GB2312" w:cs="仿宋_GB2312" w:hint="eastAsia"/>
          <w:sz w:val="32"/>
          <w:szCs w:val="32"/>
        </w:rPr>
        <w:t>分解</w:t>
      </w:r>
      <w:r>
        <w:rPr>
          <w:rFonts w:hAnsi="仿宋_GB2312" w:cs="仿宋_GB2312"/>
          <w:sz w:val="32"/>
          <w:szCs w:val="32"/>
        </w:rPr>
        <w:t>设置了</w:t>
      </w:r>
      <w:r>
        <w:rPr>
          <w:rFonts w:hAnsi="仿宋_GB2312" w:cs="仿宋_GB2312" w:hint="eastAsia"/>
          <w:sz w:val="32"/>
          <w:szCs w:val="32"/>
        </w:rPr>
        <w:t>较为清晰、量化的</w:t>
      </w:r>
      <w:r>
        <w:rPr>
          <w:rFonts w:hAnsi="仿宋_GB2312" w:cs="仿宋_GB2312"/>
          <w:sz w:val="32"/>
          <w:szCs w:val="32"/>
        </w:rPr>
        <w:t>产出、效益及满意度指标</w:t>
      </w:r>
      <w:r>
        <w:rPr>
          <w:rFonts w:hAnsi="仿宋_GB2312" w:cs="仿宋_GB2312" w:hint="eastAsia"/>
          <w:sz w:val="32"/>
          <w:szCs w:val="32"/>
        </w:rPr>
        <w:t>。但评价发现，该项目绩效目标和指标设置中仍存在绩效指标与总体目标关联性不足、指标设置不够全面、缺少质量指标、个别效益指标值偏低等问题。</w:t>
      </w:r>
    </w:p>
    <w:p w:rsidR="005255ED" w:rsidRDefault="001B5565">
      <w:pPr>
        <w:pStyle w:val="a0"/>
        <w:ind w:firstLineChars="200" w:firstLine="643"/>
        <w:outlineLvl w:val="2"/>
        <w:rPr>
          <w:rFonts w:hAnsi="仿宋_GB2312" w:cs="仿宋_GB2312"/>
          <w:b/>
          <w:bCs/>
          <w:sz w:val="32"/>
          <w:szCs w:val="32"/>
        </w:rPr>
      </w:pPr>
      <w:r>
        <w:rPr>
          <w:rFonts w:hAnsi="仿宋_GB2312" w:cs="仿宋_GB2312" w:hint="eastAsia"/>
          <w:b/>
          <w:bCs/>
          <w:sz w:val="32"/>
          <w:szCs w:val="32"/>
        </w:rPr>
        <w:t>3.资金投入</w:t>
      </w:r>
    </w:p>
    <w:p w:rsidR="005255ED" w:rsidRDefault="001B5565">
      <w:pPr>
        <w:pStyle w:val="a0"/>
        <w:ind w:firstLineChars="200" w:firstLine="640"/>
        <w:rPr>
          <w:rFonts w:hAnsi="仿宋_GB2312" w:cs="仿宋_GB2312"/>
          <w:sz w:val="32"/>
          <w:szCs w:val="32"/>
        </w:rPr>
      </w:pPr>
      <w:r>
        <w:rPr>
          <w:rFonts w:hAnsi="仿宋_GB2312" w:cs="仿宋_GB2312" w:hint="eastAsia"/>
          <w:bCs/>
          <w:kern w:val="0"/>
          <w:sz w:val="32"/>
          <w:szCs w:val="32"/>
          <w:lang w:bidi="ar"/>
        </w:rPr>
        <w:t>本项目预算内容与项目内容、预算金额与工作任务量等基本匹配，</w:t>
      </w:r>
      <w:r>
        <w:rPr>
          <w:rFonts w:hAnsi="仿宋_GB2312" w:cs="仿宋_GB2312"/>
          <w:sz w:val="32"/>
          <w:szCs w:val="32"/>
        </w:rPr>
        <w:t>预算批复后，按照工作计划用于即开型游戏营销、竞猜型游戏营销、</w:t>
      </w:r>
      <w:proofErr w:type="gramStart"/>
      <w:r>
        <w:rPr>
          <w:rFonts w:hAnsi="仿宋_GB2312" w:cs="仿宋_GB2312"/>
          <w:sz w:val="32"/>
          <w:szCs w:val="32"/>
        </w:rPr>
        <w:t>乐透型游戏</w:t>
      </w:r>
      <w:proofErr w:type="gramEnd"/>
      <w:r>
        <w:rPr>
          <w:rFonts w:hAnsi="仿宋_GB2312" w:cs="仿宋_GB2312"/>
          <w:sz w:val="32"/>
          <w:szCs w:val="32"/>
        </w:rPr>
        <w:t>营销、新渠道营销及专家劳务等工作，资金按预算要求划分，保障了各项工作顺利开展</w:t>
      </w:r>
      <w:r>
        <w:rPr>
          <w:rFonts w:hAnsi="仿宋_GB2312" w:cs="仿宋_GB2312" w:hint="eastAsia"/>
          <w:sz w:val="32"/>
          <w:szCs w:val="32"/>
        </w:rPr>
        <w:t>。</w:t>
      </w:r>
      <w:r>
        <w:rPr>
          <w:rFonts w:hAnsi="仿宋_GB2312" w:cs="仿宋_GB2312"/>
          <w:sz w:val="32"/>
          <w:szCs w:val="32"/>
        </w:rPr>
        <w:t>但评价发现项目预算编制较为</w:t>
      </w:r>
      <w:r>
        <w:rPr>
          <w:rFonts w:hAnsi="仿宋_GB2312" w:cs="仿宋_GB2312" w:hint="eastAsia"/>
          <w:sz w:val="32"/>
          <w:szCs w:val="32"/>
        </w:rPr>
        <w:t>粗放</w:t>
      </w:r>
      <w:r>
        <w:rPr>
          <w:rFonts w:hAnsi="仿宋_GB2312" w:cs="仿宋_GB2312"/>
          <w:sz w:val="32"/>
          <w:szCs w:val="32"/>
        </w:rPr>
        <w:t>，因编制预算时国家体育总局体育彩票管理中心未出台2021年体育彩票市场</w:t>
      </w:r>
      <w:r>
        <w:rPr>
          <w:rFonts w:hAnsi="仿宋_GB2312" w:cs="仿宋_GB2312" w:hint="eastAsia"/>
          <w:sz w:val="32"/>
          <w:szCs w:val="32"/>
        </w:rPr>
        <w:t>营销</w:t>
      </w:r>
      <w:r>
        <w:rPr>
          <w:rFonts w:hAnsi="仿宋_GB2312" w:cs="仿宋_GB2312"/>
          <w:sz w:val="32"/>
          <w:szCs w:val="32"/>
        </w:rPr>
        <w:t>方案，</w:t>
      </w:r>
      <w:r>
        <w:rPr>
          <w:rFonts w:hAnsi="仿宋_GB2312" w:cs="仿宋_GB2312" w:hint="eastAsia"/>
          <w:sz w:val="32"/>
          <w:szCs w:val="32"/>
        </w:rPr>
        <w:t>该项目依据往年工作经验及当年工作重点</w:t>
      </w:r>
      <w:r>
        <w:rPr>
          <w:rFonts w:hAnsi="仿宋_GB2312" w:cs="仿宋_GB2312"/>
          <w:sz w:val="32"/>
          <w:szCs w:val="32"/>
        </w:rPr>
        <w:t>，按照即开型游戏营销、竞猜型游戏营销、</w:t>
      </w:r>
      <w:proofErr w:type="gramStart"/>
      <w:r>
        <w:rPr>
          <w:rFonts w:hAnsi="仿宋_GB2312" w:cs="仿宋_GB2312"/>
          <w:sz w:val="32"/>
          <w:szCs w:val="32"/>
        </w:rPr>
        <w:t>乐透型游戏</w:t>
      </w:r>
      <w:proofErr w:type="gramEnd"/>
      <w:r>
        <w:rPr>
          <w:rFonts w:hAnsi="仿宋_GB2312" w:cs="仿宋_GB2312"/>
          <w:sz w:val="32"/>
          <w:szCs w:val="32"/>
        </w:rPr>
        <w:t>营销、新渠道营销及专家劳务费切块编制预算</w:t>
      </w:r>
      <w:r>
        <w:rPr>
          <w:rFonts w:hAnsi="仿宋_GB2312" w:cs="仿宋_GB2312" w:hint="eastAsia"/>
          <w:sz w:val="32"/>
          <w:szCs w:val="32"/>
        </w:rPr>
        <w:t>，</w:t>
      </w:r>
      <w:r>
        <w:rPr>
          <w:rFonts w:hAnsi="仿宋_GB2312" w:cs="仿宋_GB2312"/>
          <w:sz w:val="32"/>
          <w:szCs w:val="32"/>
        </w:rPr>
        <w:t>未能按照各项营销活动所需的人员、奖品、奖金等内容科学编制项目预算明细。</w:t>
      </w:r>
    </w:p>
    <w:p w:rsidR="005255ED" w:rsidRDefault="001B5565">
      <w:pPr>
        <w:spacing w:line="600" w:lineRule="exact"/>
        <w:ind w:firstLineChars="200" w:firstLine="640"/>
        <w:outlineLvl w:val="1"/>
        <w:rPr>
          <w:rFonts w:ascii="楷体_GB2312" w:eastAsia="楷体_GB2312" w:hAnsi="楷体_GB2312" w:cs="楷体_GB2312"/>
          <w:sz w:val="32"/>
          <w:szCs w:val="32"/>
        </w:rPr>
      </w:pPr>
      <w:bookmarkStart w:id="67" w:name="_Toc103607516"/>
      <w:bookmarkStart w:id="68" w:name="_Toc4457"/>
      <w:bookmarkStart w:id="69" w:name="_Toc6932"/>
      <w:bookmarkStart w:id="70" w:name="_Toc103617253"/>
      <w:bookmarkStart w:id="71" w:name="_Toc103676877"/>
      <w:r>
        <w:rPr>
          <w:rFonts w:ascii="楷体_GB2312" w:eastAsia="楷体_GB2312" w:hAnsi="楷体_GB2312" w:cs="楷体_GB2312" w:hint="eastAsia"/>
          <w:sz w:val="32"/>
          <w:szCs w:val="32"/>
        </w:rPr>
        <w:t>（二）项目过程情况</w:t>
      </w:r>
      <w:bookmarkEnd w:id="67"/>
      <w:bookmarkEnd w:id="68"/>
      <w:bookmarkEnd w:id="69"/>
      <w:bookmarkEnd w:id="70"/>
      <w:bookmarkEnd w:id="71"/>
    </w:p>
    <w:p w:rsidR="005255ED" w:rsidRDefault="001B5565">
      <w:pPr>
        <w:pStyle w:val="a0"/>
        <w:ind w:firstLineChars="200" w:firstLine="643"/>
        <w:outlineLvl w:val="2"/>
        <w:rPr>
          <w:b/>
          <w:bCs/>
          <w:sz w:val="32"/>
          <w:szCs w:val="32"/>
        </w:rPr>
      </w:pPr>
      <w:r>
        <w:rPr>
          <w:rFonts w:hint="eastAsia"/>
          <w:b/>
          <w:bCs/>
          <w:sz w:val="32"/>
          <w:szCs w:val="32"/>
        </w:rPr>
        <w:t>1.资金管理</w:t>
      </w:r>
    </w:p>
    <w:p w:rsidR="005255ED" w:rsidRDefault="001B5565">
      <w:pPr>
        <w:pStyle w:val="a0"/>
        <w:ind w:firstLineChars="200" w:firstLine="640"/>
        <w:rPr>
          <w:sz w:val="32"/>
          <w:szCs w:val="32"/>
        </w:rPr>
      </w:pPr>
      <w:r>
        <w:rPr>
          <w:sz w:val="32"/>
          <w:szCs w:val="32"/>
        </w:rPr>
        <w:t>2021年1月下达该项目预算1440.8</w:t>
      </w:r>
      <w:r>
        <w:rPr>
          <w:rFonts w:hint="eastAsia"/>
          <w:sz w:val="32"/>
          <w:szCs w:val="32"/>
        </w:rPr>
        <w:t>0</w:t>
      </w:r>
      <w:r>
        <w:rPr>
          <w:sz w:val="32"/>
          <w:szCs w:val="32"/>
        </w:rPr>
        <w:t>万元，</w:t>
      </w:r>
      <w:r>
        <w:rPr>
          <w:rFonts w:hint="eastAsia"/>
          <w:sz w:val="32"/>
          <w:szCs w:val="32"/>
        </w:rPr>
        <w:t>2021年11月调减项目</w:t>
      </w:r>
      <w:r>
        <w:rPr>
          <w:sz w:val="32"/>
          <w:szCs w:val="32"/>
        </w:rPr>
        <w:t>预算10.91万元，全年共到位资金1429.</w:t>
      </w:r>
      <w:r>
        <w:rPr>
          <w:rFonts w:hint="eastAsia"/>
          <w:sz w:val="32"/>
          <w:szCs w:val="32"/>
        </w:rPr>
        <w:t>89</w:t>
      </w:r>
      <w:r>
        <w:rPr>
          <w:sz w:val="32"/>
          <w:szCs w:val="32"/>
        </w:rPr>
        <w:t>万元，预算到位率100%。</w:t>
      </w:r>
      <w:r>
        <w:rPr>
          <w:rFonts w:hint="eastAsia"/>
          <w:sz w:val="32"/>
          <w:szCs w:val="32"/>
        </w:rPr>
        <w:t>截至2021年12月，该项目实际支出</w:t>
      </w:r>
      <w:r>
        <w:rPr>
          <w:rFonts w:hint="eastAsia"/>
          <w:sz w:val="32"/>
          <w:szCs w:val="32"/>
        </w:rPr>
        <w:lastRenderedPageBreak/>
        <w:t>1429.84万元，预算执行率99.99%，结余资金0.04万元已返还财政部门。</w:t>
      </w:r>
    </w:p>
    <w:p w:rsidR="005255ED" w:rsidRDefault="001B5565">
      <w:pPr>
        <w:pStyle w:val="a0"/>
        <w:ind w:firstLine="0"/>
        <w:jc w:val="center"/>
        <w:rPr>
          <w:rFonts w:ascii="黑体" w:eastAsia="黑体" w:hAnsi="黑体" w:cs="黑体"/>
          <w:sz w:val="24"/>
          <w:szCs w:val="20"/>
        </w:rPr>
      </w:pPr>
      <w:r>
        <w:rPr>
          <w:rFonts w:ascii="黑体" w:eastAsia="黑体" w:hAnsi="黑体" w:cs="黑体" w:hint="eastAsia"/>
          <w:sz w:val="24"/>
          <w:szCs w:val="20"/>
        </w:rPr>
        <w:t>表</w:t>
      </w:r>
      <w:r>
        <w:rPr>
          <w:rFonts w:ascii="黑体" w:eastAsia="黑体" w:hAnsi="黑体" w:cs="黑体"/>
          <w:sz w:val="24"/>
          <w:szCs w:val="20"/>
        </w:rPr>
        <w:t>3</w:t>
      </w:r>
      <w:r>
        <w:rPr>
          <w:rFonts w:ascii="黑体" w:eastAsia="黑体" w:hAnsi="黑体" w:cs="黑体" w:hint="eastAsia"/>
          <w:sz w:val="24"/>
          <w:szCs w:val="20"/>
        </w:rPr>
        <w:t xml:space="preserve"> 2021年市场营销费项目预算支出情况</w:t>
      </w:r>
    </w:p>
    <w:tbl>
      <w:tblPr>
        <w:tblW w:w="5085" w:type="pct"/>
        <w:jc w:val="center"/>
        <w:tblLook w:val="04A0" w:firstRow="1" w:lastRow="0" w:firstColumn="1" w:lastColumn="0" w:noHBand="0" w:noVBand="1"/>
      </w:tblPr>
      <w:tblGrid>
        <w:gridCol w:w="1753"/>
        <w:gridCol w:w="1419"/>
        <w:gridCol w:w="1419"/>
        <w:gridCol w:w="1418"/>
        <w:gridCol w:w="1420"/>
        <w:gridCol w:w="1238"/>
      </w:tblGrid>
      <w:tr w:rsidR="005255ED">
        <w:trPr>
          <w:trHeight w:val="480"/>
          <w:jc w:val="center"/>
        </w:trPr>
        <w:tc>
          <w:tcPr>
            <w:tcW w:w="10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55ED" w:rsidRDefault="001B5565">
            <w:pPr>
              <w:widowControl/>
              <w:jc w:val="center"/>
              <w:textAlignment w:val="center"/>
              <w:rPr>
                <w:rFonts w:ascii="宋体" w:hAnsi="宋体" w:cs="宋体"/>
                <w:b/>
                <w:bCs/>
                <w:color w:val="000000"/>
                <w:szCs w:val="21"/>
              </w:rPr>
            </w:pPr>
            <w:r>
              <w:rPr>
                <w:rFonts w:ascii="宋体" w:hAnsi="宋体" w:cs="宋体" w:hint="eastAsia"/>
                <w:b/>
                <w:bCs/>
                <w:color w:val="000000"/>
                <w:szCs w:val="21"/>
              </w:rPr>
              <w:t>预算内容</w:t>
            </w:r>
          </w:p>
        </w:tc>
        <w:tc>
          <w:tcPr>
            <w:tcW w:w="81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55ED" w:rsidRDefault="001B5565">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年初预算 （万元）</w:t>
            </w:r>
          </w:p>
        </w:tc>
        <w:tc>
          <w:tcPr>
            <w:tcW w:w="81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55ED" w:rsidRDefault="001B5565">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预算调整数（万元）</w:t>
            </w:r>
          </w:p>
        </w:tc>
        <w:tc>
          <w:tcPr>
            <w:tcW w:w="81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55ED" w:rsidRDefault="001B5565">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全年预算数</w:t>
            </w:r>
            <w:r>
              <w:rPr>
                <w:rFonts w:ascii="宋体" w:hAnsi="宋体" w:cs="宋体" w:hint="eastAsia"/>
                <w:b/>
                <w:bCs/>
                <w:color w:val="000000"/>
                <w:kern w:val="0"/>
                <w:szCs w:val="21"/>
                <w:lang w:bidi="ar"/>
              </w:rPr>
              <w:br/>
              <w:t>（万元）</w:t>
            </w:r>
          </w:p>
        </w:tc>
        <w:tc>
          <w:tcPr>
            <w:tcW w:w="8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55ED" w:rsidRDefault="001B5565">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实际支出金额（万元）</w:t>
            </w:r>
          </w:p>
        </w:tc>
        <w:tc>
          <w:tcPr>
            <w:tcW w:w="714"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55ED" w:rsidRDefault="001B5565">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预算执行率（%）</w:t>
            </w:r>
          </w:p>
        </w:tc>
      </w:tr>
      <w:tr w:rsidR="005255ED">
        <w:trPr>
          <w:trHeight w:val="415"/>
          <w:jc w:val="center"/>
        </w:trPr>
        <w:tc>
          <w:tcPr>
            <w:tcW w:w="10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55ED" w:rsidRDefault="001B5565">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专家劳务费</w:t>
            </w:r>
          </w:p>
        </w:tc>
        <w:tc>
          <w:tcPr>
            <w:tcW w:w="81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55ED" w:rsidRDefault="001B5565">
            <w:pPr>
              <w:widowControl/>
              <w:jc w:val="right"/>
              <w:textAlignment w:val="center"/>
              <w:rPr>
                <w:rFonts w:ascii="宋体" w:hAnsi="宋体" w:cs="宋体"/>
                <w:color w:val="000000"/>
                <w:szCs w:val="21"/>
              </w:rPr>
            </w:pPr>
            <w:r>
              <w:rPr>
                <w:rFonts w:ascii="宋体" w:hAnsi="宋体" w:cs="宋体" w:hint="eastAsia"/>
                <w:color w:val="000000"/>
                <w:kern w:val="0"/>
                <w:szCs w:val="21"/>
                <w:lang w:bidi="ar"/>
              </w:rPr>
              <w:t xml:space="preserve"> 0.80 </w:t>
            </w:r>
          </w:p>
        </w:tc>
        <w:tc>
          <w:tcPr>
            <w:tcW w:w="81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55ED" w:rsidRDefault="001B5565">
            <w:pPr>
              <w:widowControl/>
              <w:jc w:val="right"/>
              <w:textAlignment w:val="center"/>
              <w:rPr>
                <w:rFonts w:ascii="宋体" w:hAnsi="宋体" w:cs="宋体"/>
                <w:color w:val="000000"/>
                <w:szCs w:val="21"/>
              </w:rPr>
            </w:pPr>
            <w:r>
              <w:rPr>
                <w:rFonts w:ascii="宋体" w:hAnsi="宋体" w:cs="宋体" w:hint="eastAsia"/>
                <w:color w:val="000000"/>
                <w:kern w:val="0"/>
                <w:szCs w:val="21"/>
                <w:lang w:bidi="ar"/>
              </w:rPr>
              <w:t xml:space="preserve"> -   </w:t>
            </w:r>
          </w:p>
        </w:tc>
        <w:tc>
          <w:tcPr>
            <w:tcW w:w="81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55ED" w:rsidRDefault="001B5565">
            <w:pPr>
              <w:widowControl/>
              <w:jc w:val="right"/>
              <w:textAlignment w:val="center"/>
              <w:rPr>
                <w:rFonts w:ascii="宋体" w:hAnsi="宋体" w:cs="宋体"/>
                <w:color w:val="000000"/>
                <w:szCs w:val="21"/>
              </w:rPr>
            </w:pPr>
            <w:r>
              <w:rPr>
                <w:rFonts w:ascii="宋体" w:hAnsi="宋体" w:cs="宋体" w:hint="eastAsia"/>
                <w:color w:val="000000"/>
                <w:kern w:val="0"/>
                <w:szCs w:val="21"/>
                <w:lang w:bidi="ar"/>
              </w:rPr>
              <w:t xml:space="preserve"> 0.80 </w:t>
            </w:r>
          </w:p>
        </w:tc>
        <w:tc>
          <w:tcPr>
            <w:tcW w:w="8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55ED" w:rsidRDefault="001B5565">
            <w:pPr>
              <w:widowControl/>
              <w:jc w:val="right"/>
              <w:textAlignment w:val="center"/>
              <w:rPr>
                <w:rFonts w:ascii="宋体" w:hAnsi="宋体" w:cs="宋体"/>
                <w:color w:val="000000"/>
                <w:szCs w:val="21"/>
              </w:rPr>
            </w:pPr>
            <w:r>
              <w:rPr>
                <w:rFonts w:ascii="宋体" w:hAnsi="宋体" w:cs="宋体" w:hint="eastAsia"/>
                <w:color w:val="000000"/>
                <w:kern w:val="0"/>
                <w:szCs w:val="21"/>
                <w:lang w:bidi="ar"/>
              </w:rPr>
              <w:t xml:space="preserve"> 0.76 </w:t>
            </w:r>
          </w:p>
        </w:tc>
        <w:tc>
          <w:tcPr>
            <w:tcW w:w="714"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5255ED" w:rsidRDefault="001B5565">
            <w:pPr>
              <w:widowControl/>
              <w:jc w:val="right"/>
              <w:textAlignment w:val="bottom"/>
              <w:rPr>
                <w:rFonts w:ascii="宋体" w:hAnsi="宋体" w:cs="宋体"/>
                <w:color w:val="000000"/>
                <w:szCs w:val="21"/>
              </w:rPr>
            </w:pPr>
            <w:r>
              <w:rPr>
                <w:rFonts w:ascii="宋体" w:hAnsi="宋体" w:cs="宋体" w:hint="eastAsia"/>
                <w:color w:val="000000"/>
                <w:kern w:val="0"/>
                <w:szCs w:val="21"/>
                <w:lang w:bidi="ar"/>
              </w:rPr>
              <w:t>94.63%</w:t>
            </w:r>
          </w:p>
        </w:tc>
      </w:tr>
      <w:tr w:rsidR="005255ED">
        <w:trPr>
          <w:trHeight w:val="415"/>
          <w:jc w:val="center"/>
        </w:trPr>
        <w:tc>
          <w:tcPr>
            <w:tcW w:w="10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55ED" w:rsidRDefault="001B5565">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新渠道营销</w:t>
            </w:r>
          </w:p>
        </w:tc>
        <w:tc>
          <w:tcPr>
            <w:tcW w:w="81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55ED" w:rsidRDefault="001B5565">
            <w:pPr>
              <w:widowControl/>
              <w:jc w:val="right"/>
              <w:textAlignment w:val="center"/>
              <w:rPr>
                <w:rFonts w:ascii="宋体" w:hAnsi="宋体" w:cs="宋体"/>
                <w:color w:val="000000"/>
                <w:szCs w:val="21"/>
              </w:rPr>
            </w:pPr>
            <w:r>
              <w:rPr>
                <w:rFonts w:ascii="宋体" w:hAnsi="宋体" w:cs="宋体" w:hint="eastAsia"/>
                <w:color w:val="000000"/>
                <w:kern w:val="0"/>
                <w:szCs w:val="21"/>
                <w:lang w:bidi="ar"/>
              </w:rPr>
              <w:t xml:space="preserve"> 40.00 </w:t>
            </w:r>
          </w:p>
        </w:tc>
        <w:tc>
          <w:tcPr>
            <w:tcW w:w="81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55ED" w:rsidRDefault="001B5565">
            <w:pPr>
              <w:widowControl/>
              <w:jc w:val="right"/>
              <w:textAlignment w:val="center"/>
              <w:rPr>
                <w:rFonts w:ascii="宋体" w:hAnsi="宋体" w:cs="宋体"/>
                <w:color w:val="000000"/>
                <w:szCs w:val="21"/>
              </w:rPr>
            </w:pPr>
            <w:r>
              <w:rPr>
                <w:rFonts w:ascii="宋体" w:hAnsi="宋体" w:cs="宋体" w:hint="eastAsia"/>
                <w:color w:val="000000"/>
                <w:kern w:val="0"/>
                <w:szCs w:val="21"/>
                <w:lang w:bidi="ar"/>
              </w:rPr>
              <w:t xml:space="preserve"> -   </w:t>
            </w:r>
          </w:p>
        </w:tc>
        <w:tc>
          <w:tcPr>
            <w:tcW w:w="81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55ED" w:rsidRDefault="001B5565">
            <w:pPr>
              <w:widowControl/>
              <w:jc w:val="right"/>
              <w:textAlignment w:val="center"/>
              <w:rPr>
                <w:rFonts w:ascii="宋体" w:hAnsi="宋体" w:cs="宋体"/>
                <w:color w:val="000000"/>
                <w:szCs w:val="21"/>
              </w:rPr>
            </w:pPr>
            <w:r>
              <w:rPr>
                <w:rFonts w:ascii="宋体" w:hAnsi="宋体" w:cs="宋体" w:hint="eastAsia"/>
                <w:color w:val="000000"/>
                <w:kern w:val="0"/>
                <w:szCs w:val="21"/>
                <w:lang w:bidi="ar"/>
              </w:rPr>
              <w:t xml:space="preserve"> 40.00 </w:t>
            </w:r>
          </w:p>
        </w:tc>
        <w:tc>
          <w:tcPr>
            <w:tcW w:w="8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55ED" w:rsidRDefault="001B5565">
            <w:pPr>
              <w:widowControl/>
              <w:jc w:val="right"/>
              <w:textAlignment w:val="center"/>
              <w:rPr>
                <w:rFonts w:ascii="宋体" w:hAnsi="宋体" w:cs="宋体"/>
                <w:color w:val="000000"/>
                <w:szCs w:val="21"/>
              </w:rPr>
            </w:pPr>
            <w:r>
              <w:rPr>
                <w:rFonts w:ascii="宋体" w:hAnsi="宋体" w:cs="宋体" w:hint="eastAsia"/>
                <w:color w:val="000000"/>
                <w:kern w:val="0"/>
                <w:szCs w:val="21"/>
                <w:lang w:bidi="ar"/>
              </w:rPr>
              <w:t xml:space="preserve"> 40.00 </w:t>
            </w:r>
          </w:p>
        </w:tc>
        <w:tc>
          <w:tcPr>
            <w:tcW w:w="714"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5255ED" w:rsidRDefault="001B5565">
            <w:pPr>
              <w:widowControl/>
              <w:jc w:val="right"/>
              <w:textAlignment w:val="bottom"/>
              <w:rPr>
                <w:rFonts w:ascii="宋体" w:hAnsi="宋体" w:cs="宋体"/>
                <w:color w:val="000000"/>
                <w:szCs w:val="21"/>
              </w:rPr>
            </w:pPr>
            <w:r>
              <w:rPr>
                <w:rFonts w:ascii="宋体" w:hAnsi="宋体" w:cs="宋体" w:hint="eastAsia"/>
                <w:color w:val="000000"/>
                <w:kern w:val="0"/>
                <w:szCs w:val="21"/>
                <w:lang w:bidi="ar"/>
              </w:rPr>
              <w:t>100.00%</w:t>
            </w:r>
          </w:p>
        </w:tc>
      </w:tr>
      <w:tr w:rsidR="005255ED">
        <w:trPr>
          <w:trHeight w:val="415"/>
          <w:jc w:val="center"/>
        </w:trPr>
        <w:tc>
          <w:tcPr>
            <w:tcW w:w="10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55ED" w:rsidRDefault="001B5565">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竞猜型游戏营销</w:t>
            </w:r>
          </w:p>
        </w:tc>
        <w:tc>
          <w:tcPr>
            <w:tcW w:w="81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55ED" w:rsidRDefault="001B5565">
            <w:pPr>
              <w:widowControl/>
              <w:jc w:val="right"/>
              <w:textAlignment w:val="center"/>
              <w:rPr>
                <w:rFonts w:ascii="宋体" w:hAnsi="宋体" w:cs="宋体"/>
                <w:color w:val="000000"/>
                <w:szCs w:val="21"/>
              </w:rPr>
            </w:pPr>
            <w:r>
              <w:rPr>
                <w:rFonts w:ascii="宋体" w:hAnsi="宋体" w:cs="宋体" w:hint="eastAsia"/>
                <w:color w:val="000000"/>
                <w:kern w:val="0"/>
                <w:szCs w:val="21"/>
                <w:lang w:bidi="ar"/>
              </w:rPr>
              <w:t xml:space="preserve"> 500.00 </w:t>
            </w:r>
          </w:p>
        </w:tc>
        <w:tc>
          <w:tcPr>
            <w:tcW w:w="81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55ED" w:rsidRDefault="001B5565">
            <w:pPr>
              <w:widowControl/>
              <w:jc w:val="right"/>
              <w:textAlignment w:val="center"/>
              <w:rPr>
                <w:rFonts w:ascii="宋体" w:hAnsi="宋体" w:cs="宋体"/>
                <w:color w:val="000000"/>
                <w:szCs w:val="21"/>
              </w:rPr>
            </w:pPr>
            <w:r>
              <w:rPr>
                <w:rFonts w:ascii="宋体" w:hAnsi="宋体" w:cs="宋体" w:hint="eastAsia"/>
                <w:color w:val="000000"/>
                <w:kern w:val="0"/>
                <w:szCs w:val="21"/>
                <w:lang w:bidi="ar"/>
              </w:rPr>
              <w:t xml:space="preserve"> -4.00 </w:t>
            </w:r>
          </w:p>
        </w:tc>
        <w:tc>
          <w:tcPr>
            <w:tcW w:w="81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55ED" w:rsidRDefault="001B5565">
            <w:pPr>
              <w:widowControl/>
              <w:jc w:val="right"/>
              <w:textAlignment w:val="center"/>
              <w:rPr>
                <w:rFonts w:ascii="宋体" w:hAnsi="宋体" w:cs="宋体"/>
                <w:color w:val="000000"/>
                <w:szCs w:val="21"/>
              </w:rPr>
            </w:pPr>
            <w:r>
              <w:rPr>
                <w:rFonts w:ascii="宋体" w:hAnsi="宋体" w:cs="宋体" w:hint="eastAsia"/>
                <w:color w:val="000000"/>
                <w:kern w:val="0"/>
                <w:szCs w:val="21"/>
                <w:lang w:bidi="ar"/>
              </w:rPr>
              <w:t xml:space="preserve"> 496.00 </w:t>
            </w:r>
          </w:p>
        </w:tc>
        <w:tc>
          <w:tcPr>
            <w:tcW w:w="8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55ED" w:rsidRDefault="001B5565">
            <w:pPr>
              <w:widowControl/>
              <w:jc w:val="right"/>
              <w:textAlignment w:val="center"/>
              <w:rPr>
                <w:rFonts w:ascii="宋体" w:hAnsi="宋体" w:cs="宋体"/>
                <w:color w:val="000000"/>
                <w:szCs w:val="21"/>
              </w:rPr>
            </w:pPr>
            <w:r>
              <w:rPr>
                <w:rFonts w:ascii="宋体" w:hAnsi="宋体" w:cs="宋体" w:hint="eastAsia"/>
                <w:color w:val="000000"/>
                <w:kern w:val="0"/>
                <w:szCs w:val="21"/>
                <w:lang w:bidi="ar"/>
              </w:rPr>
              <w:t xml:space="preserve"> 496.00 </w:t>
            </w:r>
          </w:p>
        </w:tc>
        <w:tc>
          <w:tcPr>
            <w:tcW w:w="714"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5255ED" w:rsidRDefault="001B5565">
            <w:pPr>
              <w:widowControl/>
              <w:jc w:val="right"/>
              <w:textAlignment w:val="bottom"/>
              <w:rPr>
                <w:rFonts w:ascii="宋体" w:hAnsi="宋体" w:cs="宋体"/>
                <w:color w:val="000000"/>
                <w:szCs w:val="21"/>
              </w:rPr>
            </w:pPr>
            <w:r>
              <w:rPr>
                <w:rFonts w:ascii="宋体" w:hAnsi="宋体" w:cs="宋体" w:hint="eastAsia"/>
                <w:color w:val="000000"/>
                <w:kern w:val="0"/>
                <w:szCs w:val="21"/>
                <w:lang w:bidi="ar"/>
              </w:rPr>
              <w:t>100.00%</w:t>
            </w:r>
          </w:p>
        </w:tc>
      </w:tr>
      <w:tr w:rsidR="005255ED">
        <w:trPr>
          <w:trHeight w:val="415"/>
          <w:jc w:val="center"/>
        </w:trPr>
        <w:tc>
          <w:tcPr>
            <w:tcW w:w="10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55ED" w:rsidRDefault="001B5565">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即开型游戏营销</w:t>
            </w:r>
          </w:p>
        </w:tc>
        <w:tc>
          <w:tcPr>
            <w:tcW w:w="81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55ED" w:rsidRDefault="001B5565">
            <w:pPr>
              <w:widowControl/>
              <w:jc w:val="right"/>
              <w:textAlignment w:val="center"/>
              <w:rPr>
                <w:rFonts w:ascii="宋体" w:hAnsi="宋体" w:cs="宋体"/>
                <w:color w:val="000000"/>
                <w:szCs w:val="21"/>
              </w:rPr>
            </w:pPr>
            <w:r>
              <w:rPr>
                <w:rFonts w:ascii="宋体" w:hAnsi="宋体" w:cs="宋体" w:hint="eastAsia"/>
                <w:color w:val="000000"/>
                <w:kern w:val="0"/>
                <w:szCs w:val="21"/>
                <w:lang w:bidi="ar"/>
              </w:rPr>
              <w:t xml:space="preserve"> 400.00 </w:t>
            </w:r>
          </w:p>
        </w:tc>
        <w:tc>
          <w:tcPr>
            <w:tcW w:w="81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55ED" w:rsidRDefault="001B5565">
            <w:pPr>
              <w:widowControl/>
              <w:jc w:val="right"/>
              <w:textAlignment w:val="center"/>
              <w:rPr>
                <w:rFonts w:ascii="宋体" w:hAnsi="宋体" w:cs="宋体"/>
                <w:color w:val="000000"/>
                <w:szCs w:val="21"/>
              </w:rPr>
            </w:pPr>
            <w:r>
              <w:rPr>
                <w:rFonts w:ascii="宋体" w:hAnsi="宋体" w:cs="宋体" w:hint="eastAsia"/>
                <w:color w:val="000000"/>
                <w:kern w:val="0"/>
                <w:szCs w:val="21"/>
                <w:lang w:bidi="ar"/>
              </w:rPr>
              <w:t xml:space="preserve"> -4.00 </w:t>
            </w:r>
          </w:p>
        </w:tc>
        <w:tc>
          <w:tcPr>
            <w:tcW w:w="81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55ED" w:rsidRDefault="001B5565">
            <w:pPr>
              <w:widowControl/>
              <w:jc w:val="right"/>
              <w:textAlignment w:val="center"/>
              <w:rPr>
                <w:rFonts w:ascii="宋体" w:hAnsi="宋体" w:cs="宋体"/>
                <w:color w:val="000000"/>
                <w:szCs w:val="21"/>
              </w:rPr>
            </w:pPr>
            <w:r>
              <w:rPr>
                <w:rFonts w:ascii="宋体" w:hAnsi="宋体" w:cs="宋体" w:hint="eastAsia"/>
                <w:color w:val="000000"/>
                <w:kern w:val="0"/>
                <w:szCs w:val="21"/>
                <w:lang w:bidi="ar"/>
              </w:rPr>
              <w:t xml:space="preserve"> 396.00 </w:t>
            </w:r>
          </w:p>
        </w:tc>
        <w:tc>
          <w:tcPr>
            <w:tcW w:w="8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55ED" w:rsidRDefault="001B5565">
            <w:pPr>
              <w:widowControl/>
              <w:jc w:val="right"/>
              <w:textAlignment w:val="center"/>
              <w:rPr>
                <w:rFonts w:ascii="宋体" w:hAnsi="宋体" w:cs="宋体"/>
                <w:color w:val="000000"/>
                <w:szCs w:val="21"/>
              </w:rPr>
            </w:pPr>
            <w:r>
              <w:rPr>
                <w:rFonts w:ascii="宋体" w:hAnsi="宋体" w:cs="宋体" w:hint="eastAsia"/>
                <w:color w:val="000000"/>
                <w:kern w:val="0"/>
                <w:szCs w:val="21"/>
                <w:lang w:bidi="ar"/>
              </w:rPr>
              <w:t xml:space="preserve"> 396.00 </w:t>
            </w:r>
          </w:p>
        </w:tc>
        <w:tc>
          <w:tcPr>
            <w:tcW w:w="714"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5255ED" w:rsidRDefault="001B5565">
            <w:pPr>
              <w:widowControl/>
              <w:jc w:val="right"/>
              <w:textAlignment w:val="bottom"/>
              <w:rPr>
                <w:rFonts w:ascii="宋体" w:hAnsi="宋体" w:cs="宋体"/>
                <w:color w:val="000000"/>
                <w:szCs w:val="21"/>
              </w:rPr>
            </w:pPr>
            <w:r>
              <w:rPr>
                <w:rFonts w:ascii="宋体" w:hAnsi="宋体" w:cs="宋体" w:hint="eastAsia"/>
                <w:color w:val="000000"/>
                <w:kern w:val="0"/>
                <w:szCs w:val="21"/>
                <w:lang w:bidi="ar"/>
              </w:rPr>
              <w:t>100.00%</w:t>
            </w:r>
          </w:p>
        </w:tc>
      </w:tr>
      <w:tr w:rsidR="005255ED">
        <w:trPr>
          <w:trHeight w:val="415"/>
          <w:jc w:val="center"/>
        </w:trPr>
        <w:tc>
          <w:tcPr>
            <w:tcW w:w="10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55ED" w:rsidRDefault="001B5565">
            <w:pPr>
              <w:widowControl/>
              <w:jc w:val="center"/>
              <w:textAlignment w:val="center"/>
              <w:rPr>
                <w:rFonts w:ascii="宋体" w:hAnsi="宋体" w:cs="宋体"/>
                <w:color w:val="000000"/>
                <w:szCs w:val="21"/>
              </w:rPr>
            </w:pPr>
            <w:proofErr w:type="gramStart"/>
            <w:r>
              <w:rPr>
                <w:rFonts w:ascii="宋体" w:hAnsi="宋体" w:cs="宋体" w:hint="eastAsia"/>
                <w:color w:val="000000"/>
                <w:kern w:val="0"/>
                <w:szCs w:val="21"/>
                <w:lang w:bidi="ar"/>
              </w:rPr>
              <w:t>乐透型游戏</w:t>
            </w:r>
            <w:proofErr w:type="gramEnd"/>
            <w:r>
              <w:rPr>
                <w:rFonts w:ascii="宋体" w:hAnsi="宋体" w:cs="宋体" w:hint="eastAsia"/>
                <w:color w:val="000000"/>
                <w:kern w:val="0"/>
                <w:szCs w:val="21"/>
                <w:lang w:bidi="ar"/>
              </w:rPr>
              <w:t>营销</w:t>
            </w:r>
          </w:p>
        </w:tc>
        <w:tc>
          <w:tcPr>
            <w:tcW w:w="81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55ED" w:rsidRDefault="001B5565">
            <w:pPr>
              <w:widowControl/>
              <w:jc w:val="right"/>
              <w:textAlignment w:val="center"/>
              <w:rPr>
                <w:rFonts w:ascii="宋体" w:hAnsi="宋体" w:cs="宋体"/>
                <w:color w:val="000000"/>
                <w:szCs w:val="21"/>
              </w:rPr>
            </w:pPr>
            <w:r>
              <w:rPr>
                <w:rFonts w:ascii="宋体" w:hAnsi="宋体" w:cs="宋体" w:hint="eastAsia"/>
                <w:color w:val="000000"/>
                <w:kern w:val="0"/>
                <w:szCs w:val="21"/>
                <w:lang w:bidi="ar"/>
              </w:rPr>
              <w:t xml:space="preserve"> 500.00 </w:t>
            </w:r>
          </w:p>
        </w:tc>
        <w:tc>
          <w:tcPr>
            <w:tcW w:w="81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55ED" w:rsidRDefault="001B5565">
            <w:pPr>
              <w:widowControl/>
              <w:jc w:val="right"/>
              <w:textAlignment w:val="center"/>
              <w:rPr>
                <w:rFonts w:ascii="宋体" w:hAnsi="宋体" w:cs="宋体"/>
                <w:color w:val="000000"/>
                <w:szCs w:val="21"/>
              </w:rPr>
            </w:pPr>
            <w:r>
              <w:rPr>
                <w:rFonts w:ascii="宋体" w:hAnsi="宋体" w:cs="宋体" w:hint="eastAsia"/>
                <w:color w:val="000000"/>
                <w:kern w:val="0"/>
                <w:szCs w:val="21"/>
                <w:lang w:bidi="ar"/>
              </w:rPr>
              <w:t xml:space="preserve"> -2.91 </w:t>
            </w:r>
          </w:p>
        </w:tc>
        <w:tc>
          <w:tcPr>
            <w:tcW w:w="81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55ED" w:rsidRDefault="001B5565">
            <w:pPr>
              <w:widowControl/>
              <w:jc w:val="right"/>
              <w:textAlignment w:val="center"/>
              <w:rPr>
                <w:rFonts w:ascii="宋体" w:hAnsi="宋体" w:cs="宋体"/>
                <w:color w:val="000000"/>
                <w:szCs w:val="21"/>
              </w:rPr>
            </w:pPr>
            <w:r>
              <w:rPr>
                <w:rFonts w:ascii="宋体" w:hAnsi="宋体" w:cs="宋体" w:hint="eastAsia"/>
                <w:color w:val="000000"/>
                <w:kern w:val="0"/>
                <w:szCs w:val="21"/>
                <w:lang w:bidi="ar"/>
              </w:rPr>
              <w:t xml:space="preserve"> 497.09 </w:t>
            </w:r>
          </w:p>
        </w:tc>
        <w:tc>
          <w:tcPr>
            <w:tcW w:w="8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55ED" w:rsidRDefault="001B5565">
            <w:pPr>
              <w:widowControl/>
              <w:jc w:val="right"/>
              <w:textAlignment w:val="center"/>
              <w:rPr>
                <w:rFonts w:ascii="宋体" w:hAnsi="宋体" w:cs="宋体"/>
                <w:color w:val="000000"/>
                <w:szCs w:val="21"/>
              </w:rPr>
            </w:pPr>
            <w:r>
              <w:rPr>
                <w:rFonts w:ascii="宋体" w:hAnsi="宋体" w:cs="宋体" w:hint="eastAsia"/>
                <w:color w:val="000000"/>
                <w:kern w:val="0"/>
                <w:szCs w:val="21"/>
                <w:lang w:bidi="ar"/>
              </w:rPr>
              <w:t xml:space="preserve"> 497.09 </w:t>
            </w:r>
          </w:p>
        </w:tc>
        <w:tc>
          <w:tcPr>
            <w:tcW w:w="714"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5255ED" w:rsidRDefault="001B5565">
            <w:pPr>
              <w:widowControl/>
              <w:jc w:val="right"/>
              <w:textAlignment w:val="bottom"/>
              <w:rPr>
                <w:rFonts w:ascii="宋体" w:hAnsi="宋体" w:cs="宋体"/>
                <w:color w:val="000000"/>
                <w:szCs w:val="21"/>
              </w:rPr>
            </w:pPr>
            <w:r>
              <w:rPr>
                <w:rFonts w:ascii="宋体" w:hAnsi="宋体" w:cs="宋体" w:hint="eastAsia"/>
                <w:color w:val="000000"/>
                <w:kern w:val="0"/>
                <w:szCs w:val="21"/>
                <w:lang w:bidi="ar"/>
              </w:rPr>
              <w:t>100.00%</w:t>
            </w:r>
          </w:p>
        </w:tc>
      </w:tr>
      <w:tr w:rsidR="005255ED">
        <w:trPr>
          <w:trHeight w:val="415"/>
          <w:jc w:val="center"/>
        </w:trPr>
        <w:tc>
          <w:tcPr>
            <w:tcW w:w="10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55ED" w:rsidRDefault="001B5565">
            <w:pPr>
              <w:widowControl/>
              <w:jc w:val="center"/>
              <w:textAlignment w:val="center"/>
              <w:rPr>
                <w:rFonts w:ascii="宋体" w:hAnsi="宋体" w:cs="宋体"/>
                <w:b/>
                <w:bCs/>
                <w:color w:val="000000"/>
                <w:kern w:val="0"/>
                <w:szCs w:val="21"/>
                <w:lang w:bidi="ar"/>
              </w:rPr>
            </w:pPr>
            <w:r>
              <w:rPr>
                <w:rFonts w:ascii="宋体" w:hAnsi="宋体" w:cs="宋体" w:hint="eastAsia"/>
                <w:b/>
                <w:bCs/>
                <w:color w:val="000000"/>
                <w:kern w:val="0"/>
                <w:szCs w:val="21"/>
                <w:lang w:bidi="ar"/>
              </w:rPr>
              <w:t>合计</w:t>
            </w:r>
          </w:p>
        </w:tc>
        <w:tc>
          <w:tcPr>
            <w:tcW w:w="81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55ED" w:rsidRDefault="001B5565">
            <w:pPr>
              <w:widowControl/>
              <w:jc w:val="right"/>
              <w:textAlignment w:val="center"/>
              <w:rPr>
                <w:rFonts w:ascii="宋体" w:hAnsi="宋体" w:cs="宋体"/>
                <w:b/>
                <w:bCs/>
                <w:color w:val="000000"/>
                <w:szCs w:val="21"/>
              </w:rPr>
            </w:pPr>
            <w:r>
              <w:rPr>
                <w:rFonts w:ascii="宋体" w:hAnsi="宋体" w:cs="宋体" w:hint="eastAsia"/>
                <w:b/>
                <w:bCs/>
                <w:color w:val="000000"/>
                <w:kern w:val="0"/>
                <w:szCs w:val="21"/>
                <w:lang w:bidi="ar"/>
              </w:rPr>
              <w:t xml:space="preserve"> 1,440.80 </w:t>
            </w:r>
          </w:p>
        </w:tc>
        <w:tc>
          <w:tcPr>
            <w:tcW w:w="81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55ED" w:rsidRDefault="001B5565">
            <w:pPr>
              <w:widowControl/>
              <w:jc w:val="right"/>
              <w:textAlignment w:val="center"/>
              <w:rPr>
                <w:rFonts w:ascii="宋体" w:hAnsi="宋体" w:cs="宋体"/>
                <w:b/>
                <w:bCs/>
                <w:color w:val="000000"/>
                <w:szCs w:val="21"/>
              </w:rPr>
            </w:pPr>
            <w:r>
              <w:rPr>
                <w:rFonts w:ascii="宋体" w:hAnsi="宋体" w:cs="宋体" w:hint="eastAsia"/>
                <w:b/>
                <w:bCs/>
                <w:color w:val="000000"/>
                <w:kern w:val="0"/>
                <w:szCs w:val="21"/>
                <w:lang w:bidi="ar"/>
              </w:rPr>
              <w:t xml:space="preserve"> -10.91 </w:t>
            </w:r>
          </w:p>
        </w:tc>
        <w:tc>
          <w:tcPr>
            <w:tcW w:w="81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55ED" w:rsidRDefault="001B5565">
            <w:pPr>
              <w:widowControl/>
              <w:jc w:val="right"/>
              <w:textAlignment w:val="center"/>
              <w:rPr>
                <w:rFonts w:ascii="宋体" w:hAnsi="宋体" w:cs="宋体"/>
                <w:b/>
                <w:bCs/>
                <w:color w:val="000000"/>
                <w:szCs w:val="21"/>
              </w:rPr>
            </w:pPr>
            <w:r>
              <w:rPr>
                <w:rFonts w:ascii="宋体" w:hAnsi="宋体" w:cs="宋体" w:hint="eastAsia"/>
                <w:b/>
                <w:bCs/>
                <w:color w:val="000000"/>
                <w:kern w:val="0"/>
                <w:szCs w:val="21"/>
                <w:lang w:bidi="ar"/>
              </w:rPr>
              <w:t xml:space="preserve">1,429.89 </w:t>
            </w:r>
          </w:p>
        </w:tc>
        <w:tc>
          <w:tcPr>
            <w:tcW w:w="8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55ED" w:rsidRDefault="001B5565">
            <w:pPr>
              <w:widowControl/>
              <w:jc w:val="right"/>
              <w:textAlignment w:val="center"/>
              <w:rPr>
                <w:rFonts w:ascii="宋体" w:hAnsi="宋体" w:cs="宋体"/>
                <w:b/>
                <w:bCs/>
                <w:color w:val="000000"/>
                <w:szCs w:val="21"/>
              </w:rPr>
            </w:pPr>
            <w:r>
              <w:rPr>
                <w:rFonts w:ascii="宋体" w:hAnsi="宋体" w:cs="宋体" w:hint="eastAsia"/>
                <w:b/>
                <w:bCs/>
                <w:color w:val="000000"/>
                <w:kern w:val="0"/>
                <w:szCs w:val="21"/>
                <w:lang w:bidi="ar"/>
              </w:rPr>
              <w:t xml:space="preserve"> 1,429.84 </w:t>
            </w:r>
          </w:p>
        </w:tc>
        <w:tc>
          <w:tcPr>
            <w:tcW w:w="714"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5255ED" w:rsidRDefault="001B5565">
            <w:pPr>
              <w:widowControl/>
              <w:jc w:val="right"/>
              <w:textAlignment w:val="bottom"/>
              <w:rPr>
                <w:rFonts w:ascii="宋体" w:hAnsi="宋体" w:cs="宋体"/>
                <w:b/>
                <w:bCs/>
                <w:color w:val="000000"/>
                <w:szCs w:val="21"/>
              </w:rPr>
            </w:pPr>
            <w:r>
              <w:rPr>
                <w:rFonts w:ascii="宋体" w:hAnsi="宋体" w:cs="宋体" w:hint="eastAsia"/>
                <w:b/>
                <w:bCs/>
                <w:color w:val="000000"/>
                <w:kern w:val="0"/>
                <w:szCs w:val="21"/>
                <w:lang w:bidi="ar"/>
              </w:rPr>
              <w:t>100.00%</w:t>
            </w:r>
          </w:p>
        </w:tc>
      </w:tr>
    </w:tbl>
    <w:p w:rsidR="005255ED" w:rsidRDefault="001B5565">
      <w:pPr>
        <w:pStyle w:val="a0"/>
        <w:ind w:firstLineChars="200" w:firstLine="640"/>
        <w:rPr>
          <w:sz w:val="32"/>
          <w:szCs w:val="32"/>
        </w:rPr>
      </w:pPr>
      <w:r>
        <w:rPr>
          <w:sz w:val="32"/>
          <w:szCs w:val="32"/>
        </w:rPr>
        <w:t>为加强资金管理，规范财政资金的申报、使用、监督，</w:t>
      </w:r>
      <w:r>
        <w:rPr>
          <w:rFonts w:hAnsi="仿宋_GB2312" w:cs="仿宋_GB2312" w:hint="eastAsia"/>
          <w:sz w:val="32"/>
          <w:szCs w:val="32"/>
        </w:rPr>
        <w:t>北京市体育彩票管理中心</w:t>
      </w:r>
      <w:r>
        <w:rPr>
          <w:sz w:val="32"/>
          <w:szCs w:val="32"/>
        </w:rPr>
        <w:t>制定了《财务管理制度》，明确了</w:t>
      </w:r>
      <w:r>
        <w:rPr>
          <w:sz w:val="32"/>
          <w:szCs w:val="32"/>
        </w:rPr>
        <w:t>“</w:t>
      </w:r>
      <w:r>
        <w:rPr>
          <w:sz w:val="32"/>
          <w:szCs w:val="32"/>
        </w:rPr>
        <w:t>三重一大</w:t>
      </w:r>
      <w:r>
        <w:rPr>
          <w:sz w:val="32"/>
          <w:szCs w:val="32"/>
        </w:rPr>
        <w:t>”</w:t>
      </w:r>
      <w:r>
        <w:rPr>
          <w:sz w:val="32"/>
          <w:szCs w:val="32"/>
        </w:rPr>
        <w:t>经费使用及报销流程，项目资金管理制度较为健全。项目经费支出严格按照《财务管理制度》审批要求执行，项目由市场部负责人及分管领导对经济活动的真实性、费用发生的合理性、</w:t>
      </w:r>
      <w:r>
        <w:rPr>
          <w:rFonts w:hint="eastAsia"/>
          <w:sz w:val="32"/>
          <w:szCs w:val="32"/>
        </w:rPr>
        <w:t>支付进度</w:t>
      </w:r>
      <w:r>
        <w:rPr>
          <w:sz w:val="32"/>
          <w:szCs w:val="32"/>
        </w:rPr>
        <w:t>进行审核</w:t>
      </w:r>
      <w:r>
        <w:rPr>
          <w:rFonts w:hint="eastAsia"/>
          <w:sz w:val="32"/>
          <w:szCs w:val="32"/>
        </w:rPr>
        <w:t>把控</w:t>
      </w:r>
      <w:r>
        <w:rPr>
          <w:sz w:val="32"/>
          <w:szCs w:val="32"/>
        </w:rPr>
        <w:t>。后财务部</w:t>
      </w:r>
      <w:r>
        <w:rPr>
          <w:rFonts w:hint="eastAsia"/>
          <w:sz w:val="32"/>
          <w:szCs w:val="32"/>
        </w:rPr>
        <w:t>通过</w:t>
      </w:r>
      <w:r>
        <w:rPr>
          <w:sz w:val="32"/>
          <w:szCs w:val="32"/>
        </w:rPr>
        <w:t>审核</w:t>
      </w:r>
      <w:r>
        <w:rPr>
          <w:rFonts w:hint="eastAsia"/>
          <w:sz w:val="32"/>
          <w:szCs w:val="32"/>
        </w:rPr>
        <w:t>相关支付手续</w:t>
      </w:r>
      <w:r>
        <w:rPr>
          <w:sz w:val="32"/>
          <w:szCs w:val="32"/>
        </w:rPr>
        <w:t>，对预算控制、票据的真实合</w:t>
      </w:r>
      <w:proofErr w:type="gramStart"/>
      <w:r>
        <w:rPr>
          <w:sz w:val="32"/>
          <w:szCs w:val="32"/>
        </w:rPr>
        <w:t>规</w:t>
      </w:r>
      <w:proofErr w:type="gramEnd"/>
      <w:r>
        <w:rPr>
          <w:sz w:val="32"/>
          <w:szCs w:val="32"/>
        </w:rPr>
        <w:t>完整、审批手续的完备性、经济活动的合法性进行监督审核，经费支出手续完备。会计核算规范，符合会计准则；不存在虚列（套取）、支出依据不合</w:t>
      </w:r>
      <w:proofErr w:type="gramStart"/>
      <w:r>
        <w:rPr>
          <w:sz w:val="32"/>
          <w:szCs w:val="32"/>
        </w:rPr>
        <w:t>规</w:t>
      </w:r>
      <w:proofErr w:type="gramEnd"/>
      <w:r>
        <w:rPr>
          <w:sz w:val="32"/>
          <w:szCs w:val="32"/>
        </w:rPr>
        <w:t>、截留、挤占、挪用、超标准开支情况。</w:t>
      </w:r>
    </w:p>
    <w:p w:rsidR="005255ED" w:rsidRDefault="001B5565">
      <w:pPr>
        <w:pStyle w:val="a0"/>
        <w:ind w:firstLineChars="200" w:firstLine="643"/>
        <w:outlineLvl w:val="2"/>
        <w:rPr>
          <w:b/>
          <w:bCs/>
          <w:sz w:val="32"/>
          <w:szCs w:val="32"/>
        </w:rPr>
      </w:pPr>
      <w:r>
        <w:rPr>
          <w:rFonts w:hint="eastAsia"/>
          <w:b/>
          <w:bCs/>
          <w:sz w:val="32"/>
          <w:szCs w:val="32"/>
        </w:rPr>
        <w:t>2.组织实施</w:t>
      </w:r>
    </w:p>
    <w:p w:rsidR="005255ED" w:rsidRDefault="001B5565">
      <w:pPr>
        <w:pStyle w:val="a0"/>
        <w:ind w:firstLineChars="200" w:firstLine="643"/>
        <w:rPr>
          <w:sz w:val="32"/>
          <w:szCs w:val="32"/>
        </w:rPr>
      </w:pPr>
      <w:r>
        <w:rPr>
          <w:rFonts w:hint="eastAsia"/>
          <w:b/>
          <w:bCs/>
          <w:sz w:val="32"/>
          <w:szCs w:val="32"/>
        </w:rPr>
        <w:t>制度建设方面。</w:t>
      </w:r>
      <w:r>
        <w:rPr>
          <w:rFonts w:hint="eastAsia"/>
          <w:sz w:val="32"/>
          <w:szCs w:val="32"/>
        </w:rPr>
        <w:t>该项目</w:t>
      </w:r>
      <w:proofErr w:type="gramStart"/>
      <w:r>
        <w:rPr>
          <w:rFonts w:hint="eastAsia"/>
          <w:sz w:val="32"/>
          <w:szCs w:val="32"/>
        </w:rPr>
        <w:t>业财制度</w:t>
      </w:r>
      <w:proofErr w:type="gramEnd"/>
      <w:r>
        <w:rPr>
          <w:rFonts w:hint="eastAsia"/>
          <w:sz w:val="32"/>
          <w:szCs w:val="32"/>
        </w:rPr>
        <w:t>较为完善，如</w:t>
      </w:r>
      <w:r>
        <w:rPr>
          <w:sz w:val="32"/>
          <w:szCs w:val="32"/>
        </w:rPr>
        <w:t>财务管理方面，北京市体育彩票管理中心制定了系列管理制度规范资金申请、支出等工作，如</w:t>
      </w:r>
      <w:bookmarkStart w:id="72" w:name="_GoBack"/>
      <w:r>
        <w:rPr>
          <w:sz w:val="32"/>
          <w:szCs w:val="32"/>
        </w:rPr>
        <w:t>《</w:t>
      </w:r>
      <w:bookmarkEnd w:id="72"/>
      <w:r>
        <w:rPr>
          <w:sz w:val="32"/>
          <w:szCs w:val="32"/>
        </w:rPr>
        <w:t>北京市体育彩票管理中心体育彩</w:t>
      </w:r>
      <w:r w:rsidRPr="00A042E6">
        <w:rPr>
          <w:sz w:val="32"/>
          <w:szCs w:val="32"/>
        </w:rPr>
        <w:lastRenderedPageBreak/>
        <w:t>票资金管理办法》《预算管理制度》《财务收支审批制度》《财务部支票管理制度》《财务部印章管理制度》等。业务管理方面，北京市体育彩票管理中心为加强业务管理、提高工作执行效率，出台了《关于重大项目的实施方案》《重大项目执行组工作规范》《合同管理制度》等文件。</w:t>
      </w:r>
      <w:r>
        <w:rPr>
          <w:sz w:val="32"/>
          <w:szCs w:val="32"/>
        </w:rPr>
        <w:t>项目实施中，由各中标单位根据工作要求按活动分别拟定实施方案，经中心市场部批准后组织实施。</w:t>
      </w:r>
      <w:r>
        <w:rPr>
          <w:rFonts w:hint="eastAsia"/>
          <w:sz w:val="32"/>
          <w:szCs w:val="32"/>
        </w:rPr>
        <w:t>但评价发现，该项目未结合工作要求拟定能反映本年组织各类营销活动的次数、时间、总体要求的年度计划或专项方案。</w:t>
      </w:r>
    </w:p>
    <w:p w:rsidR="005255ED" w:rsidRDefault="001B5565">
      <w:pPr>
        <w:pStyle w:val="a0"/>
        <w:ind w:firstLineChars="200" w:firstLine="643"/>
        <w:rPr>
          <w:sz w:val="32"/>
          <w:szCs w:val="32"/>
        </w:rPr>
      </w:pPr>
      <w:r>
        <w:rPr>
          <w:rFonts w:hint="eastAsia"/>
          <w:b/>
          <w:bCs/>
          <w:sz w:val="32"/>
          <w:szCs w:val="32"/>
        </w:rPr>
        <w:t>制度执行方面</w:t>
      </w:r>
      <w:r>
        <w:rPr>
          <w:rFonts w:hint="eastAsia"/>
          <w:sz w:val="32"/>
          <w:szCs w:val="32"/>
        </w:rPr>
        <w:t>。该项目采购、合同签订、</w:t>
      </w:r>
      <w:proofErr w:type="gramStart"/>
      <w:r>
        <w:rPr>
          <w:rFonts w:hint="eastAsia"/>
          <w:sz w:val="32"/>
          <w:szCs w:val="32"/>
        </w:rPr>
        <w:t>结项验收</w:t>
      </w:r>
      <w:proofErr w:type="gramEnd"/>
      <w:r>
        <w:rPr>
          <w:rFonts w:hint="eastAsia"/>
          <w:sz w:val="32"/>
          <w:szCs w:val="32"/>
        </w:rPr>
        <w:t>等组织实施符合相关法律法规和管理规定，2021年1月</w:t>
      </w:r>
      <w:r>
        <w:rPr>
          <w:rFonts w:hAnsi="仿宋_GB2312" w:cs="仿宋_GB2312" w:hint="eastAsia"/>
          <w:sz w:val="32"/>
          <w:szCs w:val="32"/>
        </w:rPr>
        <w:t>北京市体育彩票管理中心</w:t>
      </w:r>
      <w:r>
        <w:rPr>
          <w:rFonts w:hint="eastAsia"/>
          <w:sz w:val="32"/>
          <w:szCs w:val="32"/>
        </w:rPr>
        <w:t>党支部委员会议研究同意开展即开型游戏、竞猜型游戏、</w:t>
      </w:r>
      <w:proofErr w:type="gramStart"/>
      <w:r>
        <w:rPr>
          <w:rFonts w:hint="eastAsia"/>
          <w:sz w:val="32"/>
          <w:szCs w:val="32"/>
        </w:rPr>
        <w:t>乐透型游戏</w:t>
      </w:r>
      <w:proofErr w:type="gramEnd"/>
      <w:r>
        <w:rPr>
          <w:rFonts w:hint="eastAsia"/>
          <w:sz w:val="32"/>
          <w:szCs w:val="32"/>
        </w:rPr>
        <w:t>的采购工作，经公开招标，2021年2月确定北京橙</w:t>
      </w:r>
      <w:proofErr w:type="gramStart"/>
      <w:r>
        <w:rPr>
          <w:rFonts w:hint="eastAsia"/>
          <w:sz w:val="32"/>
          <w:szCs w:val="32"/>
        </w:rPr>
        <w:t>懿懿</w:t>
      </w:r>
      <w:proofErr w:type="gramEnd"/>
      <w:r>
        <w:rPr>
          <w:rFonts w:hint="eastAsia"/>
          <w:sz w:val="32"/>
          <w:szCs w:val="32"/>
        </w:rPr>
        <w:t>橙公关顾问有限公司、北京中体彩市场营销推广有限公司</w:t>
      </w:r>
      <w:proofErr w:type="gramStart"/>
      <w:r>
        <w:rPr>
          <w:rFonts w:hint="eastAsia"/>
          <w:sz w:val="32"/>
          <w:szCs w:val="32"/>
        </w:rPr>
        <w:t>为乐透型游戏</w:t>
      </w:r>
      <w:proofErr w:type="gramEnd"/>
      <w:r>
        <w:rPr>
          <w:rFonts w:hint="eastAsia"/>
          <w:sz w:val="32"/>
          <w:szCs w:val="32"/>
        </w:rPr>
        <w:t>营销、竞猜型游戏营销、即开型游戏营销的中标单位。项目组严格按照中心《合同管理制度》要求，经律师二次审核后，与中标单位签订合同。在服务履约完成后，组织了验收和内部审计等工作，对各项服务内容完成情况进行考核。评价认为，该项目组织实施较为规范，但仍存在以下不足之处，一是</w:t>
      </w:r>
      <w:proofErr w:type="gramStart"/>
      <w:r>
        <w:rPr>
          <w:rFonts w:hint="eastAsia"/>
          <w:sz w:val="32"/>
          <w:szCs w:val="32"/>
        </w:rPr>
        <w:t>乐透型游戏</w:t>
      </w:r>
      <w:proofErr w:type="gramEnd"/>
      <w:r>
        <w:rPr>
          <w:rFonts w:hint="eastAsia"/>
          <w:sz w:val="32"/>
          <w:szCs w:val="32"/>
        </w:rPr>
        <w:t>营销活动用于反馈给彩票销售人员及购彩人员促销金额低于合同约定金额，差额8.3459万元，目前项目已按照合同约定条款，</w:t>
      </w:r>
      <w:r>
        <w:rPr>
          <w:rFonts w:hint="eastAsia"/>
          <w:sz w:val="32"/>
          <w:szCs w:val="32"/>
        </w:rPr>
        <w:lastRenderedPageBreak/>
        <w:t>制定整改方案，二是对促销金额的界定不够明确，未明确属于促销金额的费用范围，易产生纠纷，三是验收要求较为模糊，验收条款仅规定回馈销售网点、购票人的金额下线，对于其他问题没有明确的验收规定。</w:t>
      </w:r>
    </w:p>
    <w:p w:rsidR="005255ED" w:rsidRDefault="001B5565">
      <w:pPr>
        <w:spacing w:line="600" w:lineRule="exact"/>
        <w:ind w:firstLineChars="200" w:firstLine="640"/>
        <w:outlineLvl w:val="1"/>
        <w:rPr>
          <w:rFonts w:ascii="楷体_GB2312" w:eastAsia="楷体_GB2312" w:hAnsi="楷体_GB2312" w:cs="楷体_GB2312"/>
          <w:sz w:val="32"/>
          <w:szCs w:val="32"/>
        </w:rPr>
      </w:pPr>
      <w:bookmarkStart w:id="73" w:name="_Toc9860"/>
      <w:bookmarkStart w:id="74" w:name="_Toc103607517"/>
      <w:bookmarkStart w:id="75" w:name="_Toc103617254"/>
      <w:bookmarkStart w:id="76" w:name="_Toc103676878"/>
      <w:bookmarkStart w:id="77" w:name="_Toc3039"/>
      <w:r>
        <w:rPr>
          <w:rFonts w:ascii="楷体_GB2312" w:eastAsia="楷体_GB2312" w:hAnsi="楷体_GB2312" w:cs="楷体_GB2312" w:hint="eastAsia"/>
          <w:sz w:val="32"/>
          <w:szCs w:val="32"/>
        </w:rPr>
        <w:t>（三）项目产出情况</w:t>
      </w:r>
      <w:bookmarkEnd w:id="73"/>
      <w:bookmarkEnd w:id="74"/>
      <w:bookmarkEnd w:id="75"/>
      <w:bookmarkEnd w:id="76"/>
      <w:bookmarkEnd w:id="77"/>
    </w:p>
    <w:p w:rsidR="005255ED" w:rsidRDefault="001B5565">
      <w:pPr>
        <w:pStyle w:val="a0"/>
        <w:ind w:firstLineChars="200" w:firstLine="640"/>
        <w:rPr>
          <w:sz w:val="32"/>
          <w:szCs w:val="32"/>
        </w:rPr>
      </w:pPr>
      <w:r>
        <w:rPr>
          <w:rFonts w:hint="eastAsia"/>
          <w:sz w:val="32"/>
          <w:szCs w:val="32"/>
        </w:rPr>
        <w:t>2021年共开展各类营销活动9次，均在12月10日前组织实施，其中即开型游戏营销活动3次、竞猜型游戏营销活动3次、</w:t>
      </w:r>
      <w:proofErr w:type="gramStart"/>
      <w:r>
        <w:rPr>
          <w:rFonts w:hint="eastAsia"/>
          <w:sz w:val="32"/>
          <w:szCs w:val="32"/>
        </w:rPr>
        <w:t>乐透型游戏</w:t>
      </w:r>
      <w:proofErr w:type="gramEnd"/>
      <w:r>
        <w:rPr>
          <w:rFonts w:hint="eastAsia"/>
          <w:sz w:val="32"/>
          <w:szCs w:val="32"/>
        </w:rPr>
        <w:t>营销3次、新渠道营销活动1次，活动完成率150%。且各项活动完成较为及时，符合招标文件中的工作时间要求。但活动奖品及奖励发放准确性方面仍有不足，成本控制需进一步加强，</w:t>
      </w:r>
      <w:proofErr w:type="gramStart"/>
      <w:r>
        <w:rPr>
          <w:rFonts w:hint="eastAsia"/>
          <w:sz w:val="32"/>
          <w:szCs w:val="32"/>
        </w:rPr>
        <w:t>乐透型游戏</w:t>
      </w:r>
      <w:proofErr w:type="gramEnd"/>
      <w:r>
        <w:rPr>
          <w:rFonts w:hint="eastAsia"/>
          <w:sz w:val="32"/>
          <w:szCs w:val="32"/>
        </w:rPr>
        <w:t>营销中一次活动奖品未完全发放，促销返还金额低于合同约定金额，差额8.3459万元。</w:t>
      </w:r>
    </w:p>
    <w:p w:rsidR="005255ED" w:rsidRDefault="001B5565" w:rsidP="00DD77ED">
      <w:pPr>
        <w:pStyle w:val="a0"/>
        <w:spacing w:beforeLines="50" w:before="156"/>
        <w:ind w:firstLine="0"/>
        <w:jc w:val="center"/>
        <w:rPr>
          <w:rFonts w:ascii="黑体" w:eastAsia="黑体" w:hAnsi="黑体" w:cs="黑体"/>
          <w:sz w:val="21"/>
          <w:szCs w:val="21"/>
        </w:rPr>
      </w:pPr>
      <w:r>
        <w:rPr>
          <w:rFonts w:ascii="黑体" w:eastAsia="黑体" w:hAnsi="黑体" w:cs="黑体" w:hint="eastAsia"/>
          <w:sz w:val="21"/>
          <w:szCs w:val="21"/>
        </w:rPr>
        <w:t>表</w:t>
      </w:r>
      <w:r>
        <w:rPr>
          <w:rFonts w:ascii="黑体" w:eastAsia="黑体" w:hAnsi="黑体" w:cs="黑体"/>
          <w:sz w:val="21"/>
          <w:szCs w:val="21"/>
        </w:rPr>
        <w:t>4</w:t>
      </w:r>
      <w:r>
        <w:rPr>
          <w:rFonts w:ascii="黑体" w:eastAsia="黑体" w:hAnsi="黑体" w:cs="黑体" w:hint="eastAsia"/>
          <w:sz w:val="21"/>
          <w:szCs w:val="21"/>
        </w:rPr>
        <w:t xml:space="preserve"> 2021年市场营销费项目营销活动</w:t>
      </w:r>
    </w:p>
    <w:tbl>
      <w:tblPr>
        <w:tblW w:w="8346" w:type="dxa"/>
        <w:tblInd w:w="98" w:type="dxa"/>
        <w:tblLayout w:type="fixed"/>
        <w:tblLook w:val="04A0" w:firstRow="1" w:lastRow="0" w:firstColumn="1" w:lastColumn="0" w:noHBand="0" w:noVBand="1"/>
      </w:tblPr>
      <w:tblGrid>
        <w:gridCol w:w="1320"/>
        <w:gridCol w:w="6051"/>
        <w:gridCol w:w="975"/>
      </w:tblGrid>
      <w:tr w:rsidR="005255ED">
        <w:trPr>
          <w:trHeight w:val="300"/>
          <w:tblHeader/>
        </w:trPr>
        <w:tc>
          <w:tcPr>
            <w:tcW w:w="132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noWrap/>
            <w:vAlign w:val="center"/>
          </w:tcPr>
          <w:p w:rsidR="005255ED" w:rsidRDefault="001B5565">
            <w:pPr>
              <w:widowControl/>
              <w:jc w:val="center"/>
              <w:textAlignment w:val="bottom"/>
              <w:rPr>
                <w:rFonts w:ascii="宋体" w:hAnsi="宋体" w:cs="宋体"/>
                <w:b/>
                <w:bCs/>
                <w:color w:val="000000"/>
                <w:sz w:val="24"/>
              </w:rPr>
            </w:pPr>
            <w:r>
              <w:rPr>
                <w:rFonts w:ascii="宋体" w:hAnsi="宋体" w:cs="宋体" w:hint="eastAsia"/>
                <w:b/>
                <w:bCs/>
                <w:color w:val="000000"/>
                <w:kern w:val="0"/>
                <w:sz w:val="24"/>
                <w:lang w:bidi="ar"/>
              </w:rPr>
              <w:t>活动时间</w:t>
            </w:r>
          </w:p>
        </w:tc>
        <w:tc>
          <w:tcPr>
            <w:tcW w:w="605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noWrap/>
            <w:vAlign w:val="center"/>
          </w:tcPr>
          <w:p w:rsidR="005255ED" w:rsidRDefault="001B5565">
            <w:pPr>
              <w:widowControl/>
              <w:jc w:val="center"/>
              <w:textAlignment w:val="bottom"/>
              <w:rPr>
                <w:rFonts w:ascii="宋体" w:hAnsi="宋体" w:cs="宋体"/>
                <w:b/>
                <w:bCs/>
                <w:color w:val="000000"/>
                <w:sz w:val="24"/>
              </w:rPr>
            </w:pPr>
            <w:r>
              <w:rPr>
                <w:rFonts w:ascii="宋体" w:hAnsi="宋体" w:cs="宋体" w:hint="eastAsia"/>
                <w:b/>
                <w:bCs/>
                <w:color w:val="000000"/>
                <w:kern w:val="0"/>
                <w:sz w:val="24"/>
                <w:lang w:bidi="ar"/>
              </w:rPr>
              <w:t>活动内容</w:t>
            </w:r>
          </w:p>
        </w:tc>
        <w:tc>
          <w:tcPr>
            <w:tcW w:w="97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noWrap/>
            <w:vAlign w:val="center"/>
          </w:tcPr>
          <w:p w:rsidR="005255ED" w:rsidRDefault="001B5565">
            <w:pPr>
              <w:widowControl/>
              <w:jc w:val="center"/>
              <w:textAlignment w:val="bottom"/>
              <w:rPr>
                <w:rFonts w:ascii="宋体" w:hAnsi="宋体" w:cs="宋体"/>
                <w:b/>
                <w:bCs/>
                <w:color w:val="000000"/>
                <w:sz w:val="24"/>
              </w:rPr>
            </w:pPr>
            <w:r>
              <w:rPr>
                <w:rFonts w:ascii="宋体" w:hAnsi="宋体" w:cs="宋体" w:hint="eastAsia"/>
                <w:b/>
                <w:bCs/>
                <w:color w:val="000000"/>
                <w:kern w:val="0"/>
                <w:sz w:val="24"/>
                <w:lang w:bidi="ar"/>
              </w:rPr>
              <w:t>次数</w:t>
            </w:r>
          </w:p>
        </w:tc>
      </w:tr>
      <w:tr w:rsidR="005255ED">
        <w:trPr>
          <w:trHeight w:val="300"/>
        </w:trPr>
        <w:tc>
          <w:tcPr>
            <w:tcW w:w="737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5255ED" w:rsidRDefault="001B5565">
            <w:pPr>
              <w:widowControl/>
              <w:jc w:val="left"/>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即开型游戏营销项目</w:t>
            </w:r>
          </w:p>
        </w:tc>
        <w:tc>
          <w:tcPr>
            <w:tcW w:w="9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255ED" w:rsidRDefault="001B5565">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3</w:t>
            </w:r>
          </w:p>
        </w:tc>
      </w:tr>
      <w:tr w:rsidR="005255ED">
        <w:trPr>
          <w:trHeight w:val="300"/>
        </w:trPr>
        <w:tc>
          <w:tcPr>
            <w:tcW w:w="132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5255ED" w:rsidRDefault="001B5565">
            <w:pPr>
              <w:widowControl/>
              <w:jc w:val="center"/>
              <w:textAlignment w:val="bottom"/>
              <w:rPr>
                <w:rFonts w:ascii="宋体" w:hAnsi="宋体" w:cs="宋体"/>
                <w:color w:val="000000"/>
                <w:szCs w:val="21"/>
              </w:rPr>
            </w:pPr>
            <w:r>
              <w:rPr>
                <w:rFonts w:ascii="宋体" w:hAnsi="宋体" w:cs="宋体" w:hint="eastAsia"/>
                <w:color w:val="000000"/>
                <w:kern w:val="0"/>
                <w:szCs w:val="21"/>
                <w:lang w:bidi="ar"/>
              </w:rPr>
              <w:t>4月</w:t>
            </w:r>
          </w:p>
        </w:tc>
        <w:tc>
          <w:tcPr>
            <w:tcW w:w="60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55ED" w:rsidRDefault="001B5565">
            <w:pPr>
              <w:widowControl/>
              <w:jc w:val="left"/>
              <w:textAlignment w:val="center"/>
              <w:rPr>
                <w:rFonts w:ascii="宋体" w:hAnsi="宋体" w:cs="宋体"/>
                <w:color w:val="000000"/>
                <w:szCs w:val="21"/>
              </w:rPr>
            </w:pPr>
            <w:r>
              <w:rPr>
                <w:rFonts w:ascii="宋体" w:hAnsi="宋体" w:cs="宋体" w:hint="eastAsia"/>
                <w:color w:val="000000"/>
                <w:kern w:val="0"/>
                <w:szCs w:val="21"/>
                <w:lang w:bidi="ar"/>
              </w:rPr>
              <w:t>“鸿运开，翻倍赢家有好礼”即开型彩票营销活动</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55ED" w:rsidRDefault="001B55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p>
        </w:tc>
      </w:tr>
      <w:tr w:rsidR="005255ED">
        <w:trPr>
          <w:trHeight w:val="300"/>
        </w:trPr>
        <w:tc>
          <w:tcPr>
            <w:tcW w:w="132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5255ED" w:rsidRDefault="001B5565">
            <w:pPr>
              <w:widowControl/>
              <w:jc w:val="center"/>
              <w:textAlignment w:val="bottom"/>
              <w:rPr>
                <w:rFonts w:ascii="宋体" w:hAnsi="宋体" w:cs="宋体"/>
                <w:color w:val="000000"/>
                <w:szCs w:val="21"/>
              </w:rPr>
            </w:pPr>
            <w:r>
              <w:rPr>
                <w:rFonts w:ascii="宋体" w:hAnsi="宋体" w:cs="宋体" w:hint="eastAsia"/>
                <w:color w:val="000000"/>
                <w:kern w:val="0"/>
                <w:szCs w:val="21"/>
                <w:lang w:bidi="ar"/>
              </w:rPr>
              <w:t>9月</w:t>
            </w:r>
          </w:p>
        </w:tc>
        <w:tc>
          <w:tcPr>
            <w:tcW w:w="60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5255ED" w:rsidRDefault="001B5565">
            <w:pPr>
              <w:widowControl/>
              <w:jc w:val="left"/>
              <w:textAlignment w:val="bottom"/>
              <w:rPr>
                <w:rFonts w:ascii="宋体" w:hAnsi="宋体" w:cs="宋体"/>
                <w:color w:val="000000"/>
                <w:szCs w:val="21"/>
              </w:rPr>
            </w:pPr>
            <w:r>
              <w:rPr>
                <w:rFonts w:ascii="宋体" w:hAnsi="宋体" w:cs="宋体" w:hint="eastAsia"/>
                <w:color w:val="000000"/>
                <w:kern w:val="0"/>
                <w:szCs w:val="21"/>
                <w:lang w:bidi="ar"/>
              </w:rPr>
              <w:t>新票“五虎将”上市的配套营销活动</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55ED" w:rsidRDefault="001B55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p>
        </w:tc>
      </w:tr>
      <w:tr w:rsidR="005255ED">
        <w:trPr>
          <w:trHeight w:val="300"/>
        </w:trPr>
        <w:tc>
          <w:tcPr>
            <w:tcW w:w="132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5255ED" w:rsidRDefault="001B5565">
            <w:pPr>
              <w:widowControl/>
              <w:jc w:val="center"/>
              <w:textAlignment w:val="bottom"/>
              <w:rPr>
                <w:rFonts w:ascii="宋体" w:hAnsi="宋体" w:cs="宋体"/>
                <w:color w:val="000000"/>
                <w:szCs w:val="21"/>
              </w:rPr>
            </w:pPr>
            <w:r>
              <w:rPr>
                <w:rFonts w:ascii="宋体" w:hAnsi="宋体" w:cs="宋体" w:hint="eastAsia"/>
                <w:color w:val="000000"/>
                <w:kern w:val="0"/>
                <w:szCs w:val="21"/>
                <w:lang w:bidi="ar"/>
              </w:rPr>
              <w:t>11月</w:t>
            </w:r>
          </w:p>
        </w:tc>
        <w:tc>
          <w:tcPr>
            <w:tcW w:w="60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55ED" w:rsidRDefault="001B5565">
            <w:pPr>
              <w:widowControl/>
              <w:jc w:val="left"/>
              <w:textAlignment w:val="center"/>
              <w:rPr>
                <w:rFonts w:ascii="宋体" w:hAnsi="宋体" w:cs="宋体"/>
                <w:color w:val="000000"/>
                <w:szCs w:val="21"/>
              </w:rPr>
            </w:pPr>
            <w:r>
              <w:rPr>
                <w:rFonts w:ascii="宋体" w:hAnsi="宋体" w:cs="宋体" w:hint="eastAsia"/>
                <w:color w:val="000000"/>
                <w:kern w:val="0"/>
                <w:szCs w:val="21"/>
                <w:lang w:bidi="ar"/>
              </w:rPr>
              <w:t>渠道标签细分的即开营销活动</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55ED" w:rsidRDefault="001B55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p>
        </w:tc>
      </w:tr>
      <w:tr w:rsidR="005255ED">
        <w:trPr>
          <w:trHeight w:val="300"/>
        </w:trPr>
        <w:tc>
          <w:tcPr>
            <w:tcW w:w="737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5255ED" w:rsidRDefault="001B5565">
            <w:pPr>
              <w:widowControl/>
              <w:jc w:val="left"/>
              <w:textAlignment w:val="center"/>
              <w:rPr>
                <w:rFonts w:ascii="宋体" w:hAnsi="宋体" w:cs="宋体"/>
                <w:b/>
                <w:bCs/>
                <w:color w:val="000000"/>
                <w:szCs w:val="21"/>
              </w:rPr>
            </w:pPr>
            <w:r>
              <w:rPr>
                <w:rFonts w:ascii="宋体" w:hAnsi="宋体" w:cs="宋体" w:hint="eastAsia"/>
                <w:b/>
                <w:bCs/>
                <w:color w:val="000000"/>
                <w:kern w:val="0"/>
                <w:szCs w:val="21"/>
                <w:lang w:bidi="ar"/>
              </w:rPr>
              <w:t>竞猜型游戏营销项目</w:t>
            </w:r>
          </w:p>
        </w:tc>
        <w:tc>
          <w:tcPr>
            <w:tcW w:w="97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5255ED" w:rsidRDefault="001B5565">
            <w:pPr>
              <w:widowControl/>
              <w:jc w:val="center"/>
              <w:textAlignment w:val="bottom"/>
              <w:rPr>
                <w:rFonts w:ascii="宋体" w:hAnsi="宋体" w:cs="宋体"/>
                <w:b/>
                <w:bCs/>
                <w:color w:val="000000"/>
                <w:sz w:val="20"/>
                <w:szCs w:val="20"/>
              </w:rPr>
            </w:pPr>
            <w:r>
              <w:rPr>
                <w:rFonts w:ascii="宋体" w:hAnsi="宋体" w:cs="宋体" w:hint="eastAsia"/>
                <w:b/>
                <w:bCs/>
                <w:color w:val="000000"/>
                <w:kern w:val="0"/>
                <w:sz w:val="20"/>
                <w:szCs w:val="20"/>
                <w:lang w:bidi="ar"/>
              </w:rPr>
              <w:t>2</w:t>
            </w:r>
          </w:p>
        </w:tc>
      </w:tr>
      <w:tr w:rsidR="005255ED">
        <w:trPr>
          <w:trHeight w:val="300"/>
        </w:trPr>
        <w:tc>
          <w:tcPr>
            <w:tcW w:w="132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5255ED" w:rsidRDefault="001B5565">
            <w:pPr>
              <w:widowControl/>
              <w:jc w:val="center"/>
              <w:textAlignment w:val="bottom"/>
              <w:rPr>
                <w:rFonts w:ascii="宋体" w:hAnsi="宋体" w:cs="宋体"/>
                <w:color w:val="000000"/>
                <w:szCs w:val="21"/>
              </w:rPr>
            </w:pPr>
            <w:r>
              <w:rPr>
                <w:rFonts w:ascii="宋体" w:hAnsi="宋体" w:cs="宋体" w:hint="eastAsia"/>
                <w:color w:val="000000"/>
                <w:kern w:val="0"/>
                <w:szCs w:val="21"/>
                <w:lang w:bidi="ar"/>
              </w:rPr>
              <w:t>8月</w:t>
            </w:r>
          </w:p>
        </w:tc>
        <w:tc>
          <w:tcPr>
            <w:tcW w:w="60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255ED" w:rsidRDefault="001B5565">
            <w:pPr>
              <w:widowControl/>
              <w:jc w:val="left"/>
              <w:textAlignment w:val="center"/>
              <w:rPr>
                <w:rFonts w:ascii="宋体" w:hAnsi="宋体" w:cs="宋体"/>
                <w:color w:val="000000"/>
                <w:szCs w:val="21"/>
              </w:rPr>
            </w:pPr>
            <w:r>
              <w:rPr>
                <w:rFonts w:ascii="宋体" w:hAnsi="宋体" w:cs="宋体" w:hint="eastAsia"/>
                <w:color w:val="000000"/>
                <w:kern w:val="0"/>
                <w:szCs w:val="21"/>
                <w:lang w:bidi="ar"/>
              </w:rPr>
              <w:t xml:space="preserve">饕餮新赛季 </w:t>
            </w:r>
            <w:proofErr w:type="gramStart"/>
            <w:r>
              <w:rPr>
                <w:rFonts w:ascii="宋体" w:hAnsi="宋体" w:cs="宋体" w:hint="eastAsia"/>
                <w:color w:val="000000"/>
                <w:kern w:val="0"/>
                <w:szCs w:val="21"/>
                <w:lang w:bidi="ar"/>
              </w:rPr>
              <w:t>北单大</w:t>
            </w:r>
            <w:proofErr w:type="gramEnd"/>
            <w:r>
              <w:rPr>
                <w:rFonts w:ascii="宋体" w:hAnsi="宋体" w:cs="宋体" w:hint="eastAsia"/>
                <w:color w:val="000000"/>
                <w:kern w:val="0"/>
                <w:szCs w:val="21"/>
                <w:lang w:bidi="ar"/>
              </w:rPr>
              <w:t>放送</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55ED" w:rsidRDefault="001B55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p>
        </w:tc>
      </w:tr>
      <w:tr w:rsidR="005255ED">
        <w:trPr>
          <w:trHeight w:val="300"/>
        </w:trPr>
        <w:tc>
          <w:tcPr>
            <w:tcW w:w="132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5255ED" w:rsidRDefault="001B5565">
            <w:pPr>
              <w:widowControl/>
              <w:jc w:val="center"/>
              <w:textAlignment w:val="bottom"/>
              <w:rPr>
                <w:rFonts w:ascii="宋体" w:hAnsi="宋体" w:cs="宋体"/>
                <w:color w:val="000000"/>
                <w:szCs w:val="21"/>
              </w:rPr>
            </w:pPr>
            <w:r>
              <w:rPr>
                <w:rFonts w:ascii="宋体" w:hAnsi="宋体" w:cs="宋体" w:hint="eastAsia"/>
                <w:color w:val="000000"/>
                <w:kern w:val="0"/>
                <w:szCs w:val="21"/>
                <w:lang w:bidi="ar"/>
              </w:rPr>
              <w:t>10月</w:t>
            </w:r>
          </w:p>
        </w:tc>
        <w:tc>
          <w:tcPr>
            <w:tcW w:w="60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255ED" w:rsidRDefault="001B5565">
            <w:pPr>
              <w:widowControl/>
              <w:jc w:val="left"/>
              <w:textAlignment w:val="center"/>
              <w:rPr>
                <w:rFonts w:ascii="宋体" w:hAnsi="宋体" w:cs="宋体"/>
                <w:color w:val="000000"/>
                <w:szCs w:val="21"/>
              </w:rPr>
            </w:pPr>
            <w:proofErr w:type="gramStart"/>
            <w:r>
              <w:rPr>
                <w:rFonts w:ascii="宋体" w:hAnsi="宋体" w:cs="宋体" w:hint="eastAsia"/>
                <w:color w:val="000000"/>
                <w:kern w:val="0"/>
                <w:szCs w:val="21"/>
                <w:lang w:bidi="ar"/>
              </w:rPr>
              <w:t>北单总</w:t>
            </w:r>
            <w:proofErr w:type="gramEnd"/>
            <w:r>
              <w:rPr>
                <w:rFonts w:ascii="宋体" w:hAnsi="宋体" w:cs="宋体" w:hint="eastAsia"/>
                <w:color w:val="000000"/>
                <w:kern w:val="0"/>
                <w:szCs w:val="21"/>
                <w:lang w:bidi="ar"/>
              </w:rPr>
              <w:t>进球数、比分、半全场</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55ED" w:rsidRDefault="001B55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p>
        </w:tc>
      </w:tr>
      <w:tr w:rsidR="005255ED">
        <w:trPr>
          <w:trHeight w:val="300"/>
        </w:trPr>
        <w:tc>
          <w:tcPr>
            <w:tcW w:w="737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5255ED" w:rsidRDefault="001B5565">
            <w:pPr>
              <w:widowControl/>
              <w:jc w:val="left"/>
              <w:textAlignment w:val="center"/>
              <w:rPr>
                <w:rFonts w:ascii="宋体" w:hAnsi="宋体" w:cs="宋体"/>
                <w:b/>
                <w:bCs/>
                <w:color w:val="000000"/>
                <w:szCs w:val="21"/>
              </w:rPr>
            </w:pPr>
            <w:proofErr w:type="gramStart"/>
            <w:r>
              <w:rPr>
                <w:rFonts w:ascii="宋体" w:hAnsi="宋体" w:cs="宋体" w:hint="eastAsia"/>
                <w:b/>
                <w:bCs/>
                <w:color w:val="000000"/>
                <w:kern w:val="0"/>
                <w:szCs w:val="21"/>
                <w:lang w:bidi="ar"/>
              </w:rPr>
              <w:t>乐透型游戏</w:t>
            </w:r>
            <w:proofErr w:type="gramEnd"/>
            <w:r>
              <w:rPr>
                <w:rFonts w:ascii="宋体" w:hAnsi="宋体" w:cs="宋体" w:hint="eastAsia"/>
                <w:b/>
                <w:bCs/>
                <w:color w:val="000000"/>
                <w:kern w:val="0"/>
                <w:szCs w:val="21"/>
                <w:lang w:bidi="ar"/>
              </w:rPr>
              <w:t>营销项目</w:t>
            </w:r>
          </w:p>
        </w:tc>
        <w:tc>
          <w:tcPr>
            <w:tcW w:w="97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5255ED" w:rsidRDefault="001B5565">
            <w:pPr>
              <w:widowControl/>
              <w:jc w:val="center"/>
              <w:textAlignment w:val="bottom"/>
              <w:rPr>
                <w:rFonts w:ascii="宋体" w:hAnsi="宋体" w:cs="宋体"/>
                <w:b/>
                <w:bCs/>
                <w:color w:val="000000"/>
                <w:sz w:val="20"/>
                <w:szCs w:val="20"/>
              </w:rPr>
            </w:pPr>
            <w:r>
              <w:rPr>
                <w:rFonts w:ascii="宋体" w:hAnsi="宋体" w:cs="宋体" w:hint="eastAsia"/>
                <w:b/>
                <w:bCs/>
                <w:color w:val="000000"/>
                <w:kern w:val="0"/>
                <w:sz w:val="20"/>
                <w:szCs w:val="20"/>
                <w:lang w:bidi="ar"/>
              </w:rPr>
              <w:t>3</w:t>
            </w:r>
          </w:p>
        </w:tc>
      </w:tr>
      <w:tr w:rsidR="005255ED">
        <w:trPr>
          <w:trHeight w:val="300"/>
        </w:trPr>
        <w:tc>
          <w:tcPr>
            <w:tcW w:w="132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5255ED" w:rsidRDefault="001B5565">
            <w:pPr>
              <w:widowControl/>
              <w:jc w:val="center"/>
              <w:textAlignment w:val="bottom"/>
              <w:rPr>
                <w:rFonts w:ascii="宋体" w:hAnsi="宋体" w:cs="宋体"/>
                <w:color w:val="000000"/>
                <w:szCs w:val="21"/>
              </w:rPr>
            </w:pPr>
            <w:r>
              <w:rPr>
                <w:rFonts w:ascii="宋体" w:hAnsi="宋体" w:cs="宋体" w:hint="eastAsia"/>
                <w:color w:val="000000"/>
                <w:kern w:val="0"/>
                <w:szCs w:val="21"/>
                <w:lang w:bidi="ar"/>
              </w:rPr>
              <w:t>4月</w:t>
            </w:r>
          </w:p>
        </w:tc>
        <w:tc>
          <w:tcPr>
            <w:tcW w:w="60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255ED" w:rsidRDefault="001B5565">
            <w:pPr>
              <w:widowControl/>
              <w:jc w:val="left"/>
              <w:textAlignment w:val="center"/>
              <w:rPr>
                <w:rFonts w:ascii="宋体" w:hAnsi="宋体" w:cs="宋体"/>
                <w:color w:val="000000"/>
                <w:szCs w:val="21"/>
              </w:rPr>
            </w:pPr>
            <w:r>
              <w:rPr>
                <w:rFonts w:ascii="宋体" w:hAnsi="宋体" w:cs="宋体" w:hint="eastAsia"/>
                <w:color w:val="000000"/>
                <w:kern w:val="0"/>
                <w:szCs w:val="21"/>
                <w:lang w:bidi="ar"/>
              </w:rPr>
              <w:t>“鸿运来-乐透小复式大奖送不停”营销活动</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55ED" w:rsidRDefault="001B55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p>
        </w:tc>
      </w:tr>
      <w:tr w:rsidR="005255ED">
        <w:trPr>
          <w:trHeight w:val="300"/>
        </w:trPr>
        <w:tc>
          <w:tcPr>
            <w:tcW w:w="132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5255ED" w:rsidRDefault="001B5565">
            <w:pPr>
              <w:widowControl/>
              <w:jc w:val="center"/>
              <w:textAlignment w:val="bottom"/>
              <w:rPr>
                <w:rFonts w:ascii="宋体" w:hAnsi="宋体" w:cs="宋体"/>
                <w:color w:val="000000"/>
                <w:szCs w:val="21"/>
              </w:rPr>
            </w:pPr>
            <w:r>
              <w:rPr>
                <w:rFonts w:ascii="宋体" w:hAnsi="宋体" w:cs="宋体" w:hint="eastAsia"/>
                <w:color w:val="000000"/>
                <w:kern w:val="0"/>
                <w:szCs w:val="21"/>
                <w:lang w:bidi="ar"/>
              </w:rPr>
              <w:t>8月</w:t>
            </w:r>
          </w:p>
        </w:tc>
        <w:tc>
          <w:tcPr>
            <w:tcW w:w="60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255ED" w:rsidRDefault="001B5565">
            <w:pPr>
              <w:widowControl/>
              <w:jc w:val="left"/>
              <w:textAlignment w:val="center"/>
              <w:rPr>
                <w:rFonts w:ascii="宋体" w:hAnsi="宋体" w:cs="宋体"/>
                <w:color w:val="000000"/>
                <w:szCs w:val="21"/>
              </w:rPr>
            </w:pPr>
            <w:r>
              <w:rPr>
                <w:rFonts w:ascii="宋体" w:hAnsi="宋体" w:cs="宋体" w:hint="eastAsia"/>
                <w:color w:val="000000"/>
                <w:kern w:val="0"/>
                <w:szCs w:val="21"/>
                <w:lang w:bidi="ar"/>
              </w:rPr>
              <w:t>“7星彩加倍赢”营销活动</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55ED" w:rsidRDefault="001B55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p>
        </w:tc>
      </w:tr>
      <w:tr w:rsidR="005255ED">
        <w:trPr>
          <w:trHeight w:val="300"/>
        </w:trPr>
        <w:tc>
          <w:tcPr>
            <w:tcW w:w="132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5255ED" w:rsidRDefault="001B5565">
            <w:pPr>
              <w:widowControl/>
              <w:jc w:val="center"/>
              <w:textAlignment w:val="bottom"/>
              <w:rPr>
                <w:rFonts w:ascii="宋体" w:hAnsi="宋体" w:cs="宋体"/>
                <w:color w:val="000000"/>
                <w:szCs w:val="21"/>
              </w:rPr>
            </w:pPr>
            <w:r>
              <w:rPr>
                <w:rFonts w:ascii="宋体" w:hAnsi="宋体" w:cs="宋体" w:hint="eastAsia"/>
                <w:color w:val="000000"/>
                <w:kern w:val="0"/>
                <w:szCs w:val="21"/>
                <w:lang w:bidi="ar"/>
              </w:rPr>
              <w:t>10月</w:t>
            </w:r>
          </w:p>
        </w:tc>
        <w:tc>
          <w:tcPr>
            <w:tcW w:w="60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255ED" w:rsidRDefault="001B5565">
            <w:pPr>
              <w:widowControl/>
              <w:jc w:val="left"/>
              <w:textAlignment w:val="center"/>
              <w:rPr>
                <w:rFonts w:ascii="宋体" w:hAnsi="宋体" w:cs="宋体"/>
                <w:color w:val="000000"/>
                <w:szCs w:val="21"/>
              </w:rPr>
            </w:pPr>
            <w:r>
              <w:rPr>
                <w:rFonts w:ascii="宋体" w:hAnsi="宋体" w:cs="宋体" w:hint="eastAsia"/>
                <w:color w:val="000000"/>
                <w:kern w:val="0"/>
                <w:szCs w:val="21"/>
                <w:lang w:bidi="ar"/>
              </w:rPr>
              <w:t>超级大乐透营销活动</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55ED" w:rsidRDefault="001B55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p>
        </w:tc>
      </w:tr>
      <w:tr w:rsidR="005255ED">
        <w:trPr>
          <w:trHeight w:val="300"/>
        </w:trPr>
        <w:tc>
          <w:tcPr>
            <w:tcW w:w="737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5255ED" w:rsidRDefault="001B5565">
            <w:pPr>
              <w:widowControl/>
              <w:jc w:val="left"/>
              <w:textAlignment w:val="center"/>
              <w:rPr>
                <w:rFonts w:ascii="宋体" w:hAnsi="宋体" w:cs="宋体"/>
                <w:b/>
                <w:bCs/>
                <w:color w:val="000000"/>
                <w:szCs w:val="21"/>
              </w:rPr>
            </w:pPr>
            <w:r>
              <w:rPr>
                <w:rFonts w:ascii="宋体" w:hAnsi="宋体" w:cs="宋体" w:hint="eastAsia"/>
                <w:b/>
                <w:bCs/>
                <w:color w:val="000000"/>
                <w:kern w:val="0"/>
                <w:szCs w:val="21"/>
                <w:lang w:bidi="ar"/>
              </w:rPr>
              <w:t>新渠道营销项目</w:t>
            </w:r>
          </w:p>
        </w:tc>
        <w:tc>
          <w:tcPr>
            <w:tcW w:w="97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5255ED" w:rsidRDefault="001B5565">
            <w:pPr>
              <w:widowControl/>
              <w:jc w:val="center"/>
              <w:textAlignment w:val="bottom"/>
              <w:rPr>
                <w:rFonts w:ascii="宋体" w:hAnsi="宋体" w:cs="宋体"/>
                <w:b/>
                <w:bCs/>
                <w:color w:val="000000"/>
                <w:sz w:val="20"/>
                <w:szCs w:val="20"/>
              </w:rPr>
            </w:pPr>
            <w:r>
              <w:rPr>
                <w:rFonts w:ascii="宋体" w:hAnsi="宋体" w:cs="宋体" w:hint="eastAsia"/>
                <w:b/>
                <w:bCs/>
                <w:color w:val="000000"/>
                <w:kern w:val="0"/>
                <w:sz w:val="20"/>
                <w:szCs w:val="20"/>
                <w:lang w:bidi="ar"/>
              </w:rPr>
              <w:t>1</w:t>
            </w:r>
          </w:p>
        </w:tc>
      </w:tr>
      <w:tr w:rsidR="005255ED">
        <w:trPr>
          <w:trHeight w:val="300"/>
        </w:trPr>
        <w:tc>
          <w:tcPr>
            <w:tcW w:w="132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5255ED" w:rsidRDefault="001B5565">
            <w:pPr>
              <w:widowControl/>
              <w:jc w:val="center"/>
              <w:textAlignment w:val="bottom"/>
              <w:rPr>
                <w:rFonts w:ascii="宋体" w:hAnsi="宋体" w:cs="宋体"/>
                <w:color w:val="000000"/>
                <w:sz w:val="24"/>
              </w:rPr>
            </w:pPr>
            <w:r>
              <w:rPr>
                <w:rFonts w:ascii="宋体" w:hAnsi="宋体" w:cs="宋体" w:hint="eastAsia"/>
                <w:color w:val="000000"/>
                <w:kern w:val="0"/>
                <w:sz w:val="24"/>
                <w:lang w:bidi="ar"/>
              </w:rPr>
              <w:t>12月</w:t>
            </w:r>
          </w:p>
        </w:tc>
        <w:tc>
          <w:tcPr>
            <w:tcW w:w="60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255ED" w:rsidRDefault="001B556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“蜂爆体彩，幸运带回家”</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55ED" w:rsidRDefault="001B55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p>
        </w:tc>
      </w:tr>
      <w:tr w:rsidR="005255ED">
        <w:trPr>
          <w:trHeight w:val="300"/>
        </w:trPr>
        <w:tc>
          <w:tcPr>
            <w:tcW w:w="737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5255ED" w:rsidRDefault="001B5565">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合计：</w:t>
            </w:r>
          </w:p>
        </w:tc>
        <w:tc>
          <w:tcPr>
            <w:tcW w:w="9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255ED" w:rsidRDefault="001B5565">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9</w:t>
            </w:r>
          </w:p>
        </w:tc>
      </w:tr>
    </w:tbl>
    <w:p w:rsidR="005255ED" w:rsidRDefault="001B5565">
      <w:pPr>
        <w:spacing w:line="600" w:lineRule="exact"/>
        <w:ind w:firstLineChars="200" w:firstLine="640"/>
        <w:outlineLvl w:val="1"/>
        <w:rPr>
          <w:rFonts w:ascii="楷体_GB2312" w:eastAsia="楷体_GB2312" w:hAnsi="楷体_GB2312" w:cs="楷体_GB2312"/>
          <w:sz w:val="32"/>
          <w:szCs w:val="32"/>
        </w:rPr>
      </w:pPr>
      <w:bookmarkStart w:id="78" w:name="_Toc8862"/>
      <w:bookmarkStart w:id="79" w:name="_Toc103676879"/>
      <w:bookmarkStart w:id="80" w:name="_Toc103617255"/>
      <w:bookmarkStart w:id="81" w:name="_Toc6699"/>
      <w:bookmarkStart w:id="82" w:name="_Toc103607518"/>
      <w:r>
        <w:rPr>
          <w:rFonts w:ascii="楷体_GB2312" w:eastAsia="楷体_GB2312" w:hAnsi="楷体_GB2312" w:cs="楷体_GB2312" w:hint="eastAsia"/>
          <w:sz w:val="32"/>
          <w:szCs w:val="32"/>
        </w:rPr>
        <w:lastRenderedPageBreak/>
        <w:t>（四）项目效益情况。</w:t>
      </w:r>
      <w:bookmarkEnd w:id="78"/>
      <w:bookmarkEnd w:id="79"/>
      <w:bookmarkEnd w:id="80"/>
      <w:bookmarkEnd w:id="81"/>
      <w:bookmarkEnd w:id="82"/>
    </w:p>
    <w:p w:rsidR="005255ED" w:rsidRDefault="001B5565">
      <w:pPr>
        <w:pStyle w:val="a0"/>
        <w:ind w:firstLineChars="200" w:firstLine="643"/>
        <w:rPr>
          <w:sz w:val="32"/>
          <w:szCs w:val="32"/>
        </w:rPr>
      </w:pPr>
      <w:r>
        <w:rPr>
          <w:rFonts w:hint="eastAsia"/>
          <w:b/>
          <w:bCs/>
          <w:sz w:val="32"/>
          <w:szCs w:val="32"/>
        </w:rPr>
        <w:t>一是</w:t>
      </w:r>
      <w:r>
        <w:rPr>
          <w:rFonts w:hint="eastAsia"/>
          <w:sz w:val="32"/>
          <w:szCs w:val="32"/>
        </w:rPr>
        <w:t>提升体育彩票品牌知名度。通过各类营销活动的实施举办，调动代销者、销售人员对体育彩票销售的积极性，提高了购彩者的中奖率，改善购彩者体验，提升体彩公益品牌的美誉度和产品认知度，增强了品牌影响力，2021年项目新渠道营销开展了“蜂爆体彩，幸运带回家”活动，共有400家便利蜂实体店参加，</w:t>
      </w:r>
      <w:proofErr w:type="gramStart"/>
      <w:r>
        <w:rPr>
          <w:rFonts w:hint="eastAsia"/>
          <w:sz w:val="32"/>
          <w:szCs w:val="32"/>
        </w:rPr>
        <w:t>拉新用户</w:t>
      </w:r>
      <w:proofErr w:type="gramEnd"/>
      <w:r>
        <w:rPr>
          <w:rFonts w:hint="eastAsia"/>
          <w:sz w:val="32"/>
          <w:szCs w:val="32"/>
        </w:rPr>
        <w:t>41203人次，拓展了购彩者群体。</w:t>
      </w:r>
    </w:p>
    <w:p w:rsidR="005255ED" w:rsidRDefault="001B5565">
      <w:pPr>
        <w:pStyle w:val="a0"/>
        <w:ind w:firstLineChars="200" w:firstLine="643"/>
        <w:rPr>
          <w:sz w:val="32"/>
          <w:szCs w:val="32"/>
        </w:rPr>
      </w:pPr>
      <w:r>
        <w:rPr>
          <w:rFonts w:hint="eastAsia"/>
          <w:b/>
          <w:bCs/>
          <w:sz w:val="32"/>
          <w:szCs w:val="32"/>
        </w:rPr>
        <w:t>二是</w:t>
      </w:r>
      <w:r>
        <w:rPr>
          <w:rFonts w:hint="eastAsia"/>
          <w:sz w:val="32"/>
          <w:szCs w:val="32"/>
        </w:rPr>
        <w:t>提高彩票销量。2021年各项活动期间彩票销量较2020年销售日全年日均销量提升，如</w:t>
      </w:r>
      <w:proofErr w:type="gramStart"/>
      <w:r>
        <w:rPr>
          <w:rFonts w:hint="eastAsia"/>
          <w:sz w:val="32"/>
          <w:szCs w:val="32"/>
        </w:rPr>
        <w:t>即开性游戏</w:t>
      </w:r>
      <w:proofErr w:type="gramEnd"/>
      <w:r>
        <w:rPr>
          <w:rFonts w:hint="eastAsia"/>
          <w:sz w:val="32"/>
          <w:szCs w:val="32"/>
        </w:rPr>
        <w:t>项目4月份开展了“鸿运开，翻倍赢家有好礼”即开型彩票营销活动，活动期间总销售1.2亿元，日均销量400.00万元，较2020年即开型彩票日均销量增长83.21%；竞猜型游戏项目8月份开展了“饕餮新赛季 北单大放送”活动，活动期间总销售3217.70万元，日均销售量357.52万元，较</w:t>
      </w:r>
      <w:proofErr w:type="gramStart"/>
      <w:r>
        <w:rPr>
          <w:rFonts w:hint="eastAsia"/>
          <w:sz w:val="32"/>
          <w:szCs w:val="32"/>
        </w:rPr>
        <w:t>2020年北单彩票</w:t>
      </w:r>
      <w:proofErr w:type="gramEnd"/>
      <w:r>
        <w:rPr>
          <w:rFonts w:hint="eastAsia"/>
          <w:sz w:val="32"/>
          <w:szCs w:val="32"/>
        </w:rPr>
        <w:t>日均销量增长150.18%；</w:t>
      </w:r>
      <w:proofErr w:type="gramStart"/>
      <w:r>
        <w:rPr>
          <w:rFonts w:hint="eastAsia"/>
          <w:sz w:val="32"/>
          <w:szCs w:val="32"/>
        </w:rPr>
        <w:t>乐透型游戏</w:t>
      </w:r>
      <w:proofErr w:type="gramEnd"/>
      <w:r>
        <w:rPr>
          <w:rFonts w:hint="eastAsia"/>
          <w:sz w:val="32"/>
          <w:szCs w:val="32"/>
        </w:rPr>
        <w:t>项目4月份开展了“鸿运来-乐透小复式大奖送不停”营销活动，活动期间总销售量6758万元，日均销售量482.70万元，较2020年</w:t>
      </w:r>
      <w:proofErr w:type="gramStart"/>
      <w:r>
        <w:rPr>
          <w:rFonts w:hint="eastAsia"/>
          <w:sz w:val="32"/>
          <w:szCs w:val="32"/>
        </w:rPr>
        <w:t>乐透型彩票</w:t>
      </w:r>
      <w:proofErr w:type="gramEnd"/>
      <w:r>
        <w:rPr>
          <w:rFonts w:hint="eastAsia"/>
          <w:sz w:val="32"/>
          <w:szCs w:val="32"/>
        </w:rPr>
        <w:t>增长31.86%。对比2019年至2021年各类彩票总销量、日均销量可见，通过各类营销活动提高了群众对体育彩票的认知，扩大了彩民群体，更好地支持了体彩公益事业的发展。</w:t>
      </w:r>
    </w:p>
    <w:p w:rsidR="005255ED" w:rsidRDefault="001B5565">
      <w:pPr>
        <w:pStyle w:val="a0"/>
        <w:ind w:firstLine="0"/>
        <w:jc w:val="center"/>
      </w:pPr>
      <w:r>
        <w:rPr>
          <w:noProof/>
        </w:rPr>
        <w:lastRenderedPageBreak/>
        <w:drawing>
          <wp:inline distT="0" distB="0" distL="0" distR="0">
            <wp:extent cx="3851910" cy="2454910"/>
            <wp:effectExtent l="0" t="0" r="0" b="2540"/>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5255ED" w:rsidRDefault="001B5565">
      <w:pPr>
        <w:pStyle w:val="a0"/>
        <w:ind w:firstLine="0"/>
        <w:jc w:val="center"/>
        <w:rPr>
          <w:rFonts w:ascii="黑体" w:eastAsia="黑体" w:hAnsi="黑体" w:cs="黑体"/>
          <w:sz w:val="24"/>
          <w:szCs w:val="20"/>
        </w:rPr>
      </w:pPr>
      <w:r>
        <w:rPr>
          <w:rFonts w:ascii="黑体" w:eastAsia="黑体" w:hAnsi="黑体" w:cs="黑体" w:hint="eastAsia"/>
          <w:sz w:val="24"/>
          <w:szCs w:val="20"/>
        </w:rPr>
        <w:t>图1 2019年-2021年全年销量对比图</w:t>
      </w:r>
    </w:p>
    <w:p w:rsidR="005255ED" w:rsidRDefault="001B5565">
      <w:pPr>
        <w:pStyle w:val="a0"/>
        <w:ind w:firstLine="0"/>
        <w:jc w:val="center"/>
      </w:pPr>
      <w:r>
        <w:rPr>
          <w:noProof/>
        </w:rPr>
        <w:drawing>
          <wp:inline distT="0" distB="0" distL="0" distR="0">
            <wp:extent cx="3651250" cy="2379345"/>
            <wp:effectExtent l="0" t="0" r="6350" b="1905"/>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5255ED" w:rsidRDefault="001B5565">
      <w:pPr>
        <w:pStyle w:val="a0"/>
        <w:ind w:firstLine="0"/>
        <w:jc w:val="center"/>
      </w:pPr>
      <w:r>
        <w:rPr>
          <w:rFonts w:ascii="黑体" w:eastAsia="黑体" w:hAnsi="黑体" w:cs="黑体" w:hint="eastAsia"/>
          <w:sz w:val="24"/>
          <w:szCs w:val="20"/>
        </w:rPr>
        <w:t>图2 2019年-2021年日均销量对比图</w:t>
      </w:r>
    </w:p>
    <w:p w:rsidR="005255ED" w:rsidRDefault="001B5565">
      <w:pPr>
        <w:pStyle w:val="a0"/>
        <w:ind w:firstLineChars="200" w:firstLine="643"/>
        <w:rPr>
          <w:sz w:val="32"/>
          <w:szCs w:val="32"/>
        </w:rPr>
      </w:pPr>
      <w:r>
        <w:rPr>
          <w:rFonts w:hint="eastAsia"/>
          <w:b/>
          <w:bCs/>
          <w:sz w:val="32"/>
          <w:szCs w:val="32"/>
        </w:rPr>
        <w:t>三是</w:t>
      </w:r>
      <w:r>
        <w:rPr>
          <w:rFonts w:hint="eastAsia"/>
          <w:sz w:val="32"/>
          <w:szCs w:val="32"/>
        </w:rPr>
        <w:t>服务对象较为满意度。2021年举办各项营销活动时，对购彩者和网点进行了满意度调查，购彩者和网点对营销活动的满意度均在90%以上，达到预期目标。但评价发现，项目满意度调查内容较为简单，有效性有待提升。</w:t>
      </w:r>
    </w:p>
    <w:p w:rsidR="005255ED" w:rsidRDefault="001B5565">
      <w:pPr>
        <w:spacing w:line="600" w:lineRule="exact"/>
        <w:ind w:firstLineChars="200" w:firstLine="640"/>
        <w:outlineLvl w:val="0"/>
        <w:rPr>
          <w:rFonts w:ascii="黑体" w:eastAsia="黑体" w:hAnsi="黑体" w:cs="黑体"/>
          <w:sz w:val="32"/>
          <w:szCs w:val="32"/>
        </w:rPr>
      </w:pPr>
      <w:bookmarkStart w:id="83" w:name="_Toc103676880"/>
      <w:bookmarkStart w:id="84" w:name="_Toc103607519"/>
      <w:bookmarkStart w:id="85" w:name="_Toc103617256"/>
      <w:bookmarkStart w:id="86" w:name="_Toc18622"/>
      <w:bookmarkStart w:id="87" w:name="_Toc7986"/>
      <w:r>
        <w:rPr>
          <w:rFonts w:ascii="黑体" w:eastAsia="黑体" w:hAnsi="黑体" w:cs="黑体" w:hint="eastAsia"/>
          <w:sz w:val="32"/>
          <w:szCs w:val="32"/>
        </w:rPr>
        <w:t>五、主要经验及做法、存在的问题及原因分析</w:t>
      </w:r>
      <w:bookmarkEnd w:id="83"/>
      <w:bookmarkEnd w:id="84"/>
      <w:bookmarkEnd w:id="85"/>
      <w:bookmarkEnd w:id="86"/>
      <w:bookmarkEnd w:id="87"/>
    </w:p>
    <w:p w:rsidR="005255ED" w:rsidRDefault="001B5565">
      <w:pPr>
        <w:spacing w:line="600" w:lineRule="exact"/>
        <w:ind w:firstLineChars="200" w:firstLine="640"/>
        <w:outlineLvl w:val="1"/>
        <w:rPr>
          <w:rFonts w:ascii="楷体_GB2312" w:eastAsia="楷体_GB2312" w:hAnsi="楷体_GB2312" w:cs="楷体_GB2312"/>
          <w:sz w:val="32"/>
          <w:szCs w:val="32"/>
        </w:rPr>
      </w:pPr>
      <w:bookmarkStart w:id="88" w:name="_Toc103676881"/>
      <w:bookmarkStart w:id="89" w:name="_Toc103607520"/>
      <w:bookmarkStart w:id="90" w:name="_Toc103617257"/>
      <w:bookmarkStart w:id="91" w:name="_Toc19079"/>
      <w:bookmarkStart w:id="92" w:name="_Toc24837"/>
      <w:r>
        <w:rPr>
          <w:rFonts w:ascii="楷体_GB2312" w:eastAsia="楷体_GB2312" w:hAnsi="楷体_GB2312" w:cs="楷体_GB2312" w:hint="eastAsia"/>
          <w:sz w:val="32"/>
          <w:szCs w:val="32"/>
        </w:rPr>
        <w:t>（一）主要经验及做法</w:t>
      </w:r>
      <w:bookmarkEnd w:id="88"/>
      <w:bookmarkEnd w:id="89"/>
      <w:bookmarkEnd w:id="90"/>
      <w:bookmarkEnd w:id="91"/>
      <w:bookmarkEnd w:id="92"/>
    </w:p>
    <w:p w:rsidR="005255ED" w:rsidRDefault="001B5565">
      <w:pPr>
        <w:pStyle w:val="a0"/>
        <w:ind w:firstLineChars="200" w:firstLine="640"/>
        <w:rPr>
          <w:rFonts w:hAnsi="仿宋_GB2312" w:cs="仿宋_GB2312"/>
          <w:sz w:val="32"/>
          <w:szCs w:val="32"/>
        </w:rPr>
      </w:pPr>
      <w:r>
        <w:rPr>
          <w:rFonts w:hAnsi="仿宋_GB2312" w:cs="仿宋_GB2312" w:hint="eastAsia"/>
          <w:sz w:val="32"/>
          <w:szCs w:val="32"/>
        </w:rPr>
        <w:t>2</w:t>
      </w:r>
      <w:r>
        <w:rPr>
          <w:rFonts w:hAnsi="仿宋_GB2312" w:cs="仿宋_GB2312"/>
          <w:sz w:val="32"/>
          <w:szCs w:val="32"/>
        </w:rPr>
        <w:t>021</w:t>
      </w:r>
      <w:r>
        <w:rPr>
          <w:rFonts w:hAnsi="仿宋_GB2312" w:cs="仿宋_GB2312" w:hint="eastAsia"/>
          <w:sz w:val="32"/>
          <w:szCs w:val="32"/>
        </w:rPr>
        <w:t>年在国家体育总局体育彩票管理中心统筹和指导下，北京市体育彩票管理中心结合自身特点进行产品营销活</w:t>
      </w:r>
      <w:r>
        <w:rPr>
          <w:rFonts w:hAnsi="仿宋_GB2312" w:cs="仿宋_GB2312" w:hint="eastAsia"/>
          <w:sz w:val="32"/>
          <w:szCs w:val="32"/>
        </w:rPr>
        <w:lastRenderedPageBreak/>
        <w:t>动，通过制作宣传海报、H5宣传页等形式扩大宣传面，采购符合需求的奖品等，调动代销者、销售人员、彩民的积极性，利用客流量大、营业时间长、彩票潜在购买者聚集较多的便利店进行营销活动，扩大购彩者群体规模。</w:t>
      </w:r>
    </w:p>
    <w:p w:rsidR="005255ED" w:rsidRDefault="001B5565">
      <w:pPr>
        <w:spacing w:line="600" w:lineRule="exact"/>
        <w:ind w:firstLineChars="200" w:firstLine="640"/>
        <w:outlineLvl w:val="1"/>
        <w:rPr>
          <w:rFonts w:ascii="楷体_GB2312" w:eastAsia="楷体_GB2312" w:hAnsi="楷体_GB2312" w:cs="楷体_GB2312"/>
          <w:sz w:val="32"/>
          <w:szCs w:val="32"/>
        </w:rPr>
      </w:pPr>
      <w:bookmarkStart w:id="93" w:name="_Toc103607521"/>
      <w:bookmarkStart w:id="94" w:name="_Toc31420"/>
      <w:bookmarkStart w:id="95" w:name="_Toc103617258"/>
      <w:bookmarkStart w:id="96" w:name="_Toc103676882"/>
      <w:bookmarkStart w:id="97" w:name="_Toc10860"/>
      <w:r>
        <w:rPr>
          <w:rFonts w:ascii="楷体_GB2312" w:eastAsia="楷体_GB2312" w:hAnsi="楷体_GB2312" w:cs="楷体_GB2312" w:hint="eastAsia"/>
          <w:sz w:val="32"/>
          <w:szCs w:val="32"/>
        </w:rPr>
        <w:t>（二）存在的问题及原因分析</w:t>
      </w:r>
      <w:bookmarkEnd w:id="93"/>
      <w:bookmarkEnd w:id="94"/>
      <w:bookmarkEnd w:id="95"/>
      <w:bookmarkEnd w:id="96"/>
      <w:bookmarkEnd w:id="97"/>
    </w:p>
    <w:p w:rsidR="005255ED" w:rsidRDefault="001B5565">
      <w:pPr>
        <w:spacing w:line="600" w:lineRule="exact"/>
        <w:ind w:firstLineChars="200" w:firstLine="643"/>
        <w:outlineLvl w:val="2"/>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1.绩效目标设置合理性有待加强</w:t>
      </w:r>
    </w:p>
    <w:p w:rsidR="005255ED" w:rsidRDefault="001B5565">
      <w:pPr>
        <w:pStyle w:val="a0"/>
        <w:ind w:firstLineChars="200" w:firstLine="643"/>
        <w:rPr>
          <w:rFonts w:hAnsi="仿宋_GB2312" w:cs="仿宋_GB2312"/>
          <w:sz w:val="32"/>
          <w:szCs w:val="32"/>
        </w:rPr>
      </w:pPr>
      <w:r>
        <w:rPr>
          <w:rFonts w:hAnsi="仿宋_GB2312" w:cs="仿宋_GB2312" w:hint="eastAsia"/>
          <w:b/>
          <w:bCs/>
          <w:sz w:val="32"/>
          <w:szCs w:val="32"/>
        </w:rPr>
        <w:t>一是</w:t>
      </w:r>
      <w:r>
        <w:rPr>
          <w:rFonts w:hAnsi="仿宋_GB2312" w:cs="仿宋_GB2312" w:hint="eastAsia"/>
          <w:sz w:val="32"/>
          <w:szCs w:val="32"/>
        </w:rPr>
        <w:t>该项目总体目标为“促进体育彩票销售，提升体育彩票品牌影响力，扩大彩民群体”，包含“促进销售，提升品牌影响力”和“充分调动彩票基层人员工作积极性，提高实体店科学化管理和服务水平”等两方面，但绩效指标设置以资金支出方向为主，聚焦在举办活动次数、活动期间的销售情况，与为充分调动彩票基层人员工作积极性，提高实体店科学化管理和服务水平等目标的关联性有待加强。</w:t>
      </w:r>
      <w:r>
        <w:rPr>
          <w:rFonts w:hAnsi="仿宋_GB2312" w:cs="仿宋_GB2312" w:hint="eastAsia"/>
          <w:b/>
          <w:bCs/>
          <w:sz w:val="32"/>
          <w:szCs w:val="32"/>
        </w:rPr>
        <w:t>二是</w:t>
      </w:r>
      <w:r>
        <w:rPr>
          <w:rFonts w:hAnsi="仿宋_GB2312" w:cs="仿宋_GB2312" w:hint="eastAsia"/>
          <w:sz w:val="32"/>
          <w:szCs w:val="32"/>
        </w:rPr>
        <w:t>绩效指标设置不够完善，绩效目标缺少质量指标，且效益指标不够具体、量化。</w:t>
      </w:r>
      <w:r>
        <w:rPr>
          <w:rFonts w:hAnsi="仿宋_GB2312" w:cs="仿宋_GB2312" w:hint="eastAsia"/>
          <w:b/>
          <w:bCs/>
          <w:sz w:val="32"/>
          <w:szCs w:val="32"/>
        </w:rPr>
        <w:t>三是</w:t>
      </w:r>
      <w:r>
        <w:rPr>
          <w:rFonts w:hAnsi="仿宋_GB2312" w:cs="仿宋_GB2312"/>
          <w:sz w:val="32"/>
          <w:szCs w:val="32"/>
        </w:rPr>
        <w:t>个别效益指标值偏低，如“促销期间所促销玩法同比销量增长达到10%以上”，但抽查的7场活动中，有6场增长幅度高于30%，部分场次销量增长率大于100%。</w:t>
      </w:r>
    </w:p>
    <w:p w:rsidR="005255ED" w:rsidRDefault="001B5565">
      <w:pPr>
        <w:spacing w:line="600" w:lineRule="exact"/>
        <w:ind w:firstLineChars="200" w:firstLine="643"/>
        <w:outlineLvl w:val="2"/>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2.项目缺少成本效益分析，项目预算编制较为粗放</w:t>
      </w:r>
    </w:p>
    <w:p w:rsidR="005255ED" w:rsidRDefault="001B5565">
      <w:pPr>
        <w:pStyle w:val="a0"/>
        <w:ind w:firstLineChars="200" w:firstLine="643"/>
        <w:rPr>
          <w:rFonts w:hAnsi="仿宋_GB2312" w:cs="仿宋_GB2312"/>
          <w:sz w:val="32"/>
          <w:szCs w:val="32"/>
        </w:rPr>
      </w:pPr>
      <w:r>
        <w:rPr>
          <w:rFonts w:hAnsi="仿宋_GB2312" w:cs="仿宋_GB2312" w:hint="eastAsia"/>
          <w:b/>
          <w:bCs/>
          <w:sz w:val="32"/>
          <w:szCs w:val="32"/>
        </w:rPr>
        <w:t>一是</w:t>
      </w:r>
      <w:r>
        <w:rPr>
          <w:rFonts w:hAnsi="仿宋_GB2312" w:cs="仿宋_GB2312" w:hint="eastAsia"/>
          <w:sz w:val="32"/>
          <w:szCs w:val="32"/>
        </w:rPr>
        <w:t>该项目作为延续性项目缺少近年有关品牌创建情况、资金投入量及其效果的定量总结分析，缺少各项活动的成本绩效分析，项目决策和预算决策支撑不足。</w:t>
      </w:r>
      <w:r>
        <w:rPr>
          <w:rFonts w:hAnsi="仿宋_GB2312" w:cs="仿宋_GB2312" w:hint="eastAsia"/>
          <w:b/>
          <w:bCs/>
          <w:sz w:val="32"/>
          <w:szCs w:val="32"/>
        </w:rPr>
        <w:t>二是</w:t>
      </w:r>
      <w:r>
        <w:rPr>
          <w:rFonts w:hAnsi="仿宋_GB2312" w:cs="仿宋_GB2312" w:hint="eastAsia"/>
          <w:sz w:val="32"/>
          <w:szCs w:val="32"/>
        </w:rPr>
        <w:t>预算编</w:t>
      </w:r>
      <w:r>
        <w:rPr>
          <w:rFonts w:hAnsi="仿宋_GB2312" w:cs="仿宋_GB2312" w:hint="eastAsia"/>
          <w:sz w:val="32"/>
          <w:szCs w:val="32"/>
        </w:rPr>
        <w:lastRenderedPageBreak/>
        <w:t>制时，尚未确定营销方案，未能按照各项营销活动所需的人员、奖品、奖金等内容科学编制项目预算明细。</w:t>
      </w:r>
    </w:p>
    <w:p w:rsidR="005255ED" w:rsidRDefault="001B5565">
      <w:pPr>
        <w:spacing w:line="600" w:lineRule="exact"/>
        <w:ind w:firstLineChars="200" w:firstLine="643"/>
        <w:outlineLvl w:val="2"/>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3.缺少市场营销活动的专项计划和年度实施方案</w:t>
      </w:r>
    </w:p>
    <w:p w:rsidR="005255ED" w:rsidRDefault="001B5565">
      <w:pPr>
        <w:pStyle w:val="a0"/>
        <w:ind w:firstLineChars="200" w:firstLine="643"/>
        <w:rPr>
          <w:rFonts w:hAnsi="仿宋_GB2312" w:cs="仿宋_GB2312"/>
          <w:sz w:val="32"/>
          <w:szCs w:val="32"/>
        </w:rPr>
      </w:pPr>
      <w:r>
        <w:rPr>
          <w:rFonts w:hAnsi="仿宋_GB2312" w:cs="仿宋_GB2312" w:hint="eastAsia"/>
          <w:b/>
          <w:bCs/>
          <w:sz w:val="32"/>
          <w:szCs w:val="32"/>
        </w:rPr>
        <w:t>一是</w:t>
      </w:r>
      <w:r>
        <w:rPr>
          <w:rFonts w:hAnsi="仿宋_GB2312" w:cs="仿宋_GB2312" w:hint="eastAsia"/>
          <w:sz w:val="32"/>
          <w:szCs w:val="32"/>
        </w:rPr>
        <w:t>中心市场部未结合工作要求，拟定市场营销工作的年度计划，以及能反映本年组织各类营销活动的次数、时间、总体要求的实施方案，在职责分工、实施流程、资金使用、计划安排、过程管控等方面不够明确，对活动的指导性、约束性不足。</w:t>
      </w:r>
      <w:r>
        <w:rPr>
          <w:rFonts w:hAnsi="仿宋_GB2312" w:cs="仿宋_GB2312" w:hint="eastAsia"/>
          <w:b/>
          <w:bCs/>
          <w:sz w:val="32"/>
          <w:szCs w:val="32"/>
        </w:rPr>
        <w:t>二是</w:t>
      </w:r>
      <w:r>
        <w:rPr>
          <w:rFonts w:hAnsi="仿宋_GB2312" w:cs="仿宋_GB2312" w:hint="eastAsia"/>
          <w:sz w:val="32"/>
          <w:szCs w:val="32"/>
        </w:rPr>
        <w:t>作为经常性项目，未能结合国家体育总局体育彩票管理中心规划，制定市场营销工作的中长期规划。</w:t>
      </w:r>
    </w:p>
    <w:p w:rsidR="005255ED" w:rsidRDefault="001B5565">
      <w:pPr>
        <w:pStyle w:val="a0"/>
        <w:ind w:firstLineChars="200" w:firstLine="643"/>
        <w:outlineLvl w:val="2"/>
        <w:rPr>
          <w:rFonts w:hAnsi="仿宋_GB2312" w:cs="仿宋_GB2312"/>
          <w:b/>
          <w:bCs/>
          <w:sz w:val="32"/>
          <w:szCs w:val="32"/>
        </w:rPr>
      </w:pPr>
      <w:r>
        <w:rPr>
          <w:rFonts w:hAnsi="仿宋_GB2312" w:cs="仿宋_GB2312" w:hint="eastAsia"/>
          <w:b/>
          <w:bCs/>
          <w:sz w:val="32"/>
          <w:szCs w:val="32"/>
        </w:rPr>
        <w:t>4.营销服务履约监管措施及力度有待提升</w:t>
      </w:r>
    </w:p>
    <w:p w:rsidR="005255ED" w:rsidRDefault="001B5565">
      <w:pPr>
        <w:pStyle w:val="a0"/>
        <w:ind w:firstLineChars="200" w:firstLine="643"/>
        <w:rPr>
          <w:rFonts w:hAnsi="仿宋_GB2312" w:cs="仿宋_GB2312"/>
          <w:sz w:val="32"/>
          <w:szCs w:val="32"/>
        </w:rPr>
      </w:pPr>
      <w:r>
        <w:rPr>
          <w:rFonts w:hAnsi="仿宋_GB2312" w:cs="仿宋_GB2312" w:hint="eastAsia"/>
          <w:b/>
          <w:bCs/>
          <w:sz w:val="32"/>
          <w:szCs w:val="32"/>
        </w:rPr>
        <w:t>一是</w:t>
      </w:r>
      <w:r>
        <w:rPr>
          <w:rFonts w:hAnsi="仿宋_GB2312" w:cs="仿宋_GB2312" w:hint="eastAsia"/>
          <w:sz w:val="32"/>
          <w:szCs w:val="32"/>
        </w:rPr>
        <w:t>合同执行不够规范。</w:t>
      </w:r>
      <w:proofErr w:type="gramStart"/>
      <w:r>
        <w:rPr>
          <w:rFonts w:hAnsi="仿宋_GB2312" w:cs="仿宋_GB2312" w:hint="eastAsia"/>
          <w:sz w:val="32"/>
          <w:szCs w:val="32"/>
        </w:rPr>
        <w:t>乐透型营销</w:t>
      </w:r>
      <w:proofErr w:type="gramEnd"/>
      <w:r>
        <w:rPr>
          <w:rFonts w:hAnsi="仿宋_GB2312" w:cs="仿宋_GB2312" w:hint="eastAsia"/>
          <w:sz w:val="32"/>
          <w:szCs w:val="32"/>
        </w:rPr>
        <w:t>活动用于反馈给彩票销售人员及购彩人员促销的金额共计416.6541万元，低于425.00万元，差额为</w:t>
      </w:r>
      <w:r>
        <w:rPr>
          <w:rFonts w:hint="eastAsia"/>
          <w:sz w:val="32"/>
          <w:szCs w:val="32"/>
        </w:rPr>
        <w:t>8.3459万元</w:t>
      </w:r>
      <w:r>
        <w:rPr>
          <w:rFonts w:hAnsi="仿宋_GB2312" w:cs="仿宋_GB2312" w:hint="eastAsia"/>
          <w:sz w:val="32"/>
          <w:szCs w:val="32"/>
        </w:rPr>
        <w:t>。</w:t>
      </w:r>
      <w:r>
        <w:rPr>
          <w:rFonts w:hAnsi="仿宋_GB2312" w:cs="仿宋_GB2312" w:hint="eastAsia"/>
          <w:b/>
          <w:bCs/>
          <w:sz w:val="32"/>
          <w:szCs w:val="32"/>
        </w:rPr>
        <w:t>二是</w:t>
      </w:r>
      <w:r>
        <w:rPr>
          <w:rFonts w:hAnsi="仿宋_GB2312" w:cs="仿宋_GB2312" w:hint="eastAsia"/>
          <w:sz w:val="32"/>
          <w:szCs w:val="32"/>
        </w:rPr>
        <w:t>促销费用界定不够明确，如属于促销费用的支出内容，属于其他费用的支出内容，易导致在确定返还金额时界定不清晰出现纠纷。</w:t>
      </w:r>
      <w:r>
        <w:rPr>
          <w:rFonts w:hAnsi="仿宋_GB2312" w:cs="仿宋_GB2312" w:hint="eastAsia"/>
          <w:b/>
          <w:bCs/>
          <w:sz w:val="32"/>
          <w:szCs w:val="32"/>
        </w:rPr>
        <w:t>三是</w:t>
      </w:r>
      <w:r>
        <w:rPr>
          <w:rFonts w:hAnsi="仿宋_GB2312" w:cs="仿宋_GB2312" w:hint="eastAsia"/>
          <w:sz w:val="32"/>
          <w:szCs w:val="32"/>
        </w:rPr>
        <w:t>验收要求较为模糊，验收条款仅规定回馈销售网点、购票人的金额下线，没有明确其他验收规定。</w:t>
      </w:r>
    </w:p>
    <w:p w:rsidR="005255ED" w:rsidRDefault="001B5565">
      <w:pPr>
        <w:pStyle w:val="a0"/>
        <w:ind w:firstLineChars="200" w:firstLine="643"/>
        <w:rPr>
          <w:rFonts w:hAnsi="仿宋_GB2312" w:cs="仿宋_GB2312"/>
          <w:b/>
          <w:bCs/>
          <w:sz w:val="32"/>
          <w:szCs w:val="32"/>
        </w:rPr>
      </w:pPr>
      <w:r>
        <w:rPr>
          <w:rFonts w:hAnsi="仿宋_GB2312" w:cs="仿宋_GB2312" w:hint="eastAsia"/>
          <w:b/>
          <w:bCs/>
          <w:sz w:val="32"/>
          <w:szCs w:val="32"/>
        </w:rPr>
        <w:t>5.满意度调查机制不够合理完善</w:t>
      </w:r>
    </w:p>
    <w:p w:rsidR="005255ED" w:rsidRDefault="001B5565">
      <w:pPr>
        <w:pStyle w:val="a0"/>
        <w:ind w:firstLineChars="200" w:firstLine="640"/>
        <w:rPr>
          <w:rFonts w:hAnsi="仿宋_GB2312" w:cs="仿宋_GB2312"/>
          <w:sz w:val="32"/>
          <w:szCs w:val="32"/>
        </w:rPr>
      </w:pPr>
      <w:r>
        <w:rPr>
          <w:rFonts w:hAnsi="仿宋_GB2312" w:cs="仿宋_GB2312" w:hint="eastAsia"/>
          <w:sz w:val="32"/>
          <w:szCs w:val="32"/>
        </w:rPr>
        <w:t>该项目要求促销活动期间购彩者（不少于1000名）或网点（全市20%以上）的满意度要达到90%以上，即开型游戏、竞猜型游戏、</w:t>
      </w:r>
      <w:proofErr w:type="gramStart"/>
      <w:r>
        <w:rPr>
          <w:rFonts w:hAnsi="仿宋_GB2312" w:cs="仿宋_GB2312" w:hint="eastAsia"/>
          <w:sz w:val="32"/>
          <w:szCs w:val="32"/>
        </w:rPr>
        <w:t>乐透型游戏</w:t>
      </w:r>
      <w:proofErr w:type="gramEnd"/>
      <w:r>
        <w:rPr>
          <w:rFonts w:hAnsi="仿宋_GB2312" w:cs="仿宋_GB2312" w:hint="eastAsia"/>
          <w:sz w:val="32"/>
          <w:szCs w:val="32"/>
        </w:rPr>
        <w:t>营销活动期间，分别开展了1000份满意度调查，但评价认为，满意度调查内容较为简单，项</w:t>
      </w:r>
      <w:r>
        <w:rPr>
          <w:rFonts w:hAnsi="仿宋_GB2312" w:cs="仿宋_GB2312" w:hint="eastAsia"/>
          <w:sz w:val="32"/>
          <w:szCs w:val="32"/>
        </w:rPr>
        <w:lastRenderedPageBreak/>
        <w:t>目效益效果及满意</w:t>
      </w:r>
      <w:proofErr w:type="gramStart"/>
      <w:r>
        <w:rPr>
          <w:rFonts w:hAnsi="仿宋_GB2312" w:cs="仿宋_GB2312" w:hint="eastAsia"/>
          <w:sz w:val="32"/>
          <w:szCs w:val="32"/>
        </w:rPr>
        <w:t>度信息</w:t>
      </w:r>
      <w:proofErr w:type="gramEnd"/>
      <w:r>
        <w:rPr>
          <w:rFonts w:hAnsi="仿宋_GB2312" w:cs="仿宋_GB2312" w:hint="eastAsia"/>
          <w:sz w:val="32"/>
          <w:szCs w:val="32"/>
        </w:rPr>
        <w:t>收集不够全面，未能及时收集购彩者及网点对营销活动的意见和建议。</w:t>
      </w:r>
    </w:p>
    <w:p w:rsidR="005255ED" w:rsidRDefault="001B5565">
      <w:pPr>
        <w:spacing w:line="600" w:lineRule="exact"/>
        <w:ind w:firstLineChars="200" w:firstLine="640"/>
        <w:outlineLvl w:val="0"/>
        <w:rPr>
          <w:rFonts w:ascii="黑体" w:eastAsia="黑体" w:hAnsi="黑体" w:cs="黑体"/>
          <w:sz w:val="32"/>
          <w:szCs w:val="32"/>
        </w:rPr>
      </w:pPr>
      <w:bookmarkStart w:id="98" w:name="_Toc28467"/>
      <w:bookmarkStart w:id="99" w:name="_Toc103607522"/>
      <w:bookmarkStart w:id="100" w:name="_Toc103676883"/>
      <w:bookmarkStart w:id="101" w:name="_Toc103617259"/>
      <w:bookmarkStart w:id="102" w:name="_Toc16627"/>
      <w:r>
        <w:rPr>
          <w:rFonts w:ascii="黑体" w:eastAsia="黑体" w:hAnsi="黑体" w:cs="黑体" w:hint="eastAsia"/>
          <w:sz w:val="32"/>
          <w:szCs w:val="32"/>
        </w:rPr>
        <w:t>六、有关建议</w:t>
      </w:r>
      <w:bookmarkEnd w:id="98"/>
      <w:bookmarkEnd w:id="99"/>
      <w:bookmarkEnd w:id="100"/>
      <w:bookmarkEnd w:id="101"/>
      <w:bookmarkEnd w:id="102"/>
    </w:p>
    <w:p w:rsidR="005255ED" w:rsidRDefault="001B5565">
      <w:pPr>
        <w:pStyle w:val="a0"/>
        <w:ind w:firstLineChars="200" w:firstLine="643"/>
        <w:rPr>
          <w:sz w:val="32"/>
          <w:szCs w:val="32"/>
        </w:rPr>
      </w:pPr>
      <w:r>
        <w:rPr>
          <w:rFonts w:hint="eastAsia"/>
          <w:b/>
          <w:bCs/>
          <w:sz w:val="32"/>
          <w:szCs w:val="32"/>
        </w:rPr>
        <w:t>1.完善项目绩效目标，提高绩效目标管理科学化规范化标准化水平</w:t>
      </w:r>
      <w:r>
        <w:rPr>
          <w:rFonts w:hint="eastAsia"/>
          <w:sz w:val="32"/>
          <w:szCs w:val="32"/>
        </w:rPr>
        <w:t>。一是加强绩效指标与绩效目标的对应性，根据项目目标分解子目标及其对应的指标，避免缺项漏项。二是加强预算绩效事前管理，根据工作内容合理测算和细化编制年度预算，并据此设计与资金量相匹配的绩效目标和指标，提高预算编制和绩效指标的准确性。</w:t>
      </w:r>
    </w:p>
    <w:p w:rsidR="005255ED" w:rsidRDefault="001B5565">
      <w:pPr>
        <w:pStyle w:val="a0"/>
        <w:ind w:firstLineChars="200" w:firstLine="643"/>
        <w:rPr>
          <w:sz w:val="32"/>
          <w:szCs w:val="32"/>
        </w:rPr>
      </w:pPr>
      <w:r>
        <w:rPr>
          <w:rFonts w:hint="eastAsia"/>
          <w:b/>
          <w:bCs/>
          <w:sz w:val="32"/>
          <w:szCs w:val="32"/>
        </w:rPr>
        <w:t>2.</w:t>
      </w:r>
      <w:r>
        <w:rPr>
          <w:rFonts w:hAnsi="仿宋_GB2312" w:cs="仿宋_GB2312" w:hint="eastAsia"/>
          <w:b/>
          <w:bCs/>
          <w:sz w:val="32"/>
          <w:szCs w:val="32"/>
        </w:rPr>
        <w:t>开展成本效益分析，夯实项目预算编制。</w:t>
      </w:r>
      <w:r>
        <w:rPr>
          <w:rFonts w:hAnsi="仿宋_GB2312" w:cs="仿宋_GB2312" w:hint="eastAsia"/>
          <w:sz w:val="32"/>
          <w:szCs w:val="32"/>
        </w:rPr>
        <w:t>一是结合市场营销费项目历史数据，加强前期需求调研，深化可</w:t>
      </w:r>
      <w:proofErr w:type="gramStart"/>
      <w:r>
        <w:rPr>
          <w:rFonts w:hAnsi="仿宋_GB2312" w:cs="仿宋_GB2312" w:hint="eastAsia"/>
          <w:sz w:val="32"/>
          <w:szCs w:val="32"/>
        </w:rPr>
        <w:t>研</w:t>
      </w:r>
      <w:proofErr w:type="gramEnd"/>
      <w:r>
        <w:rPr>
          <w:rFonts w:hAnsi="仿宋_GB2312" w:cs="仿宋_GB2312" w:hint="eastAsia"/>
          <w:sz w:val="32"/>
          <w:szCs w:val="32"/>
        </w:rPr>
        <w:t>分析，全面论证营销活动的必要性、可行性、营销方式的合理性、经济性、效益性，加强对往年实施情况和资金使用及其效果的总结分析，深入分析营销活动、营销方式与彩票销售量的相关性，开展成本效益分析，为项目决策、预算决策提供支撑，提高决策科学性。二是根据项目实施方案，明确每次活动所需的人员费用、耗材费用、返还金额以及其他相关费用，细化项目预算，提高预算编制的科学合理性。</w:t>
      </w:r>
    </w:p>
    <w:p w:rsidR="005255ED" w:rsidRDefault="001B5565">
      <w:pPr>
        <w:pStyle w:val="a0"/>
        <w:ind w:firstLineChars="200" w:firstLine="643"/>
        <w:rPr>
          <w:sz w:val="32"/>
          <w:szCs w:val="32"/>
        </w:rPr>
      </w:pPr>
      <w:r>
        <w:rPr>
          <w:rFonts w:hint="eastAsia"/>
          <w:b/>
          <w:bCs/>
          <w:sz w:val="32"/>
          <w:szCs w:val="32"/>
        </w:rPr>
        <w:t>3</w:t>
      </w:r>
      <w:r>
        <w:rPr>
          <w:b/>
          <w:bCs/>
          <w:sz w:val="32"/>
          <w:szCs w:val="32"/>
        </w:rPr>
        <w:t>.</w:t>
      </w:r>
      <w:r>
        <w:rPr>
          <w:rFonts w:hint="eastAsia"/>
          <w:b/>
          <w:bCs/>
          <w:sz w:val="32"/>
          <w:szCs w:val="32"/>
        </w:rPr>
        <w:t>制定市场营销活动的专项计划和年度实施方案</w:t>
      </w:r>
      <w:r>
        <w:rPr>
          <w:rFonts w:hint="eastAsia"/>
          <w:sz w:val="32"/>
          <w:szCs w:val="32"/>
        </w:rPr>
        <w:t>。一是根据国家体育总局体育彩票管理中心年度营销计划、本年重点体育赛事等，结合预算资金量，制定年度营销活动方案，全面体现项目职责分工、活动次数、时间安排、预算分配、</w:t>
      </w:r>
      <w:r>
        <w:rPr>
          <w:rFonts w:hint="eastAsia"/>
          <w:sz w:val="32"/>
          <w:szCs w:val="32"/>
        </w:rPr>
        <w:lastRenderedPageBreak/>
        <w:t>监督及考核验收要求等内容，加强对项目实施的指引。二是作为经常性项目，结合国家体育总局体育彩票管理中心规划、北京市体育彩票“十四五规划”等文件，制定市场营销工作中长期规划，切实促进北京地区中国体育彩票的品牌推广工作，传播“公益体彩 乐善人生”的品牌理念，使</w:t>
      </w:r>
      <w:r w:rsidRPr="0078740E">
        <w:rPr>
          <w:rFonts w:hint="eastAsia"/>
          <w:sz w:val="32"/>
          <w:szCs w:val="32"/>
        </w:rPr>
        <w:t>销售规模</w:t>
      </w:r>
      <w:r>
        <w:rPr>
          <w:rFonts w:hint="eastAsia"/>
          <w:sz w:val="32"/>
          <w:szCs w:val="32"/>
        </w:rPr>
        <w:t>实现稳步增长。</w:t>
      </w:r>
    </w:p>
    <w:p w:rsidR="005255ED" w:rsidRDefault="001B5565">
      <w:pPr>
        <w:pStyle w:val="a0"/>
        <w:ind w:firstLineChars="200" w:firstLine="643"/>
        <w:rPr>
          <w:sz w:val="32"/>
          <w:szCs w:val="32"/>
        </w:rPr>
      </w:pPr>
      <w:r>
        <w:rPr>
          <w:b/>
          <w:bCs/>
          <w:sz w:val="32"/>
          <w:szCs w:val="32"/>
        </w:rPr>
        <w:t>4.</w:t>
      </w:r>
      <w:r>
        <w:rPr>
          <w:rFonts w:hint="eastAsia"/>
          <w:b/>
          <w:bCs/>
          <w:sz w:val="32"/>
          <w:szCs w:val="32"/>
        </w:rPr>
        <w:t>完善监管方式，加强对服务履约质量的控制</w:t>
      </w:r>
      <w:r>
        <w:rPr>
          <w:rFonts w:hint="eastAsia"/>
          <w:sz w:val="32"/>
          <w:szCs w:val="32"/>
        </w:rPr>
        <w:t>。一是通过过程检查、</w:t>
      </w:r>
      <w:proofErr w:type="gramStart"/>
      <w:r>
        <w:rPr>
          <w:rFonts w:hint="eastAsia"/>
          <w:sz w:val="32"/>
          <w:szCs w:val="32"/>
        </w:rPr>
        <w:t>结项验收</w:t>
      </w:r>
      <w:proofErr w:type="gramEnd"/>
      <w:r>
        <w:rPr>
          <w:rFonts w:hint="eastAsia"/>
          <w:sz w:val="32"/>
          <w:szCs w:val="32"/>
        </w:rPr>
        <w:t>、审计等方式，对各项营销活动组织合理性、完成达标情况、促销金额返还情况、活动组织效益等进行监管，及时考核服务商的履约进度和履约质量，对不达标项目进行警告、监督其整改。二是完善项目管理制度，根据历史数据，结合营销活动实际情况，科学合理界定促销费用范围。</w:t>
      </w:r>
    </w:p>
    <w:p w:rsidR="005255ED" w:rsidRDefault="001B5565">
      <w:pPr>
        <w:pStyle w:val="a0"/>
        <w:ind w:firstLineChars="200" w:firstLine="643"/>
        <w:rPr>
          <w:sz w:val="32"/>
          <w:szCs w:val="32"/>
        </w:rPr>
      </w:pPr>
      <w:r>
        <w:rPr>
          <w:rFonts w:hint="eastAsia"/>
          <w:b/>
          <w:bCs/>
          <w:sz w:val="32"/>
          <w:szCs w:val="32"/>
        </w:rPr>
        <w:t>5</w:t>
      </w:r>
      <w:r>
        <w:rPr>
          <w:b/>
          <w:bCs/>
          <w:sz w:val="32"/>
          <w:szCs w:val="32"/>
        </w:rPr>
        <w:t>.</w:t>
      </w:r>
      <w:r>
        <w:rPr>
          <w:rFonts w:hint="eastAsia"/>
          <w:b/>
          <w:bCs/>
          <w:sz w:val="32"/>
          <w:szCs w:val="32"/>
        </w:rPr>
        <w:t>做好绩效数据和满意</w:t>
      </w:r>
      <w:proofErr w:type="gramStart"/>
      <w:r>
        <w:rPr>
          <w:rFonts w:hint="eastAsia"/>
          <w:b/>
          <w:bCs/>
          <w:sz w:val="32"/>
          <w:szCs w:val="32"/>
        </w:rPr>
        <w:t>度信息</w:t>
      </w:r>
      <w:proofErr w:type="gramEnd"/>
      <w:r>
        <w:rPr>
          <w:rFonts w:hint="eastAsia"/>
          <w:b/>
          <w:bCs/>
          <w:sz w:val="32"/>
          <w:szCs w:val="32"/>
        </w:rPr>
        <w:t>收集工作</w:t>
      </w:r>
      <w:r>
        <w:rPr>
          <w:rFonts w:hint="eastAsia"/>
          <w:sz w:val="32"/>
          <w:szCs w:val="32"/>
        </w:rPr>
        <w:t>。建立多渠道、多形式的绩效信息和满意度调查机制，及时制定调查方案，明确调查范围和调查对象，依据项目内容和管理需求科学设计调查问卷，加强统计分析和结果应用，持续推进项目绩效的改进和提升。</w:t>
      </w:r>
    </w:p>
    <w:p w:rsidR="005255ED" w:rsidRDefault="001B5565">
      <w:pPr>
        <w:spacing w:line="600" w:lineRule="exact"/>
        <w:ind w:firstLineChars="200" w:firstLine="640"/>
        <w:outlineLvl w:val="0"/>
        <w:rPr>
          <w:rFonts w:ascii="黑体" w:eastAsia="黑体" w:hAnsi="黑体" w:cs="黑体"/>
          <w:sz w:val="32"/>
          <w:szCs w:val="32"/>
        </w:rPr>
      </w:pPr>
      <w:bookmarkStart w:id="103" w:name="_Toc103676884"/>
      <w:bookmarkStart w:id="104" w:name="_Toc103607523"/>
      <w:bookmarkStart w:id="105" w:name="_Toc28537"/>
      <w:bookmarkStart w:id="106" w:name="_Toc26838"/>
      <w:bookmarkStart w:id="107" w:name="_Toc103617260"/>
      <w:r>
        <w:rPr>
          <w:rFonts w:ascii="黑体" w:eastAsia="黑体" w:hAnsi="黑体" w:cs="黑体" w:hint="eastAsia"/>
          <w:sz w:val="32"/>
          <w:szCs w:val="32"/>
        </w:rPr>
        <w:t>七、其他需要说明的问题</w:t>
      </w:r>
      <w:bookmarkEnd w:id="103"/>
      <w:bookmarkEnd w:id="104"/>
      <w:bookmarkEnd w:id="105"/>
      <w:bookmarkEnd w:id="106"/>
      <w:bookmarkEnd w:id="107"/>
    </w:p>
    <w:p w:rsidR="005255ED" w:rsidRDefault="001B5565" w:rsidP="00993E0D">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无</w:t>
      </w:r>
    </w:p>
    <w:p w:rsidR="00993E0D" w:rsidRPr="00993E0D" w:rsidRDefault="00993E0D" w:rsidP="00993E0D">
      <w:pPr>
        <w:pStyle w:val="a0"/>
      </w:pPr>
    </w:p>
    <w:sectPr w:rsidR="00993E0D" w:rsidRPr="00993E0D" w:rsidSect="00A30C5D">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7F08" w:rsidRDefault="001C7F08">
      <w:r>
        <w:separator/>
      </w:r>
    </w:p>
  </w:endnote>
  <w:endnote w:type="continuationSeparator" w:id="0">
    <w:p w:rsidR="001C7F08" w:rsidRDefault="001C7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楷体_GB2312">
    <w:altName w:val="楷体"/>
    <w:charset w:val="86"/>
    <w:family w:val="modern"/>
    <w:pitch w:val="default"/>
    <w:sig w:usb0="00000001" w:usb1="080E0000" w:usb2="0000000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7539734"/>
      <w:docPartObj>
        <w:docPartGallery w:val="Page Numbers (Bottom of Page)"/>
        <w:docPartUnique/>
      </w:docPartObj>
    </w:sdtPr>
    <w:sdtEndPr/>
    <w:sdtContent>
      <w:p w:rsidR="00993E0D" w:rsidRDefault="00993E0D">
        <w:pPr>
          <w:pStyle w:val="a5"/>
          <w:jc w:val="center"/>
        </w:pPr>
        <w:r>
          <w:fldChar w:fldCharType="begin"/>
        </w:r>
        <w:r>
          <w:instrText>PAGE   \* MERGEFORMAT</w:instrText>
        </w:r>
        <w:r>
          <w:fldChar w:fldCharType="separate"/>
        </w:r>
        <w:r w:rsidR="008A07AD" w:rsidRPr="008A07AD">
          <w:rPr>
            <w:noProof/>
            <w:lang w:val="zh-CN"/>
          </w:rPr>
          <w:t>9</w:t>
        </w:r>
        <w:r>
          <w:fldChar w:fldCharType="end"/>
        </w:r>
      </w:p>
    </w:sdtContent>
  </w:sdt>
  <w:p w:rsidR="00993E0D" w:rsidRDefault="00993E0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7F08" w:rsidRDefault="001C7F08">
      <w:r>
        <w:separator/>
      </w:r>
    </w:p>
  </w:footnote>
  <w:footnote w:type="continuationSeparator" w:id="0">
    <w:p w:rsidR="001C7F08" w:rsidRDefault="001C7F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159902B"/>
    <w:multiLevelType w:val="singleLevel"/>
    <w:tmpl w:val="F159902B"/>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QzNDQwMjQ4YzdhYzllOWUwYWFiYWRhNGMwZWIzNGYifQ=="/>
  </w:docVars>
  <w:rsids>
    <w:rsidRoot w:val="4A453A6A"/>
    <w:rsid w:val="00020660"/>
    <w:rsid w:val="00030E14"/>
    <w:rsid w:val="00041E99"/>
    <w:rsid w:val="00075466"/>
    <w:rsid w:val="00085A1E"/>
    <w:rsid w:val="000D5216"/>
    <w:rsid w:val="000E553E"/>
    <w:rsid w:val="000E6C6A"/>
    <w:rsid w:val="00103635"/>
    <w:rsid w:val="00141D4C"/>
    <w:rsid w:val="00151162"/>
    <w:rsid w:val="00151226"/>
    <w:rsid w:val="00171AB3"/>
    <w:rsid w:val="00176D65"/>
    <w:rsid w:val="00184629"/>
    <w:rsid w:val="001A668B"/>
    <w:rsid w:val="001B3D89"/>
    <w:rsid w:val="001B5565"/>
    <w:rsid w:val="001C14AC"/>
    <w:rsid w:val="001C7F08"/>
    <w:rsid w:val="001D5442"/>
    <w:rsid w:val="00237AE4"/>
    <w:rsid w:val="00262E83"/>
    <w:rsid w:val="00263A52"/>
    <w:rsid w:val="002B7D4E"/>
    <w:rsid w:val="002C165A"/>
    <w:rsid w:val="002D77F4"/>
    <w:rsid w:val="002E6584"/>
    <w:rsid w:val="00303337"/>
    <w:rsid w:val="00325383"/>
    <w:rsid w:val="00325C29"/>
    <w:rsid w:val="00340A15"/>
    <w:rsid w:val="00360C8D"/>
    <w:rsid w:val="00371957"/>
    <w:rsid w:val="00392E41"/>
    <w:rsid w:val="003B28A5"/>
    <w:rsid w:val="003B5D76"/>
    <w:rsid w:val="003C3F0B"/>
    <w:rsid w:val="003D1456"/>
    <w:rsid w:val="003E2393"/>
    <w:rsid w:val="003E4431"/>
    <w:rsid w:val="003F35BF"/>
    <w:rsid w:val="00404FA5"/>
    <w:rsid w:val="00430C10"/>
    <w:rsid w:val="00431E01"/>
    <w:rsid w:val="004469AF"/>
    <w:rsid w:val="0047352C"/>
    <w:rsid w:val="00482BFB"/>
    <w:rsid w:val="00494B66"/>
    <w:rsid w:val="004D1018"/>
    <w:rsid w:val="004D5EF0"/>
    <w:rsid w:val="00510D34"/>
    <w:rsid w:val="00517EDB"/>
    <w:rsid w:val="005255ED"/>
    <w:rsid w:val="00534AB5"/>
    <w:rsid w:val="00537D67"/>
    <w:rsid w:val="00553F7B"/>
    <w:rsid w:val="005561CE"/>
    <w:rsid w:val="00556F3B"/>
    <w:rsid w:val="0056609A"/>
    <w:rsid w:val="00580AE7"/>
    <w:rsid w:val="00597DB2"/>
    <w:rsid w:val="005B2C87"/>
    <w:rsid w:val="005C6B49"/>
    <w:rsid w:val="005C77AB"/>
    <w:rsid w:val="005E0ADF"/>
    <w:rsid w:val="005E496C"/>
    <w:rsid w:val="005F3032"/>
    <w:rsid w:val="0060108E"/>
    <w:rsid w:val="00616363"/>
    <w:rsid w:val="006202D9"/>
    <w:rsid w:val="00644159"/>
    <w:rsid w:val="0066470D"/>
    <w:rsid w:val="0067208B"/>
    <w:rsid w:val="00682398"/>
    <w:rsid w:val="00684506"/>
    <w:rsid w:val="0068626F"/>
    <w:rsid w:val="007011EA"/>
    <w:rsid w:val="007407FD"/>
    <w:rsid w:val="007742F4"/>
    <w:rsid w:val="0078740E"/>
    <w:rsid w:val="007A0BA1"/>
    <w:rsid w:val="007A1672"/>
    <w:rsid w:val="007A6CCB"/>
    <w:rsid w:val="007B0E82"/>
    <w:rsid w:val="007B40C2"/>
    <w:rsid w:val="007B7570"/>
    <w:rsid w:val="00813175"/>
    <w:rsid w:val="00823E75"/>
    <w:rsid w:val="0082582C"/>
    <w:rsid w:val="0083171C"/>
    <w:rsid w:val="008325A1"/>
    <w:rsid w:val="00841D9F"/>
    <w:rsid w:val="0085317E"/>
    <w:rsid w:val="00856442"/>
    <w:rsid w:val="008742C5"/>
    <w:rsid w:val="00876FBD"/>
    <w:rsid w:val="008A07AD"/>
    <w:rsid w:val="008A5D30"/>
    <w:rsid w:val="008B2976"/>
    <w:rsid w:val="008D173A"/>
    <w:rsid w:val="008E5A5F"/>
    <w:rsid w:val="008F7C9A"/>
    <w:rsid w:val="00902091"/>
    <w:rsid w:val="00951453"/>
    <w:rsid w:val="00993E0D"/>
    <w:rsid w:val="00997501"/>
    <w:rsid w:val="009B07AC"/>
    <w:rsid w:val="009C6008"/>
    <w:rsid w:val="009D0BCA"/>
    <w:rsid w:val="009F756B"/>
    <w:rsid w:val="00A042E6"/>
    <w:rsid w:val="00A30C5D"/>
    <w:rsid w:val="00A460FB"/>
    <w:rsid w:val="00A744B5"/>
    <w:rsid w:val="00A91F17"/>
    <w:rsid w:val="00AF68FE"/>
    <w:rsid w:val="00B00596"/>
    <w:rsid w:val="00B26C6C"/>
    <w:rsid w:val="00B35F7B"/>
    <w:rsid w:val="00B454C2"/>
    <w:rsid w:val="00B57BAF"/>
    <w:rsid w:val="00B638FD"/>
    <w:rsid w:val="00B67832"/>
    <w:rsid w:val="00B71741"/>
    <w:rsid w:val="00B82415"/>
    <w:rsid w:val="00B9687A"/>
    <w:rsid w:val="00BA7191"/>
    <w:rsid w:val="00BD13AE"/>
    <w:rsid w:val="00BD2666"/>
    <w:rsid w:val="00BE023D"/>
    <w:rsid w:val="00BE259A"/>
    <w:rsid w:val="00C102A0"/>
    <w:rsid w:val="00C32AD3"/>
    <w:rsid w:val="00C418EF"/>
    <w:rsid w:val="00C714DF"/>
    <w:rsid w:val="00C82708"/>
    <w:rsid w:val="00C83399"/>
    <w:rsid w:val="00C916D4"/>
    <w:rsid w:val="00C93BAB"/>
    <w:rsid w:val="00CA0CBD"/>
    <w:rsid w:val="00CC0C96"/>
    <w:rsid w:val="00CC2B78"/>
    <w:rsid w:val="00CE2E07"/>
    <w:rsid w:val="00D05C06"/>
    <w:rsid w:val="00D1396F"/>
    <w:rsid w:val="00D53CCF"/>
    <w:rsid w:val="00D60711"/>
    <w:rsid w:val="00D9233B"/>
    <w:rsid w:val="00D95F6A"/>
    <w:rsid w:val="00D964D2"/>
    <w:rsid w:val="00DD77ED"/>
    <w:rsid w:val="00DE11A1"/>
    <w:rsid w:val="00DE1794"/>
    <w:rsid w:val="00DF0E66"/>
    <w:rsid w:val="00DF5264"/>
    <w:rsid w:val="00E06A00"/>
    <w:rsid w:val="00E34854"/>
    <w:rsid w:val="00E51011"/>
    <w:rsid w:val="00E56461"/>
    <w:rsid w:val="00E63A28"/>
    <w:rsid w:val="00E65630"/>
    <w:rsid w:val="00E73C24"/>
    <w:rsid w:val="00E90F78"/>
    <w:rsid w:val="00EB0DDD"/>
    <w:rsid w:val="00EB540C"/>
    <w:rsid w:val="00ED14CF"/>
    <w:rsid w:val="00ED6C2B"/>
    <w:rsid w:val="00F17DD9"/>
    <w:rsid w:val="00F200D5"/>
    <w:rsid w:val="00FA2A0C"/>
    <w:rsid w:val="00FD6330"/>
    <w:rsid w:val="00FD6B89"/>
    <w:rsid w:val="00FE172C"/>
    <w:rsid w:val="00FF1819"/>
    <w:rsid w:val="00FF4D8C"/>
    <w:rsid w:val="015A3F9A"/>
    <w:rsid w:val="018B1DB6"/>
    <w:rsid w:val="020B6A0C"/>
    <w:rsid w:val="022E44A8"/>
    <w:rsid w:val="02F76877"/>
    <w:rsid w:val="039C5C90"/>
    <w:rsid w:val="03C7660C"/>
    <w:rsid w:val="03D177E1"/>
    <w:rsid w:val="03FB255B"/>
    <w:rsid w:val="04AA38DD"/>
    <w:rsid w:val="04E37FCB"/>
    <w:rsid w:val="05040C7E"/>
    <w:rsid w:val="05673499"/>
    <w:rsid w:val="05687CD1"/>
    <w:rsid w:val="06323AB9"/>
    <w:rsid w:val="079C1EB4"/>
    <w:rsid w:val="07CF31BA"/>
    <w:rsid w:val="07D314DA"/>
    <w:rsid w:val="08DF426D"/>
    <w:rsid w:val="09520F25"/>
    <w:rsid w:val="09E673F1"/>
    <w:rsid w:val="0A097B70"/>
    <w:rsid w:val="0A2A41B5"/>
    <w:rsid w:val="0A570314"/>
    <w:rsid w:val="0B1C3A38"/>
    <w:rsid w:val="0B941820"/>
    <w:rsid w:val="0B9D34DE"/>
    <w:rsid w:val="0BCF1CCD"/>
    <w:rsid w:val="0C3B25B0"/>
    <w:rsid w:val="0C692CAD"/>
    <w:rsid w:val="0C8E3E24"/>
    <w:rsid w:val="0D35136C"/>
    <w:rsid w:val="0D613984"/>
    <w:rsid w:val="0DA86E7F"/>
    <w:rsid w:val="0DEA3E4C"/>
    <w:rsid w:val="0DF87286"/>
    <w:rsid w:val="0EC35F79"/>
    <w:rsid w:val="0F7C1964"/>
    <w:rsid w:val="10067DA9"/>
    <w:rsid w:val="10706920"/>
    <w:rsid w:val="116379D3"/>
    <w:rsid w:val="11AA463D"/>
    <w:rsid w:val="11CC003C"/>
    <w:rsid w:val="12966B9C"/>
    <w:rsid w:val="129E4D32"/>
    <w:rsid w:val="130A43B4"/>
    <w:rsid w:val="137B7E18"/>
    <w:rsid w:val="13CF7EF4"/>
    <w:rsid w:val="145234F5"/>
    <w:rsid w:val="16021A7C"/>
    <w:rsid w:val="182201B4"/>
    <w:rsid w:val="189035C4"/>
    <w:rsid w:val="18C354F3"/>
    <w:rsid w:val="18F35047"/>
    <w:rsid w:val="18FF61CE"/>
    <w:rsid w:val="19140DE8"/>
    <w:rsid w:val="19E15BCC"/>
    <w:rsid w:val="1A6E31BC"/>
    <w:rsid w:val="1B64092F"/>
    <w:rsid w:val="1BBD3455"/>
    <w:rsid w:val="1BDD1E44"/>
    <w:rsid w:val="1BE3639A"/>
    <w:rsid w:val="1C521B7B"/>
    <w:rsid w:val="1CA643DD"/>
    <w:rsid w:val="1CE400FC"/>
    <w:rsid w:val="1CF77E61"/>
    <w:rsid w:val="1E05210A"/>
    <w:rsid w:val="1E0A3CCF"/>
    <w:rsid w:val="1F1D3483"/>
    <w:rsid w:val="206D38D3"/>
    <w:rsid w:val="20C0056A"/>
    <w:rsid w:val="20FB2DA9"/>
    <w:rsid w:val="20FF3852"/>
    <w:rsid w:val="220B567F"/>
    <w:rsid w:val="222712DA"/>
    <w:rsid w:val="22603DF1"/>
    <w:rsid w:val="22981C8A"/>
    <w:rsid w:val="239D3092"/>
    <w:rsid w:val="2406098A"/>
    <w:rsid w:val="244563C3"/>
    <w:rsid w:val="24BE1264"/>
    <w:rsid w:val="2675601E"/>
    <w:rsid w:val="2683093A"/>
    <w:rsid w:val="271F38F2"/>
    <w:rsid w:val="28423E20"/>
    <w:rsid w:val="28FE73D4"/>
    <w:rsid w:val="29AF302F"/>
    <w:rsid w:val="29CF181E"/>
    <w:rsid w:val="2AAA6513"/>
    <w:rsid w:val="2AEF1115"/>
    <w:rsid w:val="2B9542EA"/>
    <w:rsid w:val="2BC843CA"/>
    <w:rsid w:val="2C186044"/>
    <w:rsid w:val="2CEA6499"/>
    <w:rsid w:val="2D0634AE"/>
    <w:rsid w:val="2D4010AF"/>
    <w:rsid w:val="2D90027A"/>
    <w:rsid w:val="2ED61362"/>
    <w:rsid w:val="2FA554FB"/>
    <w:rsid w:val="31774A03"/>
    <w:rsid w:val="31C4438F"/>
    <w:rsid w:val="32077F9E"/>
    <w:rsid w:val="32EB3B6C"/>
    <w:rsid w:val="32EC220C"/>
    <w:rsid w:val="3317670F"/>
    <w:rsid w:val="331D7A9E"/>
    <w:rsid w:val="332143CC"/>
    <w:rsid w:val="344460F2"/>
    <w:rsid w:val="34E31B01"/>
    <w:rsid w:val="365607BB"/>
    <w:rsid w:val="37136525"/>
    <w:rsid w:val="37A246BB"/>
    <w:rsid w:val="37A85AD7"/>
    <w:rsid w:val="37CE54B5"/>
    <w:rsid w:val="383733B0"/>
    <w:rsid w:val="38402264"/>
    <w:rsid w:val="38611BE5"/>
    <w:rsid w:val="386A72B2"/>
    <w:rsid w:val="38934A8A"/>
    <w:rsid w:val="38A41C10"/>
    <w:rsid w:val="39593738"/>
    <w:rsid w:val="398C6304"/>
    <w:rsid w:val="3A217E73"/>
    <w:rsid w:val="3A2E0A98"/>
    <w:rsid w:val="3A323E2F"/>
    <w:rsid w:val="3B1C31C0"/>
    <w:rsid w:val="3C603B85"/>
    <w:rsid w:val="3C9E57AB"/>
    <w:rsid w:val="3D0C7B05"/>
    <w:rsid w:val="3D5C6CF7"/>
    <w:rsid w:val="3D74475E"/>
    <w:rsid w:val="3D9B1A2A"/>
    <w:rsid w:val="3F1C4C7D"/>
    <w:rsid w:val="400B75FC"/>
    <w:rsid w:val="40965251"/>
    <w:rsid w:val="415B3C6B"/>
    <w:rsid w:val="416A65A4"/>
    <w:rsid w:val="41A7490E"/>
    <w:rsid w:val="41D028AB"/>
    <w:rsid w:val="42007D91"/>
    <w:rsid w:val="42C338F7"/>
    <w:rsid w:val="42CB3072"/>
    <w:rsid w:val="433867EA"/>
    <w:rsid w:val="436D795F"/>
    <w:rsid w:val="43811983"/>
    <w:rsid w:val="43BC14A4"/>
    <w:rsid w:val="4585750E"/>
    <w:rsid w:val="45BF7A6B"/>
    <w:rsid w:val="45D53921"/>
    <w:rsid w:val="46170F29"/>
    <w:rsid w:val="46DB13AA"/>
    <w:rsid w:val="470E08E3"/>
    <w:rsid w:val="471A0124"/>
    <w:rsid w:val="49241739"/>
    <w:rsid w:val="4A396B13"/>
    <w:rsid w:val="4A453A6A"/>
    <w:rsid w:val="4AD34597"/>
    <w:rsid w:val="4B2A405F"/>
    <w:rsid w:val="4B315BD2"/>
    <w:rsid w:val="4C8B1B78"/>
    <w:rsid w:val="4CE77042"/>
    <w:rsid w:val="4DD21755"/>
    <w:rsid w:val="4DFF4A01"/>
    <w:rsid w:val="4F863B61"/>
    <w:rsid w:val="4F9F566B"/>
    <w:rsid w:val="50A373DC"/>
    <w:rsid w:val="512C73D2"/>
    <w:rsid w:val="52AB2C49"/>
    <w:rsid w:val="52D2344E"/>
    <w:rsid w:val="5345563A"/>
    <w:rsid w:val="53792655"/>
    <w:rsid w:val="53DE69B9"/>
    <w:rsid w:val="54197134"/>
    <w:rsid w:val="542C4EC5"/>
    <w:rsid w:val="543303FB"/>
    <w:rsid w:val="54D50AE3"/>
    <w:rsid w:val="55992FE9"/>
    <w:rsid w:val="55A42FE1"/>
    <w:rsid w:val="56A84E77"/>
    <w:rsid w:val="56F02C50"/>
    <w:rsid w:val="57131A63"/>
    <w:rsid w:val="576E2B84"/>
    <w:rsid w:val="57A635D2"/>
    <w:rsid w:val="57C43488"/>
    <w:rsid w:val="58737694"/>
    <w:rsid w:val="59CA18E7"/>
    <w:rsid w:val="59FD63ED"/>
    <w:rsid w:val="5A5C777D"/>
    <w:rsid w:val="5A635729"/>
    <w:rsid w:val="5A6364FC"/>
    <w:rsid w:val="5AAE2C06"/>
    <w:rsid w:val="5AF50835"/>
    <w:rsid w:val="5B610E2E"/>
    <w:rsid w:val="5B987BF6"/>
    <w:rsid w:val="5C8D5CA2"/>
    <w:rsid w:val="5CC442A9"/>
    <w:rsid w:val="5CD728E8"/>
    <w:rsid w:val="5CF83777"/>
    <w:rsid w:val="5D622736"/>
    <w:rsid w:val="5D6E50AF"/>
    <w:rsid w:val="5DD638E2"/>
    <w:rsid w:val="5DFB2606"/>
    <w:rsid w:val="5E282A6C"/>
    <w:rsid w:val="5E8F2DB2"/>
    <w:rsid w:val="5EA54320"/>
    <w:rsid w:val="5EC11B09"/>
    <w:rsid w:val="5F5A7669"/>
    <w:rsid w:val="5F667595"/>
    <w:rsid w:val="60795CB1"/>
    <w:rsid w:val="60C279B1"/>
    <w:rsid w:val="60E24467"/>
    <w:rsid w:val="612043C7"/>
    <w:rsid w:val="61671270"/>
    <w:rsid w:val="61734BA9"/>
    <w:rsid w:val="6213286B"/>
    <w:rsid w:val="62A274F4"/>
    <w:rsid w:val="62FA7330"/>
    <w:rsid w:val="63471512"/>
    <w:rsid w:val="648E63CE"/>
    <w:rsid w:val="64AD3F2E"/>
    <w:rsid w:val="64EC2CA8"/>
    <w:rsid w:val="655F6CD4"/>
    <w:rsid w:val="66417024"/>
    <w:rsid w:val="671F1A13"/>
    <w:rsid w:val="675B4115"/>
    <w:rsid w:val="67653D7E"/>
    <w:rsid w:val="67904C3A"/>
    <w:rsid w:val="67C111F5"/>
    <w:rsid w:val="67E1286C"/>
    <w:rsid w:val="68C55DC8"/>
    <w:rsid w:val="6A115C12"/>
    <w:rsid w:val="6CBC07BF"/>
    <w:rsid w:val="6CE02047"/>
    <w:rsid w:val="6DD65377"/>
    <w:rsid w:val="6E272C19"/>
    <w:rsid w:val="6E3A4EF7"/>
    <w:rsid w:val="6F06227F"/>
    <w:rsid w:val="6F2C1224"/>
    <w:rsid w:val="6F651FD5"/>
    <w:rsid w:val="6FCD1928"/>
    <w:rsid w:val="6FD1409B"/>
    <w:rsid w:val="702D5AB8"/>
    <w:rsid w:val="704F7C81"/>
    <w:rsid w:val="70C06871"/>
    <w:rsid w:val="70CF7695"/>
    <w:rsid w:val="70D2136A"/>
    <w:rsid w:val="71500D3F"/>
    <w:rsid w:val="718F25AD"/>
    <w:rsid w:val="71A37E47"/>
    <w:rsid w:val="726B686B"/>
    <w:rsid w:val="72B017B9"/>
    <w:rsid w:val="72CE2E3F"/>
    <w:rsid w:val="72E6232E"/>
    <w:rsid w:val="72F93721"/>
    <w:rsid w:val="74103AB8"/>
    <w:rsid w:val="745D2AE8"/>
    <w:rsid w:val="748C0AD6"/>
    <w:rsid w:val="74A731A8"/>
    <w:rsid w:val="74DE7CB9"/>
    <w:rsid w:val="767E572A"/>
    <w:rsid w:val="76B75B16"/>
    <w:rsid w:val="77F4252E"/>
    <w:rsid w:val="79030169"/>
    <w:rsid w:val="7921588D"/>
    <w:rsid w:val="79456799"/>
    <w:rsid w:val="79B50E56"/>
    <w:rsid w:val="79F24465"/>
    <w:rsid w:val="7A6D7F90"/>
    <w:rsid w:val="7ACF0C4A"/>
    <w:rsid w:val="7AD26045"/>
    <w:rsid w:val="7AD272CF"/>
    <w:rsid w:val="7B2309F5"/>
    <w:rsid w:val="7B5C73BA"/>
    <w:rsid w:val="7BC2255D"/>
    <w:rsid w:val="7BEC3136"/>
    <w:rsid w:val="7C9C2DAE"/>
    <w:rsid w:val="7D0328AD"/>
    <w:rsid w:val="7E722019"/>
    <w:rsid w:val="7F61505F"/>
    <w:rsid w:val="7FE346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qFormat="1"/>
    <w:lsdException w:name="toc 3" w:uiPriority="39"/>
    <w:lsdException w:name="Normal Indent" w:qFormat="1"/>
    <w:lsdException w:name="header" w:qFormat="1"/>
    <w:lsdException w:name="footer" w:uiPriority="99" w:qFormat="1"/>
    <w:lsdException w:name="caption" w:semiHidden="1" w:unhideWhenUsed="1" w:qFormat="1"/>
    <w:lsdException w:name="page number" w:qFormat="1"/>
    <w:lsdException w:name="Title" w:uiPriority="10" w:qFormat="1"/>
    <w:lsdException w:name="Default Paragraph Font" w:semiHidden="1" w:uiPriority="1" w:unhideWhenUsed="1"/>
    <w:lsdException w:name="Body Text" w:uiPriority="99" w:qFormat="1"/>
    <w:lsdException w:name="Subtitle" w:qFormat="1"/>
    <w:lsdException w:name="Body Text Indent 2"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uiPriority w:val="99"/>
    <w:qFormat/>
    <w:pPr>
      <w:ind w:firstLine="200"/>
    </w:pPr>
    <w:rPr>
      <w:rFonts w:ascii="仿宋_GB2312" w:eastAsia="仿宋_GB2312"/>
      <w:sz w:val="30"/>
      <w:szCs w:val="22"/>
    </w:rPr>
  </w:style>
  <w:style w:type="paragraph" w:styleId="a4">
    <w:name w:val="Normal Indent"/>
    <w:basedOn w:val="a"/>
    <w:qFormat/>
    <w:pPr>
      <w:ind w:firstLine="420"/>
    </w:pPr>
    <w:rPr>
      <w:szCs w:val="20"/>
    </w:rPr>
  </w:style>
  <w:style w:type="paragraph" w:styleId="3">
    <w:name w:val="toc 3"/>
    <w:basedOn w:val="a"/>
    <w:next w:val="a"/>
    <w:uiPriority w:val="39"/>
    <w:pPr>
      <w:ind w:leftChars="400" w:left="840"/>
    </w:pPr>
  </w:style>
  <w:style w:type="paragraph" w:styleId="2">
    <w:name w:val="Body Text Indent 2"/>
    <w:basedOn w:val="a"/>
    <w:qFormat/>
    <w:pPr>
      <w:spacing w:after="120" w:line="480" w:lineRule="auto"/>
      <w:ind w:leftChars="200" w:left="420"/>
    </w:pPr>
  </w:style>
  <w:style w:type="paragraph" w:styleId="a5">
    <w:name w:val="footer"/>
    <w:basedOn w:val="a"/>
    <w:link w:val="Char0"/>
    <w:uiPriority w:val="99"/>
    <w:qFormat/>
    <w:pPr>
      <w:tabs>
        <w:tab w:val="center" w:pos="4153"/>
        <w:tab w:val="right" w:pos="8306"/>
      </w:tabs>
      <w:snapToGrid w:val="0"/>
      <w:jc w:val="left"/>
    </w:pPr>
    <w:rPr>
      <w:sz w:val="18"/>
    </w:rPr>
  </w:style>
  <w:style w:type="paragraph" w:styleId="a6">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pPr>
      <w:tabs>
        <w:tab w:val="right" w:leader="middleDot" w:pos="8296"/>
      </w:tabs>
    </w:pPr>
    <w:rPr>
      <w:rFonts w:ascii="黑体" w:eastAsia="黑体" w:hAnsi="黑体" w:cs="黑体"/>
      <w:sz w:val="28"/>
      <w:szCs w:val="36"/>
    </w:rPr>
  </w:style>
  <w:style w:type="paragraph" w:styleId="20">
    <w:name w:val="toc 2"/>
    <w:basedOn w:val="a"/>
    <w:next w:val="a"/>
    <w:uiPriority w:val="39"/>
    <w:qFormat/>
    <w:pPr>
      <w:ind w:leftChars="200" w:left="420"/>
    </w:pPr>
  </w:style>
  <w:style w:type="paragraph" w:styleId="a7">
    <w:name w:val="Title"/>
    <w:basedOn w:val="a"/>
    <w:next w:val="a"/>
    <w:uiPriority w:val="10"/>
    <w:qFormat/>
    <w:pPr>
      <w:spacing w:before="240" w:after="60"/>
      <w:jc w:val="center"/>
      <w:outlineLvl w:val="0"/>
    </w:pPr>
    <w:rPr>
      <w:rFonts w:ascii="Arial" w:hAnsi="Arial"/>
      <w:b/>
      <w:sz w:val="32"/>
    </w:rPr>
  </w:style>
  <w:style w:type="character" w:styleId="a8">
    <w:name w:val="page number"/>
    <w:basedOn w:val="a1"/>
    <w:qFormat/>
  </w:style>
  <w:style w:type="character" w:styleId="a9">
    <w:name w:val="Hyperlink"/>
    <w:basedOn w:val="a1"/>
    <w:uiPriority w:val="99"/>
    <w:unhideWhenUsed/>
    <w:qFormat/>
    <w:rPr>
      <w:color w:val="0563C1" w:themeColor="hyperlink"/>
      <w:u w:val="single"/>
    </w:rPr>
  </w:style>
  <w:style w:type="character" w:customStyle="1" w:styleId="1Char">
    <w:name w:val="标题 1 Char"/>
    <w:basedOn w:val="a1"/>
    <w:link w:val="1"/>
    <w:rPr>
      <w:b/>
      <w:bCs/>
      <w:kern w:val="44"/>
      <w:sz w:val="44"/>
      <w:szCs w:val="44"/>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customStyle="1" w:styleId="Char">
    <w:name w:val="正文文本 Char"/>
    <w:basedOn w:val="a1"/>
    <w:link w:val="a0"/>
    <w:uiPriority w:val="99"/>
    <w:qFormat/>
    <w:rPr>
      <w:rFonts w:ascii="仿宋_GB2312" w:eastAsia="仿宋_GB2312"/>
      <w:kern w:val="2"/>
      <w:sz w:val="30"/>
      <w:szCs w:val="22"/>
    </w:rPr>
  </w:style>
  <w:style w:type="character" w:customStyle="1" w:styleId="Char1">
    <w:name w:val="页眉 Char"/>
    <w:basedOn w:val="a1"/>
    <w:link w:val="a6"/>
    <w:qFormat/>
    <w:rPr>
      <w:kern w:val="2"/>
      <w:sz w:val="18"/>
      <w:szCs w:val="18"/>
    </w:rPr>
  </w:style>
  <w:style w:type="character" w:customStyle="1" w:styleId="Char0">
    <w:name w:val="页脚 Char"/>
    <w:basedOn w:val="a1"/>
    <w:link w:val="a5"/>
    <w:uiPriority w:val="99"/>
    <w:rPr>
      <w:kern w:val="2"/>
      <w:sz w:val="18"/>
      <w:szCs w:val="24"/>
    </w:rPr>
  </w:style>
  <w:style w:type="paragraph" w:customStyle="1" w:styleId="WPSOffice1">
    <w:name w:val="WPSOffice手动目录 1"/>
  </w:style>
  <w:style w:type="paragraph" w:customStyle="1" w:styleId="WPSOffice2">
    <w:name w:val="WPSOffice手动目录 2"/>
    <w:qFormat/>
    <w:pPr>
      <w:ind w:leftChars="200" w:left="200"/>
    </w:pPr>
  </w:style>
  <w:style w:type="paragraph" w:customStyle="1" w:styleId="TOC2">
    <w:name w:val="TOC 标题2"/>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aa">
    <w:name w:val="Balloon Text"/>
    <w:basedOn w:val="a"/>
    <w:link w:val="Char2"/>
    <w:rsid w:val="00ED14CF"/>
    <w:rPr>
      <w:sz w:val="18"/>
      <w:szCs w:val="18"/>
    </w:rPr>
  </w:style>
  <w:style w:type="character" w:customStyle="1" w:styleId="Char2">
    <w:name w:val="批注框文本 Char"/>
    <w:basedOn w:val="a1"/>
    <w:link w:val="aa"/>
    <w:rsid w:val="00ED14CF"/>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qFormat="1"/>
    <w:lsdException w:name="toc 3" w:uiPriority="39"/>
    <w:lsdException w:name="Normal Indent" w:qFormat="1"/>
    <w:lsdException w:name="header" w:qFormat="1"/>
    <w:lsdException w:name="footer" w:uiPriority="99" w:qFormat="1"/>
    <w:lsdException w:name="caption" w:semiHidden="1" w:unhideWhenUsed="1" w:qFormat="1"/>
    <w:lsdException w:name="page number" w:qFormat="1"/>
    <w:lsdException w:name="Title" w:uiPriority="10" w:qFormat="1"/>
    <w:lsdException w:name="Default Paragraph Font" w:semiHidden="1" w:uiPriority="1" w:unhideWhenUsed="1"/>
    <w:lsdException w:name="Body Text" w:uiPriority="99" w:qFormat="1"/>
    <w:lsdException w:name="Subtitle" w:qFormat="1"/>
    <w:lsdException w:name="Body Text Indent 2"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uiPriority w:val="99"/>
    <w:qFormat/>
    <w:pPr>
      <w:ind w:firstLine="200"/>
    </w:pPr>
    <w:rPr>
      <w:rFonts w:ascii="仿宋_GB2312" w:eastAsia="仿宋_GB2312"/>
      <w:sz w:val="30"/>
      <w:szCs w:val="22"/>
    </w:rPr>
  </w:style>
  <w:style w:type="paragraph" w:styleId="a4">
    <w:name w:val="Normal Indent"/>
    <w:basedOn w:val="a"/>
    <w:qFormat/>
    <w:pPr>
      <w:ind w:firstLine="420"/>
    </w:pPr>
    <w:rPr>
      <w:szCs w:val="20"/>
    </w:rPr>
  </w:style>
  <w:style w:type="paragraph" w:styleId="3">
    <w:name w:val="toc 3"/>
    <w:basedOn w:val="a"/>
    <w:next w:val="a"/>
    <w:uiPriority w:val="39"/>
    <w:pPr>
      <w:ind w:leftChars="400" w:left="840"/>
    </w:pPr>
  </w:style>
  <w:style w:type="paragraph" w:styleId="2">
    <w:name w:val="Body Text Indent 2"/>
    <w:basedOn w:val="a"/>
    <w:qFormat/>
    <w:pPr>
      <w:spacing w:after="120" w:line="480" w:lineRule="auto"/>
      <w:ind w:leftChars="200" w:left="420"/>
    </w:pPr>
  </w:style>
  <w:style w:type="paragraph" w:styleId="a5">
    <w:name w:val="footer"/>
    <w:basedOn w:val="a"/>
    <w:link w:val="Char0"/>
    <w:uiPriority w:val="99"/>
    <w:qFormat/>
    <w:pPr>
      <w:tabs>
        <w:tab w:val="center" w:pos="4153"/>
        <w:tab w:val="right" w:pos="8306"/>
      </w:tabs>
      <w:snapToGrid w:val="0"/>
      <w:jc w:val="left"/>
    </w:pPr>
    <w:rPr>
      <w:sz w:val="18"/>
    </w:rPr>
  </w:style>
  <w:style w:type="paragraph" w:styleId="a6">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pPr>
      <w:tabs>
        <w:tab w:val="right" w:leader="middleDot" w:pos="8296"/>
      </w:tabs>
    </w:pPr>
    <w:rPr>
      <w:rFonts w:ascii="黑体" w:eastAsia="黑体" w:hAnsi="黑体" w:cs="黑体"/>
      <w:sz w:val="28"/>
      <w:szCs w:val="36"/>
    </w:rPr>
  </w:style>
  <w:style w:type="paragraph" w:styleId="20">
    <w:name w:val="toc 2"/>
    <w:basedOn w:val="a"/>
    <w:next w:val="a"/>
    <w:uiPriority w:val="39"/>
    <w:qFormat/>
    <w:pPr>
      <w:ind w:leftChars="200" w:left="420"/>
    </w:pPr>
  </w:style>
  <w:style w:type="paragraph" w:styleId="a7">
    <w:name w:val="Title"/>
    <w:basedOn w:val="a"/>
    <w:next w:val="a"/>
    <w:uiPriority w:val="10"/>
    <w:qFormat/>
    <w:pPr>
      <w:spacing w:before="240" w:after="60"/>
      <w:jc w:val="center"/>
      <w:outlineLvl w:val="0"/>
    </w:pPr>
    <w:rPr>
      <w:rFonts w:ascii="Arial" w:hAnsi="Arial"/>
      <w:b/>
      <w:sz w:val="32"/>
    </w:rPr>
  </w:style>
  <w:style w:type="character" w:styleId="a8">
    <w:name w:val="page number"/>
    <w:basedOn w:val="a1"/>
    <w:qFormat/>
  </w:style>
  <w:style w:type="character" w:styleId="a9">
    <w:name w:val="Hyperlink"/>
    <w:basedOn w:val="a1"/>
    <w:uiPriority w:val="99"/>
    <w:unhideWhenUsed/>
    <w:qFormat/>
    <w:rPr>
      <w:color w:val="0563C1" w:themeColor="hyperlink"/>
      <w:u w:val="single"/>
    </w:rPr>
  </w:style>
  <w:style w:type="character" w:customStyle="1" w:styleId="1Char">
    <w:name w:val="标题 1 Char"/>
    <w:basedOn w:val="a1"/>
    <w:link w:val="1"/>
    <w:rPr>
      <w:b/>
      <w:bCs/>
      <w:kern w:val="44"/>
      <w:sz w:val="44"/>
      <w:szCs w:val="44"/>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customStyle="1" w:styleId="Char">
    <w:name w:val="正文文本 Char"/>
    <w:basedOn w:val="a1"/>
    <w:link w:val="a0"/>
    <w:uiPriority w:val="99"/>
    <w:qFormat/>
    <w:rPr>
      <w:rFonts w:ascii="仿宋_GB2312" w:eastAsia="仿宋_GB2312"/>
      <w:kern w:val="2"/>
      <w:sz w:val="30"/>
      <w:szCs w:val="22"/>
    </w:rPr>
  </w:style>
  <w:style w:type="character" w:customStyle="1" w:styleId="Char1">
    <w:name w:val="页眉 Char"/>
    <w:basedOn w:val="a1"/>
    <w:link w:val="a6"/>
    <w:qFormat/>
    <w:rPr>
      <w:kern w:val="2"/>
      <w:sz w:val="18"/>
      <w:szCs w:val="18"/>
    </w:rPr>
  </w:style>
  <w:style w:type="character" w:customStyle="1" w:styleId="Char0">
    <w:name w:val="页脚 Char"/>
    <w:basedOn w:val="a1"/>
    <w:link w:val="a5"/>
    <w:uiPriority w:val="99"/>
    <w:rPr>
      <w:kern w:val="2"/>
      <w:sz w:val="18"/>
      <w:szCs w:val="24"/>
    </w:rPr>
  </w:style>
  <w:style w:type="paragraph" w:customStyle="1" w:styleId="WPSOffice1">
    <w:name w:val="WPSOffice手动目录 1"/>
  </w:style>
  <w:style w:type="paragraph" w:customStyle="1" w:styleId="WPSOffice2">
    <w:name w:val="WPSOffice手动目录 2"/>
    <w:qFormat/>
    <w:pPr>
      <w:ind w:leftChars="200" w:left="200"/>
    </w:pPr>
  </w:style>
  <w:style w:type="paragraph" w:customStyle="1" w:styleId="TOC2">
    <w:name w:val="TOC 标题2"/>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aa">
    <w:name w:val="Balloon Text"/>
    <w:basedOn w:val="a"/>
    <w:link w:val="Char2"/>
    <w:rsid w:val="00ED14CF"/>
    <w:rPr>
      <w:sz w:val="18"/>
      <w:szCs w:val="18"/>
    </w:rPr>
  </w:style>
  <w:style w:type="character" w:customStyle="1" w:styleId="Char2">
    <w:name w:val="批注框文本 Char"/>
    <w:basedOn w:val="a1"/>
    <w:link w:val="aa"/>
    <w:rsid w:val="00ED14CF"/>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hart" Target="charts/chart2.xml"/><Relationship Id="rId5" Type="http://schemas.microsoft.com/office/2007/relationships/stylesWithEffects" Target="stylesWithEffects.xml"/><Relationship Id="rId10" Type="http://schemas.openxmlformats.org/officeDocument/2006/relationships/chart" Target="charts/chart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Desktop\2022&#24180;&#21271;&#20140;&#24066;&#20307;&#24425;\03-&#37325;&#28857;&#39033;&#30446;&#36164;&#26009;&#65288;&#24066;&#22330;&#33829;&#38144;&#36153;&#65289;\00-&#24066;&#22330;&#33829;&#38144;&#36153;&#39033;&#30446;&#32489;&#25928;&#35780;&#20215;&#25351;&#26631;&#20307;&#31995;&#21450;&#24037;&#20316;&#24213;&#31295;0512.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dmin\Desktop\2022&#24180;&#21271;&#20140;&#24066;&#20307;&#24425;\03-&#37325;&#28857;&#39033;&#30446;&#36164;&#26009;&#65288;&#24066;&#22330;&#33829;&#38144;&#36153;&#65289;\00-&#24066;&#22330;&#33829;&#38144;&#36153;&#39033;&#30446;&#32489;&#25928;&#35780;&#20215;&#25351;&#26631;&#20307;&#31995;&#21450;&#24037;&#20316;&#24213;&#31295;051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000" b="0" i="0" u="none" strike="noStrike" kern="1200" spc="0" baseline="0">
                <a:solidFill>
                  <a:schemeClr val="tx1">
                    <a:lumMod val="65000"/>
                    <a:lumOff val="35000"/>
                  </a:schemeClr>
                </a:solidFill>
                <a:latin typeface="黑体" panose="02010609060101010101" charset="-122"/>
                <a:ea typeface="黑体" panose="02010609060101010101" charset="-122"/>
                <a:cs typeface="黑体" panose="02010609060101010101" charset="-122"/>
                <a:sym typeface="黑体" panose="02010609060101010101" charset="-122"/>
              </a:defRPr>
            </a:pPr>
            <a:r>
              <a:rPr lang="en-US" altLang="zh-CN" sz="1000">
                <a:latin typeface="黑体" panose="02010609060101010101" charset="-122"/>
                <a:ea typeface="黑体" panose="02010609060101010101" charset="-122"/>
                <a:cs typeface="黑体" panose="02010609060101010101" charset="-122"/>
                <a:sym typeface="黑体" panose="02010609060101010101" charset="-122"/>
              </a:rPr>
              <a:t>2019</a:t>
            </a:r>
            <a:r>
              <a:rPr lang="zh-CN" altLang="en-US" sz="1000">
                <a:latin typeface="黑体" panose="02010609060101010101" charset="-122"/>
                <a:ea typeface="黑体" panose="02010609060101010101" charset="-122"/>
                <a:cs typeface="黑体" panose="02010609060101010101" charset="-122"/>
                <a:sym typeface="黑体" panose="02010609060101010101" charset="-122"/>
              </a:rPr>
              <a:t>年</a:t>
            </a:r>
            <a:r>
              <a:rPr lang="en-US" altLang="zh-CN" sz="1000">
                <a:latin typeface="黑体" panose="02010609060101010101" charset="-122"/>
                <a:ea typeface="黑体" panose="02010609060101010101" charset="-122"/>
                <a:cs typeface="黑体" panose="02010609060101010101" charset="-122"/>
                <a:sym typeface="黑体" panose="02010609060101010101" charset="-122"/>
              </a:rPr>
              <a:t>-2021</a:t>
            </a:r>
            <a:r>
              <a:rPr lang="zh-CN" altLang="en-US" sz="1000">
                <a:latin typeface="黑体" panose="02010609060101010101" charset="-122"/>
                <a:ea typeface="黑体" panose="02010609060101010101" charset="-122"/>
                <a:cs typeface="黑体" panose="02010609060101010101" charset="-122"/>
                <a:sym typeface="黑体" panose="02010609060101010101" charset="-122"/>
              </a:rPr>
              <a:t>年全年销量对比（单位：万元）</a:t>
            </a:r>
          </a:p>
        </c:rich>
      </c:tx>
      <c:overlay val="0"/>
      <c:spPr>
        <a:noFill/>
        <a:ln>
          <a:noFill/>
        </a:ln>
        <a:effectLst/>
      </c:spPr>
    </c:title>
    <c:autoTitleDeleted val="0"/>
    <c:plotArea>
      <c:layout/>
      <c:barChart>
        <c:barDir val="col"/>
        <c:grouping val="clustered"/>
        <c:varyColors val="0"/>
        <c:ser>
          <c:idx val="0"/>
          <c:order val="0"/>
          <c:tx>
            <c:strRef>
              <c:f>'[00-市场营销费项目绩效评价指标体系及工作底稿0512.xlsx]Sheet2'!$K$19</c:f>
              <c:strCache>
                <c:ptCount val="1"/>
                <c:pt idx="0">
                  <c:v>2019年</c:v>
                </c:pt>
              </c:strCache>
            </c:strRef>
          </c:tx>
          <c:spPr>
            <a:pattFill prst="dkUpDiag">
              <a:fgClr>
                <a:schemeClr val="tx1">
                  <a:lumMod val="50000"/>
                  <a:lumOff val="50000"/>
                </a:schemeClr>
              </a:fgClr>
              <a:bgClr>
                <a:schemeClr val="bg1"/>
              </a:bgClr>
            </a:pattFill>
            <a:ln w="12700" cmpd="sng">
              <a:solidFill>
                <a:schemeClr val="tx1">
                  <a:lumMod val="50000"/>
                  <a:lumOff val="50000"/>
                </a:schemeClr>
              </a:solidFill>
              <a:prstDash val="solid"/>
            </a:ln>
            <a:effectLst/>
            <a:sp3d contourW="12700"/>
          </c:spPr>
          <c:invertIfNegative val="0"/>
          <c:cat>
            <c:multiLvlStrRef>
              <c:f>'[00-市场营销费项目绩效评价指标体系及工作底稿0512.xlsx]Sheet2'!$I$20:$J$23</c:f>
              <c:multiLvlStrCache>
                <c:ptCount val="4"/>
                <c:lvl>
                  <c:pt idx="0">
                    <c:v>大乐透</c:v>
                  </c:pt>
                  <c:pt idx="1">
                    <c:v>七星彩</c:v>
                  </c:pt>
                  <c:pt idx="2">
                    <c:v>即开</c:v>
                  </c:pt>
                  <c:pt idx="3">
                    <c:v>北单</c:v>
                  </c:pt>
                </c:lvl>
                <c:lvl>
                  <c:pt idx="0">
                    <c:v>乐透类</c:v>
                  </c:pt>
                  <c:pt idx="1">
                    <c:v>乐透类</c:v>
                  </c:pt>
                  <c:pt idx="2">
                    <c:v>即开类</c:v>
                  </c:pt>
                  <c:pt idx="3">
                    <c:v>竞猜类</c:v>
                  </c:pt>
                </c:lvl>
              </c:multiLvlStrCache>
            </c:multiLvlStrRef>
          </c:cat>
          <c:val>
            <c:numRef>
              <c:f>'[00-市场营销费项目绩效评价指标体系及工作底稿0512.xlsx]Sheet2'!$K$20:$K$23</c:f>
              <c:numCache>
                <c:formatCode>0.00_ </c:formatCode>
                <c:ptCount val="4"/>
                <c:pt idx="0">
                  <c:v>133339.6649</c:v>
                </c:pt>
                <c:pt idx="1">
                  <c:v>4697.4979999999996</c:v>
                </c:pt>
                <c:pt idx="2">
                  <c:v>59786.01</c:v>
                </c:pt>
                <c:pt idx="3">
                  <c:v>54155.200199999999</c:v>
                </c:pt>
              </c:numCache>
            </c:numRef>
          </c:val>
        </c:ser>
        <c:ser>
          <c:idx val="1"/>
          <c:order val="1"/>
          <c:tx>
            <c:strRef>
              <c:f>'[00-市场营销费项目绩效评价指标体系及工作底稿0512.xlsx]Sheet2'!$L$19</c:f>
              <c:strCache>
                <c:ptCount val="1"/>
                <c:pt idx="0">
                  <c:v>2020年</c:v>
                </c:pt>
              </c:strCache>
            </c:strRef>
          </c:tx>
          <c:spPr>
            <a:pattFill prst="pct10">
              <a:fgClr>
                <a:schemeClr val="accent2"/>
              </a:fgClr>
              <a:bgClr>
                <a:schemeClr val="bg1"/>
              </a:bgClr>
            </a:pattFill>
            <a:ln w="12700" cmpd="sng">
              <a:solidFill>
                <a:schemeClr val="tx1">
                  <a:lumMod val="50000"/>
                  <a:lumOff val="50000"/>
                </a:schemeClr>
              </a:solidFill>
              <a:prstDash val="solid"/>
            </a:ln>
            <a:effectLst/>
            <a:sp3d contourW="12700"/>
          </c:spPr>
          <c:invertIfNegative val="0"/>
          <c:cat>
            <c:multiLvlStrRef>
              <c:f>'[00-市场营销费项目绩效评价指标体系及工作底稿0512.xlsx]Sheet2'!$I$20:$J$23</c:f>
              <c:multiLvlStrCache>
                <c:ptCount val="4"/>
                <c:lvl>
                  <c:pt idx="0">
                    <c:v>大乐透</c:v>
                  </c:pt>
                  <c:pt idx="1">
                    <c:v>七星彩</c:v>
                  </c:pt>
                  <c:pt idx="2">
                    <c:v>即开</c:v>
                  </c:pt>
                  <c:pt idx="3">
                    <c:v>北单</c:v>
                  </c:pt>
                </c:lvl>
                <c:lvl>
                  <c:pt idx="0">
                    <c:v>乐透类</c:v>
                  </c:pt>
                  <c:pt idx="1">
                    <c:v>乐透类</c:v>
                  </c:pt>
                  <c:pt idx="2">
                    <c:v>即开类</c:v>
                  </c:pt>
                  <c:pt idx="3">
                    <c:v>竞猜类</c:v>
                  </c:pt>
                </c:lvl>
              </c:multiLvlStrCache>
            </c:multiLvlStrRef>
          </c:cat>
          <c:val>
            <c:numRef>
              <c:f>'[00-市场营销费项目绩效评价指标体系及工作底稿0512.xlsx]Sheet2'!$L$20:$L$23</c:f>
              <c:numCache>
                <c:formatCode>0.00_ </c:formatCode>
                <c:ptCount val="4"/>
                <c:pt idx="0">
                  <c:v>94081.725000000006</c:v>
                </c:pt>
                <c:pt idx="1">
                  <c:v>3412.1851999999999</c:v>
                </c:pt>
                <c:pt idx="2">
                  <c:v>56109.72</c:v>
                </c:pt>
                <c:pt idx="3">
                  <c:v>36726.813000000002</c:v>
                </c:pt>
              </c:numCache>
            </c:numRef>
          </c:val>
        </c:ser>
        <c:ser>
          <c:idx val="2"/>
          <c:order val="2"/>
          <c:tx>
            <c:strRef>
              <c:f>'[00-市场营销费项目绩效评价指标体系及工作底稿0512.xlsx]Sheet2'!$M$19</c:f>
              <c:strCache>
                <c:ptCount val="1"/>
                <c:pt idx="0">
                  <c:v>2021年</c:v>
                </c:pt>
              </c:strCache>
            </c:strRef>
          </c:tx>
          <c:spPr>
            <a:pattFill prst="ltUpDiag">
              <a:fgClr>
                <a:schemeClr val="tx1">
                  <a:lumMod val="50000"/>
                  <a:lumOff val="50000"/>
                </a:schemeClr>
              </a:fgClr>
              <a:bgClr>
                <a:schemeClr val="bg1"/>
              </a:bgClr>
            </a:pattFill>
            <a:ln>
              <a:solidFill>
                <a:schemeClr val="tx1">
                  <a:lumMod val="50000"/>
                  <a:lumOff val="50000"/>
                </a:schemeClr>
              </a:solidFill>
            </a:ln>
            <a:effectLst/>
          </c:spPr>
          <c:invertIfNegative val="0"/>
          <c:cat>
            <c:multiLvlStrRef>
              <c:f>'[00-市场营销费项目绩效评价指标体系及工作底稿0512.xlsx]Sheet2'!$I$20:$J$23</c:f>
              <c:multiLvlStrCache>
                <c:ptCount val="4"/>
                <c:lvl>
                  <c:pt idx="0">
                    <c:v>大乐透</c:v>
                  </c:pt>
                  <c:pt idx="1">
                    <c:v>七星彩</c:v>
                  </c:pt>
                  <c:pt idx="2">
                    <c:v>即开</c:v>
                  </c:pt>
                  <c:pt idx="3">
                    <c:v>北单</c:v>
                  </c:pt>
                </c:lvl>
                <c:lvl>
                  <c:pt idx="0">
                    <c:v>乐透类</c:v>
                  </c:pt>
                  <c:pt idx="1">
                    <c:v>乐透类</c:v>
                  </c:pt>
                  <c:pt idx="2">
                    <c:v>即开类</c:v>
                  </c:pt>
                  <c:pt idx="3">
                    <c:v>竞猜类</c:v>
                  </c:pt>
                </c:lvl>
              </c:multiLvlStrCache>
            </c:multiLvlStrRef>
          </c:cat>
          <c:val>
            <c:numRef>
              <c:f>'[00-市场营销费项目绩效评价指标体系及工作底稿0512.xlsx]Sheet2'!$M$20:$M$23</c:f>
              <c:numCache>
                <c:formatCode>0.00_ </c:formatCode>
                <c:ptCount val="4"/>
                <c:pt idx="0">
                  <c:v>139422.5171</c:v>
                </c:pt>
                <c:pt idx="1">
                  <c:v>6622.7374</c:v>
                </c:pt>
                <c:pt idx="2">
                  <c:v>112063.14</c:v>
                </c:pt>
                <c:pt idx="3">
                  <c:v>84139.396399999998</c:v>
                </c:pt>
              </c:numCache>
            </c:numRef>
          </c:val>
        </c:ser>
        <c:dLbls>
          <c:showLegendKey val="0"/>
          <c:showVal val="0"/>
          <c:showCatName val="0"/>
          <c:showSerName val="0"/>
          <c:showPercent val="0"/>
          <c:showBubbleSize val="0"/>
        </c:dLbls>
        <c:gapWidth val="150"/>
        <c:axId val="213964672"/>
        <c:axId val="262182400"/>
      </c:barChart>
      <c:catAx>
        <c:axId val="21396467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800" b="0" i="0" u="none" strike="noStrike" kern="1200" baseline="0">
                <a:solidFill>
                  <a:schemeClr val="tx1">
                    <a:lumMod val="65000"/>
                    <a:lumOff val="35000"/>
                  </a:schemeClr>
                </a:solidFill>
                <a:latin typeface="+mn-lt"/>
                <a:ea typeface="+mn-ea"/>
                <a:cs typeface="+mn-cs"/>
              </a:defRPr>
            </a:pPr>
            <a:endParaRPr lang="zh-CN"/>
          </a:p>
        </c:txPr>
        <c:crossAx val="262182400"/>
        <c:crosses val="autoZero"/>
        <c:auto val="1"/>
        <c:lblAlgn val="ctr"/>
        <c:lblOffset val="100"/>
        <c:noMultiLvlLbl val="0"/>
      </c:catAx>
      <c:valAx>
        <c:axId val="262182400"/>
        <c:scaling>
          <c:orientation val="minMax"/>
        </c:scaling>
        <c:delete val="0"/>
        <c:axPos val="l"/>
        <c:numFmt formatCode="0.00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13964672"/>
        <c:crosses val="autoZero"/>
        <c:crossBetween val="between"/>
      </c:valAx>
      <c:spPr>
        <a:noFill/>
        <a:ln>
          <a:noFill/>
        </a:ln>
        <a:effectLst/>
      </c:spPr>
    </c:plotArea>
    <c:legend>
      <c:legendPos val="r"/>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noFill/>
      <a:round/>
    </a:ln>
    <a:effectLst/>
  </c:spPr>
  <c:txPr>
    <a:bodyPr/>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sz="1000">
                <a:latin typeface="黑体" panose="02010609060101010101" charset="-122"/>
                <a:ea typeface="黑体" panose="02010609060101010101" charset="-122"/>
                <a:cs typeface="黑体" panose="02010609060101010101" charset="-122"/>
              </a:rPr>
              <a:t>2019</a:t>
            </a:r>
            <a:r>
              <a:rPr lang="zh-CN" altLang="en-US" sz="1000">
                <a:latin typeface="黑体" panose="02010609060101010101" charset="-122"/>
                <a:ea typeface="黑体" panose="02010609060101010101" charset="-122"/>
                <a:cs typeface="黑体" panose="02010609060101010101" charset="-122"/>
              </a:rPr>
              <a:t>年</a:t>
            </a:r>
            <a:r>
              <a:rPr lang="en-US" altLang="zh-CN" sz="1000">
                <a:latin typeface="黑体" panose="02010609060101010101" charset="-122"/>
                <a:ea typeface="黑体" panose="02010609060101010101" charset="-122"/>
                <a:cs typeface="黑体" panose="02010609060101010101" charset="-122"/>
              </a:rPr>
              <a:t>-2021</a:t>
            </a:r>
            <a:r>
              <a:rPr lang="zh-CN" altLang="en-US" sz="1000">
                <a:latin typeface="黑体" panose="02010609060101010101" charset="-122"/>
                <a:ea typeface="黑体" panose="02010609060101010101" charset="-122"/>
                <a:cs typeface="黑体" panose="02010609060101010101" charset="-122"/>
              </a:rPr>
              <a:t>年日均销量对比（单位：万元）</a:t>
            </a:r>
          </a:p>
        </c:rich>
      </c:tx>
      <c:overlay val="0"/>
      <c:spPr>
        <a:noFill/>
        <a:ln>
          <a:noFill/>
        </a:ln>
        <a:effectLst/>
      </c:spPr>
    </c:title>
    <c:autoTitleDeleted val="0"/>
    <c:plotArea>
      <c:layout/>
      <c:barChart>
        <c:barDir val="col"/>
        <c:grouping val="clustered"/>
        <c:varyColors val="0"/>
        <c:ser>
          <c:idx val="0"/>
          <c:order val="0"/>
          <c:tx>
            <c:strRef>
              <c:f>'[00-市场营销费项目绩效评价指标体系及工作底稿0512.xlsx]Sheet2'!$K$30</c:f>
              <c:strCache>
                <c:ptCount val="1"/>
                <c:pt idx="0">
                  <c:v>2019年</c:v>
                </c:pt>
              </c:strCache>
            </c:strRef>
          </c:tx>
          <c:spPr>
            <a:pattFill prst="dkUpDiag">
              <a:fgClr>
                <a:schemeClr val="tx1">
                  <a:lumMod val="50000"/>
                  <a:lumOff val="50000"/>
                </a:schemeClr>
              </a:fgClr>
              <a:bgClr>
                <a:schemeClr val="bg1"/>
              </a:bgClr>
            </a:pattFill>
            <a:ln>
              <a:solidFill>
                <a:schemeClr val="tx1">
                  <a:lumMod val="50000"/>
                  <a:lumOff val="50000"/>
                </a:schemeClr>
              </a:solidFill>
            </a:ln>
            <a:effectLst/>
          </c:spPr>
          <c:invertIfNegative val="0"/>
          <c:cat>
            <c:multiLvlStrRef>
              <c:f>'[00-市场营销费项目绩效评价指标体系及工作底稿0512.xlsx]Sheet2'!$I$31:$J$34</c:f>
              <c:multiLvlStrCache>
                <c:ptCount val="4"/>
                <c:lvl>
                  <c:pt idx="0">
                    <c:v>大乐透</c:v>
                  </c:pt>
                  <c:pt idx="1">
                    <c:v>七星彩</c:v>
                  </c:pt>
                  <c:pt idx="2">
                    <c:v>即开</c:v>
                  </c:pt>
                  <c:pt idx="3">
                    <c:v>北单</c:v>
                  </c:pt>
                </c:lvl>
                <c:lvl>
                  <c:pt idx="0">
                    <c:v>乐透类</c:v>
                  </c:pt>
                  <c:pt idx="1">
                    <c:v>乐透类</c:v>
                  </c:pt>
                  <c:pt idx="2">
                    <c:v>即开类</c:v>
                  </c:pt>
                  <c:pt idx="3">
                    <c:v>竞猜类</c:v>
                  </c:pt>
                </c:lvl>
              </c:multiLvlStrCache>
            </c:multiLvlStrRef>
          </c:cat>
          <c:val>
            <c:numRef>
              <c:f>'[00-市场营销费项目绩效评价指标体系及工作底稿0512.xlsx]Sheet2'!$K$31:$K$34</c:f>
              <c:numCache>
                <c:formatCode>0.00_ </c:formatCode>
                <c:ptCount val="4"/>
                <c:pt idx="0">
                  <c:v>379.885085</c:v>
                </c:pt>
                <c:pt idx="1">
                  <c:v>13.383184999999999</c:v>
                </c:pt>
                <c:pt idx="2">
                  <c:v>170.330512</c:v>
                </c:pt>
                <c:pt idx="3">
                  <c:v>154.288319</c:v>
                </c:pt>
              </c:numCache>
            </c:numRef>
          </c:val>
        </c:ser>
        <c:ser>
          <c:idx val="1"/>
          <c:order val="1"/>
          <c:tx>
            <c:strRef>
              <c:f>'[00-市场营销费项目绩效评价指标体系及工作底稿0512.xlsx]Sheet2'!$L$30</c:f>
              <c:strCache>
                <c:ptCount val="1"/>
                <c:pt idx="0">
                  <c:v>2020年</c:v>
                </c:pt>
              </c:strCache>
            </c:strRef>
          </c:tx>
          <c:spPr>
            <a:pattFill prst="pct10">
              <a:fgClr>
                <a:schemeClr val="tx1">
                  <a:lumMod val="50000"/>
                  <a:lumOff val="50000"/>
                </a:schemeClr>
              </a:fgClr>
              <a:bgClr>
                <a:schemeClr val="bg1"/>
              </a:bgClr>
            </a:pattFill>
            <a:ln>
              <a:solidFill>
                <a:schemeClr val="tx1">
                  <a:lumMod val="50000"/>
                  <a:lumOff val="50000"/>
                </a:schemeClr>
              </a:solidFill>
            </a:ln>
            <a:effectLst/>
          </c:spPr>
          <c:invertIfNegative val="0"/>
          <c:cat>
            <c:multiLvlStrRef>
              <c:f>'[00-市场营销费项目绩效评价指标体系及工作底稿0512.xlsx]Sheet2'!$I$31:$J$34</c:f>
              <c:multiLvlStrCache>
                <c:ptCount val="4"/>
                <c:lvl>
                  <c:pt idx="0">
                    <c:v>大乐透</c:v>
                  </c:pt>
                  <c:pt idx="1">
                    <c:v>七星彩</c:v>
                  </c:pt>
                  <c:pt idx="2">
                    <c:v>即开</c:v>
                  </c:pt>
                  <c:pt idx="3">
                    <c:v>北单</c:v>
                  </c:pt>
                </c:lvl>
                <c:lvl>
                  <c:pt idx="0">
                    <c:v>乐透类</c:v>
                  </c:pt>
                  <c:pt idx="1">
                    <c:v>乐透类</c:v>
                  </c:pt>
                  <c:pt idx="2">
                    <c:v>即开类</c:v>
                  </c:pt>
                  <c:pt idx="3">
                    <c:v>竞猜类</c:v>
                  </c:pt>
                </c:lvl>
              </c:multiLvlStrCache>
            </c:multiLvlStrRef>
          </c:cat>
          <c:val>
            <c:numRef>
              <c:f>'[00-市场营销费项目绩效评价指标体系及工作底稿0512.xlsx]Sheet2'!$L$31:$L$34</c:f>
              <c:numCache>
                <c:formatCode>0.00_ </c:formatCode>
                <c:ptCount val="4"/>
                <c:pt idx="0">
                  <c:v>366.076751</c:v>
                </c:pt>
                <c:pt idx="1">
                  <c:v>13.276985</c:v>
                </c:pt>
                <c:pt idx="2">
                  <c:v>218.32575900000001</c:v>
                </c:pt>
                <c:pt idx="3">
                  <c:v>142.90588700000001</c:v>
                </c:pt>
              </c:numCache>
            </c:numRef>
          </c:val>
        </c:ser>
        <c:ser>
          <c:idx val="2"/>
          <c:order val="2"/>
          <c:tx>
            <c:strRef>
              <c:f>'[00-市场营销费项目绩效评价指标体系及工作底稿0512.xlsx]Sheet2'!$M$30</c:f>
              <c:strCache>
                <c:ptCount val="1"/>
                <c:pt idx="0">
                  <c:v>2021年</c:v>
                </c:pt>
              </c:strCache>
            </c:strRef>
          </c:tx>
          <c:spPr>
            <a:pattFill prst="ltUpDiag">
              <a:fgClr>
                <a:schemeClr val="tx1">
                  <a:lumMod val="50000"/>
                  <a:lumOff val="50000"/>
                </a:schemeClr>
              </a:fgClr>
              <a:bgClr>
                <a:schemeClr val="bg1"/>
              </a:bgClr>
            </a:pattFill>
            <a:ln>
              <a:solidFill>
                <a:schemeClr val="tx1">
                  <a:lumMod val="50000"/>
                  <a:lumOff val="50000"/>
                </a:schemeClr>
              </a:solidFill>
            </a:ln>
            <a:effectLst/>
          </c:spPr>
          <c:invertIfNegative val="0"/>
          <c:cat>
            <c:multiLvlStrRef>
              <c:f>'[00-市场营销费项目绩效评价指标体系及工作底稿0512.xlsx]Sheet2'!$I$31:$J$34</c:f>
              <c:multiLvlStrCache>
                <c:ptCount val="4"/>
                <c:lvl>
                  <c:pt idx="0">
                    <c:v>大乐透</c:v>
                  </c:pt>
                  <c:pt idx="1">
                    <c:v>七星彩</c:v>
                  </c:pt>
                  <c:pt idx="2">
                    <c:v>即开</c:v>
                  </c:pt>
                  <c:pt idx="3">
                    <c:v>北单</c:v>
                  </c:pt>
                </c:lvl>
                <c:lvl>
                  <c:pt idx="0">
                    <c:v>乐透类</c:v>
                  </c:pt>
                  <c:pt idx="1">
                    <c:v>乐透类</c:v>
                  </c:pt>
                  <c:pt idx="2">
                    <c:v>即开类</c:v>
                  </c:pt>
                  <c:pt idx="3">
                    <c:v>竞猜类</c:v>
                  </c:pt>
                </c:lvl>
              </c:multiLvlStrCache>
            </c:multiLvlStrRef>
          </c:cat>
          <c:val>
            <c:numRef>
              <c:f>'[00-市场营销费项目绩效评价指标体系及工作底稿0512.xlsx]Sheet2'!$M$31:$M$34</c:f>
              <c:numCache>
                <c:formatCode>0.00_ </c:formatCode>
                <c:ptCount val="4"/>
                <c:pt idx="0">
                  <c:v>397.215148</c:v>
                </c:pt>
                <c:pt idx="1">
                  <c:v>18.868196999999999</c:v>
                </c:pt>
                <c:pt idx="2">
                  <c:v>319.26820500000002</c:v>
                </c:pt>
                <c:pt idx="3">
                  <c:v>239.71338</c:v>
                </c:pt>
              </c:numCache>
            </c:numRef>
          </c:val>
        </c:ser>
        <c:dLbls>
          <c:showLegendKey val="0"/>
          <c:showVal val="0"/>
          <c:showCatName val="0"/>
          <c:showSerName val="0"/>
          <c:showPercent val="0"/>
          <c:showBubbleSize val="0"/>
        </c:dLbls>
        <c:gapWidth val="150"/>
        <c:axId val="173143168"/>
        <c:axId val="173144704"/>
      </c:barChart>
      <c:catAx>
        <c:axId val="173143168"/>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800" b="0" i="0" u="none" strike="noStrike" kern="1200" baseline="0">
                <a:solidFill>
                  <a:schemeClr val="tx1">
                    <a:lumMod val="65000"/>
                    <a:lumOff val="35000"/>
                  </a:schemeClr>
                </a:solidFill>
                <a:latin typeface="+mn-lt"/>
                <a:ea typeface="+mn-ea"/>
                <a:cs typeface="+mn-cs"/>
              </a:defRPr>
            </a:pPr>
            <a:endParaRPr lang="zh-CN"/>
          </a:p>
        </c:txPr>
        <c:crossAx val="173144704"/>
        <c:crosses val="autoZero"/>
        <c:auto val="1"/>
        <c:lblAlgn val="ctr"/>
        <c:lblOffset val="100"/>
        <c:noMultiLvlLbl val="0"/>
      </c:catAx>
      <c:valAx>
        <c:axId val="173144704"/>
        <c:scaling>
          <c:orientation val="minMax"/>
        </c:scaling>
        <c:delete val="0"/>
        <c:axPos val="l"/>
        <c:numFmt formatCode="0.00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73143168"/>
        <c:crosses val="autoZero"/>
        <c:crossBetween val="between"/>
      </c:valAx>
      <c:spPr>
        <a:noFill/>
        <a:ln>
          <a:noFill/>
        </a:ln>
        <a:effectLst/>
      </c:spPr>
    </c:plotArea>
    <c:legend>
      <c:legendPos val="r"/>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noFill/>
      <a:round/>
    </a:ln>
    <a:effectLst/>
  </c:spPr>
  <c:txPr>
    <a:bodyPr/>
    <a:lstStyle/>
    <a:p>
      <a:pPr>
        <a:defRPr lang="zh-CN"/>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3D963C-9B1A-4AC8-B3FB-B39B94AEE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16</Pages>
  <Words>1203</Words>
  <Characters>6860</Characters>
  <Application>Microsoft Office Word</Application>
  <DocSecurity>0</DocSecurity>
  <Lines>57</Lines>
  <Paragraphs>16</Paragraphs>
  <ScaleCrop>false</ScaleCrop>
  <Company>Lenovo</Company>
  <LinksUpToDate>false</LinksUpToDate>
  <CharactersWithSpaces>8047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阳阳</dc:creator>
  <cp:lastModifiedBy>lenovo</cp:lastModifiedBy>
  <cp:revision>164</cp:revision>
  <dcterms:created xsi:type="dcterms:W3CDTF">2022-05-11T06:59:00Z</dcterms:created>
  <dcterms:modified xsi:type="dcterms:W3CDTF">2022-08-24T09:28:00Z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C1B38594FD734B88B3C159E7B48BD2F7</vt:lpwstr>
  </property>
</Properties>
</file>