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751" w:rsidRDefault="00E87CFF">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6B6751" w:rsidRDefault="00E87CFF">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 年度）</w:t>
      </w:r>
    </w:p>
    <w:p w:rsidR="006B6751" w:rsidRDefault="006B6751">
      <w:pPr>
        <w:spacing w:line="240" w:lineRule="exact"/>
        <w:rPr>
          <w:rFonts w:ascii="仿宋_GB2312" w:eastAsia="仿宋_GB2312" w:hAnsi="宋体"/>
          <w:sz w:val="30"/>
          <w:szCs w:val="30"/>
        </w:rPr>
      </w:pPr>
    </w:p>
    <w:tbl>
      <w:tblPr>
        <w:tblW w:w="9918" w:type="dxa"/>
        <w:jc w:val="center"/>
        <w:tblLayout w:type="fixed"/>
        <w:tblLook w:val="04A0" w:firstRow="1" w:lastRow="0" w:firstColumn="1" w:lastColumn="0" w:noHBand="0" w:noVBand="1"/>
      </w:tblPr>
      <w:tblGrid>
        <w:gridCol w:w="785"/>
        <w:gridCol w:w="974"/>
        <w:gridCol w:w="1104"/>
        <w:gridCol w:w="727"/>
        <w:gridCol w:w="760"/>
        <w:gridCol w:w="367"/>
        <w:gridCol w:w="1131"/>
        <w:gridCol w:w="1513"/>
        <w:gridCol w:w="567"/>
        <w:gridCol w:w="856"/>
        <w:gridCol w:w="1134"/>
      </w:tblGrid>
      <w:tr w:rsidR="006B6751">
        <w:trPr>
          <w:trHeight w:val="399"/>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159" w:type="dxa"/>
            <w:gridSpan w:val="9"/>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彩票市场调研费</w:t>
            </w:r>
          </w:p>
        </w:tc>
      </w:tr>
      <w:tr w:rsidR="006B6751">
        <w:trPr>
          <w:trHeight w:val="399"/>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89" w:type="dxa"/>
            <w:gridSpan w:val="5"/>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北京市体育彩票管理中心</w:t>
            </w:r>
          </w:p>
        </w:tc>
        <w:tc>
          <w:tcPr>
            <w:tcW w:w="1513"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557" w:type="dxa"/>
            <w:gridSpan w:val="3"/>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北京市体育彩票管理中心</w:t>
            </w:r>
          </w:p>
        </w:tc>
      </w:tr>
      <w:tr w:rsidR="006B6751">
        <w:trPr>
          <w:trHeight w:val="399"/>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89" w:type="dxa"/>
            <w:gridSpan w:val="5"/>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潘毅春</w:t>
            </w:r>
          </w:p>
        </w:tc>
        <w:tc>
          <w:tcPr>
            <w:tcW w:w="1513"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557" w:type="dxa"/>
            <w:gridSpan w:val="3"/>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63199707</w:t>
            </w:r>
          </w:p>
        </w:tc>
      </w:tr>
      <w:tr w:rsidR="006B6751">
        <w:trPr>
          <w:trHeight w:hRule="exact" w:val="567"/>
          <w:jc w:val="center"/>
        </w:trPr>
        <w:tc>
          <w:tcPr>
            <w:tcW w:w="1759" w:type="dxa"/>
            <w:gridSpan w:val="2"/>
            <w:vMerge w:val="restart"/>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1" w:type="dxa"/>
            <w:gridSpan w:val="2"/>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1"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513"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567"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134"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B6751">
        <w:trPr>
          <w:trHeight w:val="480"/>
          <w:jc w:val="center"/>
        </w:trPr>
        <w:tc>
          <w:tcPr>
            <w:tcW w:w="1759" w:type="dxa"/>
            <w:gridSpan w:val="2"/>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831"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4.670000</w:t>
            </w:r>
          </w:p>
        </w:tc>
        <w:tc>
          <w:tcPr>
            <w:tcW w:w="1131"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4.670000</w:t>
            </w:r>
          </w:p>
        </w:tc>
        <w:tc>
          <w:tcPr>
            <w:tcW w:w="1513"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4.3</w:t>
            </w:r>
            <w:r>
              <w:rPr>
                <w:rFonts w:ascii="仿宋_GB2312" w:eastAsia="仿宋_GB2312" w:hAnsi="宋体" w:cs="宋体"/>
                <w:kern w:val="0"/>
                <w:sz w:val="18"/>
                <w:szCs w:val="18"/>
              </w:rPr>
              <w:t>00000</w:t>
            </w:r>
          </w:p>
        </w:tc>
        <w:tc>
          <w:tcPr>
            <w:tcW w:w="567"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10</w:t>
            </w:r>
          </w:p>
        </w:tc>
        <w:tc>
          <w:tcPr>
            <w:tcW w:w="856" w:type="dxa"/>
            <w:tcBorders>
              <w:top w:val="single" w:sz="4" w:space="0" w:color="auto"/>
              <w:left w:val="nil"/>
              <w:bottom w:val="single" w:sz="4" w:space="0" w:color="auto"/>
              <w:right w:val="single" w:sz="4" w:space="0" w:color="auto"/>
            </w:tcBorders>
            <w:vAlign w:val="center"/>
          </w:tcPr>
          <w:p w:rsidR="006B6751" w:rsidRPr="00E87CFF" w:rsidRDefault="00E87CFF">
            <w:pPr>
              <w:widowControl/>
              <w:spacing w:line="360" w:lineRule="auto"/>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9</w:t>
            </w:r>
            <w:r w:rsidRPr="00E87CFF">
              <w:rPr>
                <w:rFonts w:ascii="仿宋_GB2312" w:eastAsia="仿宋_GB2312" w:hAnsi="宋体" w:cs="宋体"/>
                <w:kern w:val="0"/>
                <w:sz w:val="18"/>
                <w:szCs w:val="18"/>
              </w:rPr>
              <w:t>9.56</w:t>
            </w:r>
            <w:r w:rsidRPr="00E87CFF">
              <w:rPr>
                <w:rFonts w:ascii="仿宋_GB2312" w:eastAsia="仿宋_GB2312" w:hAnsi="宋体" w:cs="宋体" w:hint="eastAsia"/>
                <w:kern w:val="0"/>
                <w:sz w:val="18"/>
                <w:szCs w:val="18"/>
              </w:rPr>
              <w:t>%</w:t>
            </w:r>
          </w:p>
        </w:tc>
        <w:tc>
          <w:tcPr>
            <w:tcW w:w="1134"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9</w:t>
            </w:r>
            <w:r w:rsidRPr="00E87CFF">
              <w:rPr>
                <w:rFonts w:ascii="仿宋_GB2312" w:eastAsia="仿宋_GB2312" w:hAnsi="宋体" w:cs="宋体"/>
                <w:kern w:val="0"/>
                <w:sz w:val="18"/>
                <w:szCs w:val="18"/>
              </w:rPr>
              <w:t>.9</w:t>
            </w:r>
          </w:p>
        </w:tc>
      </w:tr>
      <w:tr w:rsidR="006B6751">
        <w:trPr>
          <w:trHeight w:val="480"/>
          <w:jc w:val="center"/>
        </w:trPr>
        <w:tc>
          <w:tcPr>
            <w:tcW w:w="1759" w:type="dxa"/>
            <w:gridSpan w:val="2"/>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831"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4.670000</w:t>
            </w:r>
          </w:p>
        </w:tc>
        <w:tc>
          <w:tcPr>
            <w:tcW w:w="1131"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4.670000</w:t>
            </w:r>
          </w:p>
        </w:tc>
        <w:tc>
          <w:tcPr>
            <w:tcW w:w="1513"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8</w:t>
            </w:r>
            <w:r w:rsidRPr="00E87CFF">
              <w:rPr>
                <w:rFonts w:ascii="仿宋_GB2312" w:eastAsia="仿宋_GB2312" w:hAnsi="宋体" w:cs="宋体"/>
                <w:kern w:val="0"/>
                <w:sz w:val="18"/>
                <w:szCs w:val="18"/>
              </w:rPr>
              <w:t>4.3</w:t>
            </w:r>
            <w:r>
              <w:rPr>
                <w:rFonts w:ascii="仿宋_GB2312" w:eastAsia="仿宋_GB2312" w:hAnsi="宋体" w:cs="宋体"/>
                <w:kern w:val="0"/>
                <w:sz w:val="18"/>
                <w:szCs w:val="18"/>
              </w:rPr>
              <w:t>00000</w:t>
            </w:r>
          </w:p>
        </w:tc>
        <w:tc>
          <w:tcPr>
            <w:tcW w:w="567"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w:t>
            </w:r>
          </w:p>
        </w:tc>
        <w:tc>
          <w:tcPr>
            <w:tcW w:w="856" w:type="dxa"/>
            <w:tcBorders>
              <w:top w:val="single" w:sz="4" w:space="0" w:color="auto"/>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9</w:t>
            </w:r>
            <w:r w:rsidRPr="00E87CFF">
              <w:rPr>
                <w:rFonts w:ascii="仿宋_GB2312" w:eastAsia="仿宋_GB2312" w:hAnsi="宋体" w:cs="宋体"/>
                <w:kern w:val="0"/>
                <w:sz w:val="18"/>
                <w:szCs w:val="18"/>
              </w:rPr>
              <w:t>9.56</w:t>
            </w:r>
            <w:r w:rsidRPr="00E87CFF">
              <w:rPr>
                <w:rFonts w:ascii="仿宋_GB2312" w:eastAsia="仿宋_GB2312" w:hAnsi="宋体" w:cs="宋体" w:hint="eastAsia"/>
                <w:kern w:val="0"/>
                <w:sz w:val="18"/>
                <w:szCs w:val="18"/>
              </w:rPr>
              <w:t>%</w:t>
            </w:r>
          </w:p>
        </w:tc>
        <w:tc>
          <w:tcPr>
            <w:tcW w:w="1134" w:type="dxa"/>
            <w:tcBorders>
              <w:top w:val="nil"/>
              <w:left w:val="nil"/>
              <w:bottom w:val="single" w:sz="4" w:space="0" w:color="auto"/>
              <w:right w:val="single" w:sz="4" w:space="0" w:color="auto"/>
            </w:tcBorders>
            <w:vAlign w:val="center"/>
          </w:tcPr>
          <w:p w:rsidR="006B6751" w:rsidRPr="00E87CFF" w:rsidRDefault="00E87CFF">
            <w:pPr>
              <w:widowControl/>
              <w:spacing w:line="240" w:lineRule="exact"/>
              <w:jc w:val="center"/>
              <w:rPr>
                <w:rFonts w:ascii="仿宋_GB2312" w:eastAsia="仿宋_GB2312" w:hAnsi="宋体" w:cs="宋体"/>
                <w:kern w:val="0"/>
                <w:sz w:val="18"/>
                <w:szCs w:val="18"/>
              </w:rPr>
            </w:pPr>
            <w:r w:rsidRPr="00E87CFF">
              <w:rPr>
                <w:rFonts w:ascii="仿宋_GB2312" w:eastAsia="仿宋_GB2312" w:hAnsi="宋体" w:cs="宋体" w:hint="eastAsia"/>
                <w:kern w:val="0"/>
                <w:sz w:val="18"/>
                <w:szCs w:val="18"/>
              </w:rPr>
              <w:t>—</w:t>
            </w:r>
          </w:p>
        </w:tc>
      </w:tr>
      <w:tr w:rsidR="006B6751">
        <w:trPr>
          <w:trHeight w:val="480"/>
          <w:jc w:val="center"/>
        </w:trPr>
        <w:tc>
          <w:tcPr>
            <w:tcW w:w="1759" w:type="dxa"/>
            <w:gridSpan w:val="2"/>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831"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31" w:type="dxa"/>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513" w:type="dxa"/>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567"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6"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B6751">
        <w:trPr>
          <w:trHeight w:val="480"/>
          <w:jc w:val="center"/>
        </w:trPr>
        <w:tc>
          <w:tcPr>
            <w:tcW w:w="1759" w:type="dxa"/>
            <w:gridSpan w:val="2"/>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831"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31" w:type="dxa"/>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513" w:type="dxa"/>
            <w:tcBorders>
              <w:top w:val="nil"/>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567"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6"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34" w:type="dxa"/>
            <w:tcBorders>
              <w:top w:val="nil"/>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B6751">
        <w:trPr>
          <w:trHeight w:hRule="exact" w:val="548"/>
          <w:jc w:val="center"/>
        </w:trPr>
        <w:tc>
          <w:tcPr>
            <w:tcW w:w="785" w:type="dxa"/>
            <w:vMerge w:val="restart"/>
            <w:tcBorders>
              <w:top w:val="nil"/>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3" w:type="dxa"/>
            <w:gridSpan w:val="6"/>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070" w:type="dxa"/>
            <w:gridSpan w:val="4"/>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B6751">
        <w:trPr>
          <w:trHeight w:hRule="exact" w:val="1597"/>
          <w:jc w:val="center"/>
        </w:trPr>
        <w:tc>
          <w:tcPr>
            <w:tcW w:w="785" w:type="dxa"/>
            <w:vMerge/>
            <w:tcBorders>
              <w:top w:val="nil"/>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5063" w:type="dxa"/>
            <w:gridSpan w:val="6"/>
            <w:tcBorders>
              <w:top w:val="single" w:sz="4" w:space="0" w:color="auto"/>
              <w:left w:val="nil"/>
              <w:bottom w:val="single" w:sz="4" w:space="0" w:color="auto"/>
              <w:right w:val="single" w:sz="4" w:space="0" w:color="auto"/>
            </w:tcBorders>
            <w:vAlign w:val="center"/>
          </w:tcPr>
          <w:p w:rsidR="006B6751" w:rsidRDefault="00BC5339"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w:t>
            </w:r>
            <w:r w:rsidR="00E87CFF">
              <w:rPr>
                <w:rFonts w:ascii="仿宋_GB2312" w:eastAsia="仿宋_GB2312" w:hAnsi="宋体" w:cs="宋体" w:hint="eastAsia"/>
                <w:kern w:val="0"/>
                <w:szCs w:val="21"/>
              </w:rPr>
              <w:t>通过每年度持续地开展体育彩票市场调查研究活动机制，针对渠道网点、队伍、购彩者、品牌等方面开展不同形式的调研工作，力求准确掌握当前市场实际情况，把握体彩本质与规律，以期发现新问题，总结新经验，形成新举措，更好地发挥对体育彩票社会责任建设工作的指导作用。</w:t>
            </w:r>
          </w:p>
        </w:tc>
        <w:tc>
          <w:tcPr>
            <w:tcW w:w="4070" w:type="dxa"/>
            <w:gridSpan w:val="4"/>
            <w:tcBorders>
              <w:top w:val="single" w:sz="4" w:space="0" w:color="auto"/>
              <w:left w:val="nil"/>
              <w:bottom w:val="single" w:sz="4" w:space="0" w:color="auto"/>
              <w:right w:val="single" w:sz="4" w:space="0" w:color="auto"/>
            </w:tcBorders>
            <w:vAlign w:val="center"/>
          </w:tcPr>
          <w:p w:rsidR="006B6751" w:rsidRDefault="00BC5339"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w:t>
            </w:r>
            <w:r w:rsidR="00E87CFF">
              <w:rPr>
                <w:rFonts w:ascii="仿宋_GB2312" w:eastAsia="仿宋_GB2312" w:hAnsi="宋体" w:cs="宋体" w:hint="eastAsia"/>
                <w:kern w:val="0"/>
                <w:szCs w:val="21"/>
              </w:rPr>
              <w:t>全年针对渠道实体店、队伍、购彩者、品牌等方面开展了广泛的调研工作，准确掌握市场实际情况，发现新问题，总结新经验，为未来北京市体彩的市场营销、宣传和管理工作提供积极有益的参考。</w:t>
            </w:r>
          </w:p>
        </w:tc>
      </w:tr>
      <w:tr w:rsidR="006B6751">
        <w:trPr>
          <w:trHeight w:hRule="exact" w:val="875"/>
          <w:jc w:val="center"/>
        </w:trPr>
        <w:tc>
          <w:tcPr>
            <w:tcW w:w="785" w:type="dxa"/>
            <w:vMerge w:val="restart"/>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4"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4"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13"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34"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6B6751">
        <w:trPr>
          <w:trHeight w:hRule="exact" w:val="2220"/>
          <w:jc w:val="center"/>
        </w:trPr>
        <w:tc>
          <w:tcPr>
            <w:tcW w:w="785"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bookmarkStart w:id="0" w:name="_GoBack" w:colFirst="4" w:colLast="5"/>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（50分）</w:t>
            </w:r>
          </w:p>
        </w:tc>
        <w:tc>
          <w:tcPr>
            <w:tcW w:w="110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彩票市场调研</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面向3000余家体彩网点及其周边各类市场因素所构建的销售市场环境开展调研。出具调研报告1份。</w:t>
            </w:r>
          </w:p>
        </w:tc>
        <w:tc>
          <w:tcPr>
            <w:tcW w:w="1513" w:type="dxa"/>
            <w:tcBorders>
              <w:top w:val="single" w:sz="4" w:space="0" w:color="auto"/>
              <w:left w:val="nil"/>
              <w:bottom w:val="single" w:sz="4" w:space="0" w:color="auto"/>
              <w:right w:val="single" w:sz="4" w:space="0" w:color="auto"/>
            </w:tcBorders>
            <w:vAlign w:val="center"/>
          </w:tcPr>
          <w:p w:rsidR="006B6751" w:rsidRDefault="00E87CFF"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完成全市</w:t>
            </w:r>
            <w:r>
              <w:rPr>
                <w:rFonts w:ascii="仿宋_GB2312" w:eastAsia="仿宋_GB2312" w:hAnsi="宋体" w:cs="宋体"/>
                <w:kern w:val="0"/>
                <w:szCs w:val="21"/>
              </w:rPr>
              <w:t>2620</w:t>
            </w:r>
            <w:r>
              <w:rPr>
                <w:rFonts w:ascii="仿宋_GB2312" w:eastAsia="仿宋_GB2312" w:hAnsi="宋体" w:cs="宋体" w:hint="eastAsia"/>
                <w:kern w:val="0"/>
                <w:szCs w:val="21"/>
              </w:rPr>
              <w:t>家体彩实体店及其周边各类市场因素所构建的销售市场环境的调研，并出具调研报告1份。</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w:t>
            </w:r>
            <w:r>
              <w:rPr>
                <w:rFonts w:ascii="仿宋_GB2312" w:eastAsia="仿宋_GB2312" w:hAnsi="宋体" w:cs="宋体" w:hint="eastAsia"/>
                <w:kern w:val="0"/>
                <w:szCs w:val="21"/>
              </w:rPr>
              <w:t>5</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bookmarkEnd w:id="0"/>
      <w:tr w:rsidR="006B6751">
        <w:trPr>
          <w:trHeight w:hRule="exact" w:val="990"/>
          <w:jc w:val="center"/>
        </w:trPr>
        <w:tc>
          <w:tcPr>
            <w:tcW w:w="785"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产出进度</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2021年第二季度组织实施执行。</w:t>
            </w:r>
          </w:p>
        </w:tc>
        <w:tc>
          <w:tcPr>
            <w:tcW w:w="1513" w:type="dxa"/>
            <w:tcBorders>
              <w:top w:val="single" w:sz="4" w:space="0" w:color="auto"/>
              <w:left w:val="nil"/>
              <w:bottom w:val="single" w:sz="4" w:space="0" w:color="auto"/>
              <w:right w:val="single" w:sz="4" w:space="0" w:color="auto"/>
            </w:tcBorders>
            <w:vAlign w:val="center"/>
          </w:tcPr>
          <w:p w:rsidR="006B6751" w:rsidRDefault="00E87CFF"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2021年4月1日开始组织并实施</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tr w:rsidR="006B6751">
        <w:trPr>
          <w:trHeight w:hRule="exact" w:val="2407"/>
          <w:jc w:val="center"/>
        </w:trPr>
        <w:tc>
          <w:tcPr>
            <w:tcW w:w="785"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110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严格控制在预算内</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4.67</w:t>
            </w:r>
            <w:r>
              <w:rPr>
                <w:rFonts w:ascii="仿宋_GB2312" w:eastAsia="仿宋_GB2312" w:hAnsi="宋体" w:cs="宋体" w:hint="eastAsia"/>
                <w:kern w:val="0"/>
                <w:szCs w:val="21"/>
              </w:rPr>
              <w:t>万元</w:t>
            </w:r>
          </w:p>
        </w:tc>
        <w:tc>
          <w:tcPr>
            <w:tcW w:w="1513"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4.3</w:t>
            </w:r>
            <w:r>
              <w:rPr>
                <w:rFonts w:ascii="仿宋_GB2312" w:eastAsia="仿宋_GB2312" w:hAnsi="宋体" w:cs="宋体" w:hint="eastAsia"/>
                <w:kern w:val="0"/>
                <w:szCs w:val="21"/>
              </w:rPr>
              <w:t>万元</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tr w:rsidR="006B6751">
        <w:trPr>
          <w:trHeight w:hRule="exact" w:val="2562"/>
          <w:jc w:val="center"/>
        </w:trPr>
        <w:tc>
          <w:tcPr>
            <w:tcW w:w="785"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10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该项工作是北京体彩中心积极践行推进本地区责任彩票建设工作实质性落实的重要组成部分。</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p>
        </w:tc>
        <w:tc>
          <w:tcPr>
            <w:tcW w:w="1513"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tr w:rsidR="006B6751">
        <w:trPr>
          <w:trHeight w:hRule="exact" w:val="1012"/>
          <w:jc w:val="center"/>
        </w:trPr>
        <w:tc>
          <w:tcPr>
            <w:tcW w:w="785" w:type="dxa"/>
            <w:vMerge/>
            <w:tcBorders>
              <w:top w:val="single" w:sz="4" w:space="0" w:color="auto"/>
              <w:left w:val="single" w:sz="4" w:space="0" w:color="auto"/>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4" w:type="dxa"/>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p>
        </w:tc>
        <w:tc>
          <w:tcPr>
            <w:tcW w:w="1487" w:type="dxa"/>
            <w:gridSpan w:val="2"/>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服务对象满意度</w:t>
            </w:r>
          </w:p>
        </w:tc>
        <w:tc>
          <w:tcPr>
            <w:tcW w:w="1498" w:type="dxa"/>
            <w:gridSpan w:val="2"/>
            <w:tcBorders>
              <w:top w:val="single" w:sz="4" w:space="0" w:color="auto"/>
              <w:left w:val="nil"/>
              <w:bottom w:val="single" w:sz="4" w:space="0" w:color="auto"/>
              <w:right w:val="single" w:sz="4" w:space="0" w:color="auto"/>
            </w:tcBorders>
            <w:vAlign w:val="center"/>
          </w:tcPr>
          <w:p w:rsidR="006B6751" w:rsidRDefault="00E87CFF" w:rsidP="00BC533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调研成果使用者满意度不低于80%</w:t>
            </w:r>
          </w:p>
        </w:tc>
        <w:tc>
          <w:tcPr>
            <w:tcW w:w="1513"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92</w:t>
            </w:r>
            <w:r>
              <w:rPr>
                <w:rFonts w:ascii="仿宋_GB2312" w:eastAsia="仿宋_GB2312" w:hAnsi="宋体" w:cs="宋体" w:hint="eastAsia"/>
                <w:kern w:val="0"/>
                <w:szCs w:val="21"/>
              </w:rPr>
              <w:t>%</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tr w:rsidR="006B6751">
        <w:trPr>
          <w:trHeight w:hRule="exact" w:val="477"/>
          <w:jc w:val="center"/>
        </w:trPr>
        <w:tc>
          <w:tcPr>
            <w:tcW w:w="7361" w:type="dxa"/>
            <w:gridSpan w:val="8"/>
            <w:tcBorders>
              <w:top w:val="single" w:sz="4" w:space="0" w:color="auto"/>
              <w:left w:val="single" w:sz="4" w:space="0" w:color="auto"/>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00</w:t>
            </w:r>
          </w:p>
        </w:tc>
        <w:tc>
          <w:tcPr>
            <w:tcW w:w="856" w:type="dxa"/>
            <w:tcBorders>
              <w:top w:val="single" w:sz="4" w:space="0" w:color="auto"/>
              <w:left w:val="nil"/>
              <w:bottom w:val="single" w:sz="4" w:space="0" w:color="auto"/>
              <w:right w:val="single" w:sz="4" w:space="0" w:color="auto"/>
            </w:tcBorders>
            <w:vAlign w:val="center"/>
          </w:tcPr>
          <w:p w:rsidR="006B6751" w:rsidRDefault="00E87C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7.</w:t>
            </w:r>
            <w:r>
              <w:rPr>
                <w:rFonts w:ascii="仿宋_GB2312" w:eastAsia="仿宋_GB2312" w:hAnsi="宋体" w:cs="宋体" w:hint="eastAsia"/>
                <w:color w:val="000000"/>
                <w:kern w:val="0"/>
                <w:szCs w:val="21"/>
              </w:rPr>
              <w:t>4</w:t>
            </w:r>
          </w:p>
        </w:tc>
        <w:tc>
          <w:tcPr>
            <w:tcW w:w="1134" w:type="dxa"/>
            <w:tcBorders>
              <w:top w:val="single" w:sz="4" w:space="0" w:color="auto"/>
              <w:left w:val="nil"/>
              <w:bottom w:val="single" w:sz="4" w:space="0" w:color="auto"/>
              <w:right w:val="single" w:sz="4" w:space="0" w:color="auto"/>
            </w:tcBorders>
            <w:vAlign w:val="center"/>
          </w:tcPr>
          <w:p w:rsidR="006B6751" w:rsidRDefault="006B6751">
            <w:pPr>
              <w:widowControl/>
              <w:spacing w:line="240" w:lineRule="exact"/>
              <w:jc w:val="center"/>
              <w:rPr>
                <w:rFonts w:ascii="仿宋_GB2312" w:eastAsia="仿宋_GB2312" w:hAnsi="宋体" w:cs="宋体"/>
                <w:kern w:val="0"/>
                <w:szCs w:val="21"/>
              </w:rPr>
            </w:pPr>
          </w:p>
        </w:tc>
      </w:tr>
    </w:tbl>
    <w:p w:rsidR="006B6751" w:rsidRDefault="006B6751">
      <w:pPr>
        <w:rPr>
          <w:rFonts w:ascii="仿宋_GB2312" w:eastAsia="仿宋_GB2312"/>
          <w:vanish/>
          <w:sz w:val="32"/>
          <w:szCs w:val="32"/>
        </w:rPr>
      </w:pPr>
    </w:p>
    <w:p w:rsidR="006B6751" w:rsidRDefault="006B6751">
      <w:pPr>
        <w:widowControl/>
        <w:jc w:val="left"/>
        <w:rPr>
          <w:rFonts w:ascii="仿宋_GB2312" w:eastAsia="仿宋_GB2312" w:hAnsi="宋体" w:cs="宋体"/>
          <w:color w:val="000000"/>
          <w:kern w:val="0"/>
          <w:sz w:val="32"/>
          <w:szCs w:val="32"/>
        </w:rPr>
      </w:pPr>
    </w:p>
    <w:p w:rsidR="006B6751" w:rsidRDefault="006B6751"/>
    <w:sectPr w:rsidR="006B67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B2F" w:rsidRDefault="00FA1B2F" w:rsidP="00BC5339">
      <w:r>
        <w:separator/>
      </w:r>
    </w:p>
  </w:endnote>
  <w:endnote w:type="continuationSeparator" w:id="0">
    <w:p w:rsidR="00FA1B2F" w:rsidRDefault="00FA1B2F" w:rsidP="00BC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舒体"/>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B2F" w:rsidRDefault="00FA1B2F" w:rsidP="00BC5339">
      <w:r>
        <w:separator/>
      </w:r>
    </w:p>
  </w:footnote>
  <w:footnote w:type="continuationSeparator" w:id="0">
    <w:p w:rsidR="00FA1B2F" w:rsidRDefault="00FA1B2F" w:rsidP="00BC5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zOGUxNzIxYTFkMDBlYWI4YzFkM2Y1NTEyZjkwYjIifQ=="/>
  </w:docVars>
  <w:rsids>
    <w:rsidRoot w:val="577A25DF"/>
    <w:rsid w:val="00031FFF"/>
    <w:rsid w:val="000A0B0A"/>
    <w:rsid w:val="000C4156"/>
    <w:rsid w:val="000F23B8"/>
    <w:rsid w:val="00106C0F"/>
    <w:rsid w:val="00111181"/>
    <w:rsid w:val="00190361"/>
    <w:rsid w:val="001C65D7"/>
    <w:rsid w:val="00347132"/>
    <w:rsid w:val="005505F5"/>
    <w:rsid w:val="006B6751"/>
    <w:rsid w:val="006E3185"/>
    <w:rsid w:val="007D1EEA"/>
    <w:rsid w:val="00850E10"/>
    <w:rsid w:val="0085692D"/>
    <w:rsid w:val="00955292"/>
    <w:rsid w:val="009900BA"/>
    <w:rsid w:val="00A2318A"/>
    <w:rsid w:val="00BC5339"/>
    <w:rsid w:val="00CB20EA"/>
    <w:rsid w:val="00D404FE"/>
    <w:rsid w:val="00DA119E"/>
    <w:rsid w:val="00DB1216"/>
    <w:rsid w:val="00DC278A"/>
    <w:rsid w:val="00E41752"/>
    <w:rsid w:val="00E43587"/>
    <w:rsid w:val="00E63552"/>
    <w:rsid w:val="00E71D99"/>
    <w:rsid w:val="00E87CFF"/>
    <w:rsid w:val="00EE30C9"/>
    <w:rsid w:val="00F25C81"/>
    <w:rsid w:val="00F91123"/>
    <w:rsid w:val="00FA1B2F"/>
    <w:rsid w:val="03863E70"/>
    <w:rsid w:val="04A16E37"/>
    <w:rsid w:val="296F65AD"/>
    <w:rsid w:val="2C2317D2"/>
    <w:rsid w:val="4E5347E4"/>
    <w:rsid w:val="53E46BE2"/>
    <w:rsid w:val="577A25DF"/>
    <w:rsid w:val="6207417E"/>
    <w:rsid w:val="62C1103C"/>
    <w:rsid w:val="6F7C6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38196F-B750-4BF0-8059-37571B42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C5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C5339"/>
    <w:rPr>
      <w:rFonts w:ascii="Times New Roman" w:eastAsia="宋体" w:hAnsi="Times New Roman" w:cs="Times New Roman"/>
      <w:kern w:val="2"/>
      <w:sz w:val="18"/>
      <w:szCs w:val="18"/>
    </w:rPr>
  </w:style>
  <w:style w:type="paragraph" w:styleId="a4">
    <w:name w:val="footer"/>
    <w:basedOn w:val="a"/>
    <w:link w:val="Char0"/>
    <w:rsid w:val="00BC5339"/>
    <w:pPr>
      <w:tabs>
        <w:tab w:val="center" w:pos="4153"/>
        <w:tab w:val="right" w:pos="8306"/>
      </w:tabs>
      <w:snapToGrid w:val="0"/>
      <w:jc w:val="left"/>
    </w:pPr>
    <w:rPr>
      <w:sz w:val="18"/>
      <w:szCs w:val="18"/>
    </w:rPr>
  </w:style>
  <w:style w:type="character" w:customStyle="1" w:styleId="Char0">
    <w:name w:val="页脚 Char"/>
    <w:basedOn w:val="a0"/>
    <w:link w:val="a4"/>
    <w:rsid w:val="00BC533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 Kay</dc:creator>
  <cp:lastModifiedBy>lenovo</cp:lastModifiedBy>
  <cp:revision>6</cp:revision>
  <dcterms:created xsi:type="dcterms:W3CDTF">2022-04-22T02:54:00Z</dcterms:created>
  <dcterms:modified xsi:type="dcterms:W3CDTF">2022-06-10T07:20:00Z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0B67DB29D6EB48E7A35A9A4A872B7C47</vt:lpwstr>
  </property>
  <property fmtid="{D5CDD505-2E9C-101B-9397-08002B2CF9AE}" pid="4" name="commondata">
    <vt:lpwstr>eyJoZGlkIjoiNTBhODljMDU4ZTA0OThkNDA0ODU3ZmIwYmZjZTZhZDIifQ==</vt:lpwstr>
  </property>
</Properties>
</file>