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A64" w:rsidRDefault="00CA19D5">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51A64" w:rsidRDefault="00CA19D5">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 年度）</w:t>
      </w:r>
    </w:p>
    <w:p w:rsidR="00951A64" w:rsidRDefault="00951A64">
      <w:pPr>
        <w:spacing w:line="240" w:lineRule="exact"/>
        <w:rPr>
          <w:rFonts w:ascii="仿宋_GB2312" w:eastAsia="仿宋_GB2312" w:hAnsi="宋体"/>
          <w:sz w:val="30"/>
          <w:szCs w:val="30"/>
        </w:rPr>
      </w:pPr>
    </w:p>
    <w:tbl>
      <w:tblPr>
        <w:tblW w:w="9493" w:type="dxa"/>
        <w:jc w:val="center"/>
        <w:tblLayout w:type="fixed"/>
        <w:tblLook w:val="04A0" w:firstRow="1" w:lastRow="0" w:firstColumn="1" w:lastColumn="0" w:noHBand="0" w:noVBand="1"/>
      </w:tblPr>
      <w:tblGrid>
        <w:gridCol w:w="585"/>
        <w:gridCol w:w="816"/>
        <w:gridCol w:w="1264"/>
        <w:gridCol w:w="53"/>
        <w:gridCol w:w="1223"/>
        <w:gridCol w:w="1222"/>
        <w:gridCol w:w="1507"/>
        <w:gridCol w:w="108"/>
        <w:gridCol w:w="522"/>
        <w:gridCol w:w="182"/>
        <w:gridCol w:w="571"/>
        <w:gridCol w:w="275"/>
        <w:gridCol w:w="1165"/>
      </w:tblGrid>
      <w:tr w:rsidR="00951A64" w:rsidTr="00BC1262">
        <w:trPr>
          <w:trHeight w:hRule="exact" w:val="510"/>
          <w:jc w:val="center"/>
        </w:trPr>
        <w:tc>
          <w:tcPr>
            <w:tcW w:w="1401"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092" w:type="dxa"/>
            <w:gridSpan w:val="11"/>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彩票市场调控资金</w:t>
            </w:r>
          </w:p>
        </w:tc>
      </w:tr>
      <w:tr w:rsidR="00951A64" w:rsidTr="00BC1262">
        <w:trPr>
          <w:trHeight w:hRule="exact" w:val="510"/>
          <w:jc w:val="center"/>
        </w:trPr>
        <w:tc>
          <w:tcPr>
            <w:tcW w:w="1401"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762" w:type="dxa"/>
            <w:gridSpan w:val="4"/>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北京市体育彩票管理中心</w:t>
            </w:r>
          </w:p>
        </w:tc>
        <w:tc>
          <w:tcPr>
            <w:tcW w:w="1615"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715" w:type="dxa"/>
            <w:gridSpan w:val="5"/>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北京市体育彩票管理中心</w:t>
            </w:r>
          </w:p>
        </w:tc>
      </w:tr>
      <w:tr w:rsidR="00951A64" w:rsidTr="00BC1262">
        <w:trPr>
          <w:trHeight w:hRule="exact" w:val="510"/>
          <w:jc w:val="center"/>
        </w:trPr>
        <w:tc>
          <w:tcPr>
            <w:tcW w:w="1401"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762" w:type="dxa"/>
            <w:gridSpan w:val="4"/>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李若蒙、俞肇辉</w:t>
            </w:r>
          </w:p>
        </w:tc>
        <w:tc>
          <w:tcPr>
            <w:tcW w:w="1615"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715" w:type="dxa"/>
            <w:gridSpan w:val="5"/>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63199758</w:t>
            </w:r>
          </w:p>
        </w:tc>
      </w:tr>
      <w:tr w:rsidR="00951A64" w:rsidTr="00BC1262">
        <w:trPr>
          <w:trHeight w:hRule="exact" w:val="567"/>
          <w:jc w:val="center"/>
        </w:trPr>
        <w:tc>
          <w:tcPr>
            <w:tcW w:w="1401" w:type="dxa"/>
            <w:gridSpan w:val="2"/>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317"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23"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22"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615"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165"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51A64" w:rsidTr="00BC1262">
        <w:trPr>
          <w:trHeight w:val="501"/>
          <w:jc w:val="center"/>
        </w:trPr>
        <w:tc>
          <w:tcPr>
            <w:tcW w:w="1401" w:type="dxa"/>
            <w:gridSpan w:val="2"/>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317"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223"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3573</w:t>
            </w:r>
            <w:r w:rsidRPr="00CA19D5">
              <w:rPr>
                <w:rFonts w:ascii="仿宋_GB2312" w:eastAsia="仿宋_GB2312" w:hAnsi="宋体" w:cs="宋体"/>
                <w:kern w:val="0"/>
                <w:sz w:val="18"/>
                <w:szCs w:val="18"/>
              </w:rPr>
              <w:t>.</w:t>
            </w:r>
            <w:r w:rsidRPr="00CA19D5">
              <w:rPr>
                <w:rFonts w:ascii="仿宋_GB2312" w:eastAsia="仿宋_GB2312" w:hAnsi="宋体" w:cs="宋体" w:hint="eastAsia"/>
                <w:kern w:val="0"/>
                <w:sz w:val="18"/>
                <w:szCs w:val="18"/>
              </w:rPr>
              <w:t>7046</w:t>
            </w:r>
            <w:r>
              <w:rPr>
                <w:rFonts w:ascii="仿宋_GB2312" w:eastAsia="仿宋_GB2312" w:hAnsi="宋体" w:cs="宋体"/>
                <w:kern w:val="0"/>
                <w:sz w:val="18"/>
                <w:szCs w:val="18"/>
              </w:rPr>
              <w:t>00</w:t>
            </w:r>
          </w:p>
        </w:tc>
        <w:tc>
          <w:tcPr>
            <w:tcW w:w="1222"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3573</w:t>
            </w:r>
            <w:r w:rsidRPr="00CA19D5">
              <w:rPr>
                <w:rFonts w:ascii="仿宋_GB2312" w:eastAsia="仿宋_GB2312" w:hAnsi="宋体" w:cs="宋体"/>
                <w:kern w:val="0"/>
                <w:sz w:val="18"/>
                <w:szCs w:val="18"/>
              </w:rPr>
              <w:t>.</w:t>
            </w:r>
            <w:r w:rsidRPr="00CA19D5">
              <w:rPr>
                <w:rFonts w:ascii="仿宋_GB2312" w:eastAsia="仿宋_GB2312" w:hAnsi="宋体" w:cs="宋体" w:hint="eastAsia"/>
                <w:kern w:val="0"/>
                <w:sz w:val="18"/>
                <w:szCs w:val="18"/>
              </w:rPr>
              <w:t>7046</w:t>
            </w:r>
            <w:r>
              <w:rPr>
                <w:rFonts w:ascii="仿宋_GB2312" w:eastAsia="仿宋_GB2312" w:hAnsi="宋体" w:cs="宋体"/>
                <w:kern w:val="0"/>
                <w:sz w:val="18"/>
                <w:szCs w:val="18"/>
              </w:rPr>
              <w:t>00</w:t>
            </w:r>
          </w:p>
        </w:tc>
        <w:tc>
          <w:tcPr>
            <w:tcW w:w="1615" w:type="dxa"/>
            <w:gridSpan w:val="2"/>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3122.393048</w:t>
            </w:r>
          </w:p>
        </w:tc>
        <w:tc>
          <w:tcPr>
            <w:tcW w:w="704"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87.4</w:t>
            </w:r>
            <w:r>
              <w:rPr>
                <w:rFonts w:ascii="仿宋_GB2312" w:eastAsia="仿宋_GB2312" w:hAnsi="宋体" w:cs="宋体"/>
                <w:kern w:val="0"/>
                <w:szCs w:val="21"/>
              </w:rPr>
              <w:t>%</w:t>
            </w:r>
          </w:p>
        </w:tc>
        <w:tc>
          <w:tcPr>
            <w:tcW w:w="1165"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w:t>
            </w:r>
          </w:p>
        </w:tc>
      </w:tr>
      <w:tr w:rsidR="00951A64" w:rsidTr="00BC1262">
        <w:trPr>
          <w:trHeight w:val="501"/>
          <w:jc w:val="center"/>
        </w:trPr>
        <w:tc>
          <w:tcPr>
            <w:tcW w:w="1401" w:type="dxa"/>
            <w:gridSpan w:val="2"/>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317"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1223"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kern w:val="0"/>
                <w:sz w:val="18"/>
                <w:szCs w:val="18"/>
              </w:rPr>
              <w:t>3259.00</w:t>
            </w:r>
            <w:r w:rsidRPr="00CA19D5">
              <w:rPr>
                <w:rFonts w:ascii="仿宋_GB2312" w:eastAsia="仿宋_GB2312" w:hAnsi="宋体" w:cs="宋体" w:hint="eastAsia"/>
                <w:kern w:val="0"/>
                <w:sz w:val="18"/>
                <w:szCs w:val="18"/>
              </w:rPr>
              <w:t>00</w:t>
            </w:r>
            <w:r>
              <w:rPr>
                <w:rFonts w:ascii="仿宋_GB2312" w:eastAsia="仿宋_GB2312" w:hAnsi="宋体" w:cs="宋体"/>
                <w:kern w:val="0"/>
                <w:sz w:val="18"/>
                <w:szCs w:val="18"/>
              </w:rPr>
              <w:t>00</w:t>
            </w:r>
          </w:p>
        </w:tc>
        <w:tc>
          <w:tcPr>
            <w:tcW w:w="1222"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kern w:val="0"/>
                <w:sz w:val="18"/>
                <w:szCs w:val="18"/>
              </w:rPr>
              <w:t>3259.00</w:t>
            </w:r>
            <w:r w:rsidRPr="00CA19D5">
              <w:rPr>
                <w:rFonts w:ascii="仿宋_GB2312" w:eastAsia="仿宋_GB2312" w:hAnsi="宋体" w:cs="宋体" w:hint="eastAsia"/>
                <w:kern w:val="0"/>
                <w:sz w:val="18"/>
                <w:szCs w:val="18"/>
              </w:rPr>
              <w:t>00</w:t>
            </w:r>
            <w:r>
              <w:rPr>
                <w:rFonts w:ascii="仿宋_GB2312" w:eastAsia="仿宋_GB2312" w:hAnsi="宋体" w:cs="宋体"/>
                <w:kern w:val="0"/>
                <w:sz w:val="18"/>
                <w:szCs w:val="18"/>
              </w:rPr>
              <w:t>00</w:t>
            </w:r>
          </w:p>
        </w:tc>
        <w:tc>
          <w:tcPr>
            <w:tcW w:w="1615" w:type="dxa"/>
            <w:gridSpan w:val="2"/>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kern w:val="0"/>
                <w:sz w:val="18"/>
                <w:szCs w:val="18"/>
              </w:rPr>
              <w:t>2965.54</w:t>
            </w:r>
            <w:r w:rsidRPr="00CA19D5">
              <w:rPr>
                <w:rFonts w:ascii="仿宋_GB2312" w:eastAsia="仿宋_GB2312" w:hAnsi="宋体" w:cs="宋体" w:hint="eastAsia"/>
                <w:kern w:val="0"/>
                <w:sz w:val="18"/>
                <w:szCs w:val="18"/>
              </w:rPr>
              <w:t>3800</w:t>
            </w:r>
          </w:p>
        </w:tc>
        <w:tc>
          <w:tcPr>
            <w:tcW w:w="704"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91.00%</w:t>
            </w:r>
          </w:p>
        </w:tc>
        <w:tc>
          <w:tcPr>
            <w:tcW w:w="1165"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51A64" w:rsidTr="00BC1262">
        <w:trPr>
          <w:trHeight w:val="501"/>
          <w:jc w:val="center"/>
        </w:trPr>
        <w:tc>
          <w:tcPr>
            <w:tcW w:w="1401" w:type="dxa"/>
            <w:gridSpan w:val="2"/>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317"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223"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314.7046</w:t>
            </w:r>
            <w:r>
              <w:rPr>
                <w:rFonts w:ascii="仿宋_GB2312" w:eastAsia="仿宋_GB2312" w:hAnsi="宋体" w:cs="宋体"/>
                <w:kern w:val="0"/>
                <w:sz w:val="18"/>
                <w:szCs w:val="18"/>
              </w:rPr>
              <w:t>00</w:t>
            </w:r>
          </w:p>
        </w:tc>
        <w:tc>
          <w:tcPr>
            <w:tcW w:w="1222" w:type="dxa"/>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314.7046</w:t>
            </w:r>
            <w:r>
              <w:rPr>
                <w:rFonts w:ascii="仿宋_GB2312" w:eastAsia="仿宋_GB2312" w:hAnsi="宋体" w:cs="宋体"/>
                <w:kern w:val="0"/>
                <w:sz w:val="18"/>
                <w:szCs w:val="18"/>
              </w:rPr>
              <w:t>00</w:t>
            </w:r>
          </w:p>
        </w:tc>
        <w:tc>
          <w:tcPr>
            <w:tcW w:w="1615" w:type="dxa"/>
            <w:gridSpan w:val="2"/>
            <w:tcBorders>
              <w:top w:val="nil"/>
              <w:left w:val="nil"/>
              <w:bottom w:val="single" w:sz="4" w:space="0" w:color="auto"/>
              <w:right w:val="single" w:sz="4" w:space="0" w:color="auto"/>
            </w:tcBorders>
            <w:vAlign w:val="center"/>
          </w:tcPr>
          <w:p w:rsidR="00951A64" w:rsidRPr="00CA19D5" w:rsidRDefault="00CA19D5">
            <w:pPr>
              <w:widowControl/>
              <w:spacing w:line="240" w:lineRule="exact"/>
              <w:jc w:val="center"/>
              <w:rPr>
                <w:rFonts w:ascii="仿宋_GB2312" w:eastAsia="仿宋_GB2312" w:hAnsi="宋体" w:cs="宋体"/>
                <w:kern w:val="0"/>
                <w:sz w:val="18"/>
                <w:szCs w:val="18"/>
              </w:rPr>
            </w:pPr>
            <w:r w:rsidRPr="00CA19D5">
              <w:rPr>
                <w:rFonts w:ascii="仿宋_GB2312" w:eastAsia="仿宋_GB2312" w:hAnsi="宋体" w:cs="宋体" w:hint="eastAsia"/>
                <w:kern w:val="0"/>
                <w:sz w:val="18"/>
                <w:szCs w:val="18"/>
              </w:rPr>
              <w:t>156.849248</w:t>
            </w:r>
          </w:p>
        </w:tc>
        <w:tc>
          <w:tcPr>
            <w:tcW w:w="704"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49.84%</w:t>
            </w:r>
          </w:p>
        </w:tc>
        <w:tc>
          <w:tcPr>
            <w:tcW w:w="1165"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51A64" w:rsidTr="00BC1262">
        <w:trPr>
          <w:trHeight w:val="501"/>
          <w:jc w:val="center"/>
        </w:trPr>
        <w:tc>
          <w:tcPr>
            <w:tcW w:w="1401" w:type="dxa"/>
            <w:gridSpan w:val="2"/>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317"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223"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22"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615"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04" w:type="dxa"/>
            <w:gridSpan w:val="2"/>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165" w:type="dxa"/>
            <w:tcBorders>
              <w:top w:val="nil"/>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51A64" w:rsidTr="00BC1262">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578" w:type="dxa"/>
            <w:gridSpan w:val="5"/>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330" w:type="dxa"/>
            <w:gridSpan w:val="7"/>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51A64" w:rsidTr="00BC1262">
        <w:trPr>
          <w:trHeight w:hRule="exact" w:val="7992"/>
          <w:jc w:val="center"/>
        </w:trPr>
        <w:tc>
          <w:tcPr>
            <w:tcW w:w="585" w:type="dxa"/>
            <w:vMerge/>
            <w:tcBorders>
              <w:top w:val="nil"/>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4578" w:type="dxa"/>
            <w:gridSpan w:val="5"/>
            <w:tcBorders>
              <w:top w:val="single" w:sz="4" w:space="0" w:color="auto"/>
              <w:left w:val="nil"/>
              <w:bottom w:val="single" w:sz="4" w:space="0" w:color="auto"/>
              <w:right w:val="single" w:sz="4" w:space="0" w:color="auto"/>
            </w:tcBorders>
            <w:vAlign w:val="center"/>
          </w:tcPr>
          <w:p w:rsidR="00951A64" w:rsidRDefault="00BC1262">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w:t>
            </w:r>
            <w:r w:rsidR="00CA19D5">
              <w:rPr>
                <w:rFonts w:ascii="仿宋_GB2312" w:eastAsia="仿宋_GB2312" w:hAnsi="宋体" w:cs="宋体" w:hint="eastAsia"/>
                <w:kern w:val="0"/>
                <w:szCs w:val="21"/>
              </w:rPr>
              <w:t>1.采购1600台终端机，用以保障日常彩票销售工作；2.正确把握舆论导向，加强体育彩票的品牌推广，配合各类品牌营销开展宣传活动，提升营销活动效果，通过在电视台播放宣传片及玩法开奖口播，广播电台播放音频广告、投放户外广告等方式提升中国体育彩票品牌知名度及美誉度。加强顾客对体彩各游戏产品关注度及忠诚度，达到扩大彩票销售规模的效果，为支持体育及社会公益事业发展筹集更多的体彩公益金。</w:t>
            </w:r>
          </w:p>
        </w:tc>
        <w:tc>
          <w:tcPr>
            <w:tcW w:w="4330" w:type="dxa"/>
            <w:gridSpan w:val="7"/>
            <w:tcBorders>
              <w:top w:val="single" w:sz="4" w:space="0" w:color="auto"/>
              <w:left w:val="nil"/>
              <w:bottom w:val="single" w:sz="4" w:space="0" w:color="auto"/>
              <w:right w:val="single" w:sz="4" w:space="0" w:color="auto"/>
            </w:tcBorders>
            <w:vAlign w:val="center"/>
          </w:tcPr>
          <w:p w:rsidR="00951A64" w:rsidRDefault="00BC1262">
            <w:pPr>
              <w:widowControl/>
              <w:spacing w:line="240" w:lineRule="exact"/>
              <w:jc w:val="left"/>
              <w:rPr>
                <w:rFonts w:ascii="仿宋_GB2312" w:eastAsia="仿宋_GB2312" w:hAnsi="宋体" w:cs="宋体" w:hint="eastAsia"/>
                <w:kern w:val="0"/>
                <w:szCs w:val="21"/>
              </w:rPr>
            </w:pPr>
            <w:r>
              <w:rPr>
                <w:rFonts w:ascii="仿宋_GB2312" w:eastAsia="仿宋_GB2312" w:hAnsi="宋体" w:cs="宋体" w:hint="eastAsia"/>
                <w:kern w:val="0"/>
                <w:szCs w:val="21"/>
              </w:rPr>
              <w:t xml:space="preserve">    </w:t>
            </w:r>
            <w:r w:rsidR="00CA19D5">
              <w:rPr>
                <w:rFonts w:ascii="仿宋_GB2312" w:eastAsia="仿宋_GB2312" w:hAnsi="宋体" w:cs="宋体" w:hint="eastAsia"/>
                <w:kern w:val="0"/>
                <w:szCs w:val="21"/>
              </w:rPr>
              <w:t>1.完成采购1600台彩票销售终端机用于网点设备更新提升，网点销售业务效率得到显著提升，采购任务完成率100%</w:t>
            </w:r>
            <w:r>
              <w:rPr>
                <w:rFonts w:ascii="仿宋_GB2312" w:eastAsia="仿宋_GB2312" w:hAnsi="宋体" w:cs="宋体" w:hint="eastAsia"/>
                <w:kern w:val="0"/>
                <w:szCs w:val="21"/>
              </w:rPr>
              <w:t>；</w:t>
            </w:r>
            <w:r w:rsidR="00CA19D5">
              <w:rPr>
                <w:rFonts w:ascii="仿宋_GB2312" w:eastAsia="仿宋_GB2312" w:hAnsi="宋体" w:cs="宋体" w:hint="eastAsia"/>
                <w:kern w:val="0"/>
                <w:szCs w:val="21"/>
              </w:rPr>
              <w:t>2.在北京电视台冬奥纪实频道投放宣传片，播出次数340次，完成大乐透及7星彩开奖结果播报共计249</w:t>
            </w:r>
            <w:r>
              <w:rPr>
                <w:rFonts w:ascii="仿宋_GB2312" w:eastAsia="仿宋_GB2312" w:hAnsi="宋体" w:cs="宋体" w:hint="eastAsia"/>
                <w:kern w:val="0"/>
                <w:szCs w:val="21"/>
              </w:rPr>
              <w:t>期；</w:t>
            </w:r>
            <w:r w:rsidR="00CA19D5">
              <w:rPr>
                <w:rFonts w:ascii="仿宋_GB2312" w:eastAsia="仿宋_GB2312" w:hAnsi="宋体" w:cs="宋体" w:hint="eastAsia"/>
                <w:kern w:val="0"/>
                <w:szCs w:val="21"/>
              </w:rPr>
              <w:t>3.2021年4月至7月期间，在北京交通广播，北京音乐广播、北京文艺广播、北京新闻广播、北京体育广播投放电台广播广告，共56天，每日总播出频次24次。完成楼宇电梯广告投放，梯内屏6000块、梯外大屏2000块，各5周。于地铁一号线、二号线、五号线、六号线、九号线、十号线投放地铁灯箱广告200块，共投放4周。于三里屯SOHO、富力广场、世贸天阶等繁华商圈投放户外大屏广告6块，周期2</w:t>
            </w:r>
            <w:r>
              <w:rPr>
                <w:rFonts w:ascii="仿宋_GB2312" w:eastAsia="仿宋_GB2312" w:hAnsi="宋体" w:cs="宋体" w:hint="eastAsia"/>
                <w:kern w:val="0"/>
                <w:szCs w:val="21"/>
              </w:rPr>
              <w:t>周；</w:t>
            </w:r>
            <w:r w:rsidR="000B152C">
              <w:rPr>
                <w:rFonts w:ascii="仿宋_GB2312" w:eastAsia="仿宋_GB2312" w:hAnsi="宋体" w:cs="宋体" w:hint="eastAsia"/>
                <w:kern w:val="0"/>
                <w:szCs w:val="21"/>
              </w:rPr>
              <w:t>4</w:t>
            </w:r>
            <w:r w:rsidR="000B152C">
              <w:rPr>
                <w:rFonts w:ascii="仿宋_GB2312" w:eastAsia="仿宋_GB2312" w:hAnsi="宋体" w:cs="宋体" w:hint="eastAsia"/>
                <w:kern w:val="0"/>
                <w:szCs w:val="21"/>
              </w:rPr>
              <w:t>.</w:t>
            </w:r>
            <w:r w:rsidR="00CA19D5">
              <w:rPr>
                <w:rFonts w:ascii="仿宋_GB2312" w:eastAsia="仿宋_GB2312" w:hAnsi="宋体" w:cs="宋体" w:hint="eastAsia"/>
                <w:kern w:val="0"/>
                <w:szCs w:val="21"/>
              </w:rPr>
              <w:t>以树立体彩品牌公信力，传递体彩公益属性为目标，围绕彩票公信力展示及体彩在身边主题，开展2</w:t>
            </w:r>
            <w:r>
              <w:rPr>
                <w:rFonts w:ascii="仿宋_GB2312" w:eastAsia="仿宋_GB2312" w:hAnsi="宋体" w:cs="宋体" w:hint="eastAsia"/>
                <w:kern w:val="0"/>
                <w:szCs w:val="21"/>
              </w:rPr>
              <w:t>项系列品牌落地活动；</w:t>
            </w:r>
            <w:r w:rsidR="00CA19D5" w:rsidRPr="00BC1262">
              <w:rPr>
                <w:rFonts w:ascii="仿宋_GB2312" w:eastAsia="仿宋_GB2312" w:hAnsi="宋体" w:cs="宋体" w:hint="eastAsia"/>
                <w:kern w:val="0"/>
                <w:szCs w:val="21"/>
              </w:rPr>
              <w:t>5.完成全市2650家体彩实体店全覆盖普查，执行完成率100%；通过线上方式回收有效调查问卷1814份，超过预期1500份的目标，调查完成率121%。通过前期实地调查及后期数据分析，形成《北京体彩2021年实体店第三方检查项目调研报告》，为中心在未</w:t>
            </w:r>
            <w:r>
              <w:rPr>
                <w:rFonts w:ascii="仿宋_GB2312" w:eastAsia="仿宋_GB2312" w:hAnsi="宋体" w:cs="宋体" w:hint="eastAsia"/>
                <w:kern w:val="0"/>
                <w:szCs w:val="21"/>
              </w:rPr>
              <w:t>来对实体店的战略部署、北京体彩社会责任建设工作提供可参考性建议；</w:t>
            </w:r>
            <w:r w:rsidR="00CA19D5" w:rsidRPr="00BC1262">
              <w:rPr>
                <w:rFonts w:ascii="仿宋_GB2312" w:eastAsia="仿宋_GB2312" w:hAnsi="宋体" w:cs="宋体" w:hint="eastAsia"/>
                <w:kern w:val="0"/>
                <w:szCs w:val="21"/>
              </w:rPr>
              <w:t>根据《体育总局彩票中心关于开展即开型体育彩票陈列展示提升工作的通知》（体彩字〔2019〕319号）文件精神，进一步夯实门店基础工作，加强即开票精细化管理，丰富即开票</w:t>
            </w:r>
            <w:r w:rsidR="00A41BFE">
              <w:rPr>
                <w:rFonts w:ascii="仿宋_GB2312" w:eastAsia="仿宋_GB2312" w:hAnsi="宋体" w:cs="宋体" w:hint="eastAsia"/>
                <w:kern w:val="0"/>
                <w:szCs w:val="21"/>
              </w:rPr>
              <w:t>票种，提升即开票陈列展示水平，完成了实体店即开陈列展示提升项目；</w:t>
            </w:r>
            <w:bookmarkStart w:id="0" w:name="_GoBack"/>
            <w:bookmarkEnd w:id="0"/>
          </w:p>
        </w:tc>
      </w:tr>
      <w:tr w:rsidR="00951A64" w:rsidTr="00BC1262">
        <w:trPr>
          <w:trHeight w:hRule="exact" w:val="2364"/>
          <w:jc w:val="center"/>
        </w:trPr>
        <w:tc>
          <w:tcPr>
            <w:tcW w:w="585" w:type="dxa"/>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4578" w:type="dxa"/>
            <w:gridSpan w:val="5"/>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4330" w:type="dxa"/>
            <w:gridSpan w:val="7"/>
            <w:tcBorders>
              <w:top w:val="single" w:sz="4" w:space="0" w:color="auto"/>
              <w:left w:val="nil"/>
              <w:bottom w:val="single" w:sz="4" w:space="0" w:color="auto"/>
              <w:right w:val="single" w:sz="4" w:space="0" w:color="auto"/>
            </w:tcBorders>
            <w:vAlign w:val="center"/>
          </w:tcPr>
          <w:p w:rsidR="00951A64" w:rsidRDefault="00A41BFE" w:rsidP="000B152C">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6.</w:t>
            </w:r>
            <w:r w:rsidR="00CA19D5">
              <w:rPr>
                <w:rFonts w:ascii="仿宋_GB2312" w:eastAsia="仿宋_GB2312" w:hAnsi="宋体" w:cs="宋体" w:hint="eastAsia"/>
                <w:kern w:val="0"/>
                <w:szCs w:val="21"/>
              </w:rPr>
              <w:t>根据《总局中心关于推进渠道拓展工作的通知》（体彩字〔2021〕87号）文件要求，完成槐房万达商业综合体完成实体店建设扶持。通过3个月的运营过程中，已经借助高档化、标准化的品牌曝光，达到增加品牌曝光，提升品牌形象的基本目标，很好地展示了中国体育彩票年轻化、富有活力、不断突破和创新的品牌形象。</w:t>
            </w:r>
          </w:p>
        </w:tc>
      </w:tr>
      <w:tr w:rsidR="00951A64" w:rsidTr="00BC1262">
        <w:trPr>
          <w:trHeight w:hRule="exact" w:val="839"/>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816"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264"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951A64" w:rsidTr="00BC1262">
        <w:trPr>
          <w:trHeight w:hRule="exact" w:val="72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（50分）</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采购终端机数量</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≥1600台</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1600台</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72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电视媒体宣传</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在电视媒体投放宣传片，共338次；播报开奖结果不少于150次。</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在电视媒体投放宣传片，共338次；播报开奖结果不少于150次。</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532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户外广告投放</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户外广告投放包括北京交通广播频道、北京体育广播频道等多频道播出15s广告，每天总播出次数不少于24次，投放周期8周，共56天。</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交通广播频道、北京体育广播频道等多频道播出15s广告，每天总播出次数不少于24次，投放周期8周，共56天。楼宇电梯广告投放社区梯内屏6000块，5周、写字楼梯外大屏2000块，5周。地铁灯箱投放周期4周，数量200块。户外大屏广告投放6块、周期2周。</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9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楼宇电梯广告</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楼宇电梯广告投放社区梯内屏6000块，5周、写字楼梯外大屏2000块，5周</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楼宇电梯广告投放社区梯内屏6000块，5周、写字楼梯外大屏2000块，5周。</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229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地铁灯箱广告</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地铁灯箱投放周期4周，数量200块。户外大屏广告投放6块、周期2周</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地铁灯箱投放周期4周，数量200块。户外大屏广告投放6块、周期2周。</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521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left w:val="single" w:sz="4" w:space="0" w:color="auto"/>
              <w:bottom w:val="nil"/>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围绕彩票公信力、体彩在身边等主题开展落地推广活动</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不少于2场</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围绕彩票公信力、体彩在身边等主题开展两项系列落地推广活动，包括“相约体彩观摩活动”建党百年专场、全民健身专场及运动员专场等；“体彩不止运动”趣味篮球挑战赛、攀岩挑战赛、趣味羽毛球挑战赛、乒乓球挑战赛及滑步车体验活动等。</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val="restart"/>
            <w:tcBorders>
              <w:top w:val="nil"/>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color w:val="000000"/>
                <w:kern w:val="0"/>
                <w:szCs w:val="21"/>
              </w:rPr>
              <w:t>实体店电子屏补贴</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100家</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280家</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对符合条件实体店补贴，结余资金已退回财政</w:t>
            </w:r>
          </w:p>
        </w:tc>
      </w:tr>
      <w:tr w:rsidR="00951A64" w:rsidTr="00BC1262">
        <w:trPr>
          <w:trHeight w:hRule="exact" w:val="275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2021年实体店第三方检查项目调研</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完成全市2650家体彩实体店全覆盖普查</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完成全市2650家体彩实体店全覆盖普查，形成《北京体彩2021年实体店第三方检查项目调研报告》1份</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351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即开陈列展示提升项目</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70%网点展示不少于12种即开票</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陈列即开彩票的实体店比例达到95%，陈列12种即开票实体店的比例达到92%，陈列18种即开票的比例达到87%，陈列24种即开票的比例达到82%，全市实体店即开彩票活动率达到93%</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00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商业综合体门店建设</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1家</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1家</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02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全年执行</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全年按预期执行率100%</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全年按预期执行率100%</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02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严格控制在预算范围之内</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不超过3259.0002万元</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91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（30分）</w:t>
            </w:r>
          </w:p>
        </w:tc>
        <w:tc>
          <w:tcPr>
            <w:tcW w:w="1264"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彩票销量</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保障全年销量不低于60亿元</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2021年本市体彩销售66.07亿元</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85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社会效益指标</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终端机更换</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保障全市体彩销售业务有序开展</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全年彩票销售业务有序正常开展，未发生一起因终端机更新不及时造成的销售事故。</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96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广告发布上刊率</w:t>
            </w:r>
          </w:p>
        </w:tc>
        <w:tc>
          <w:tcPr>
            <w:tcW w:w="1222"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不低于80%</w:t>
            </w:r>
          </w:p>
        </w:tc>
        <w:tc>
          <w:tcPr>
            <w:tcW w:w="1507" w:type="dxa"/>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已达标</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53" w:type="dxa"/>
            <w:gridSpan w:val="2"/>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577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户外广告、楼宇、地铁广告投放</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升超级大乐透、7星彩等玩法社会知晓度；通过电视媒体播放宣传片，提升体彩知名度及美誉度；通过广播、户外广告发布相关宣传内容，增加体彩各产品品牌曝光度。通过开展活动宣传推广工作，树立体育彩票公益、公信的品牌形象，树立体彩品牌“公益、健康、乐活、进取”的统一形象。</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1.超级大乐透、7星彩等玩法社会知晓度得到大幅提升；</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2.体彩知名度及美誉度，体彩各产品品牌曝光度显著提升。</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3.通过持续开展活动宣传推广工作，在北京市民、彩民中树立、巩固了体育彩票公益、公信的品牌形象，树立体彩品牌“公益、健康、乐活、进取”的统一形象。</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26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全市实体店信息化显示标准化、统一化</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信息化显示统一</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显著提升</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149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2021年实体店第三方检查项目调研</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提供体彩建设工作参考建议</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为中心在未来对实体店的战略部署、北京体彩社会责任建设工作提供可参考性建议</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84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left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即开票陈列展示水平</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增加即开票种类展示</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即开票种类展示显著提升</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232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建设扶持槐房万达商业综合体完成实体店</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增加体彩商业综合体建设曝光度</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增加品牌曝光，提升品牌形象的基本目标，很好地展示了中国体育彩票年轻化、富有活力、不断突破和创新的品牌形象</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71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（10分）</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销售网点业主满意度</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不低于80%</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已达标</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7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c>
          <w:tcPr>
            <w:tcW w:w="1276"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购彩者对品牌推广活动满意度</w:t>
            </w:r>
          </w:p>
        </w:tc>
        <w:tc>
          <w:tcPr>
            <w:tcW w:w="1222"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不低于80%</w:t>
            </w:r>
          </w:p>
        </w:tc>
        <w:tc>
          <w:tcPr>
            <w:tcW w:w="1507" w:type="dxa"/>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已达标</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r w:rsidR="00951A64" w:rsidTr="00BC1262">
        <w:trPr>
          <w:trHeight w:hRule="exact" w:val="477"/>
          <w:jc w:val="center"/>
        </w:trPr>
        <w:tc>
          <w:tcPr>
            <w:tcW w:w="6670" w:type="dxa"/>
            <w:gridSpan w:val="7"/>
            <w:tcBorders>
              <w:top w:val="single" w:sz="4" w:space="0" w:color="auto"/>
              <w:left w:val="single" w:sz="4" w:space="0" w:color="auto"/>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30"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53" w:type="dxa"/>
            <w:gridSpan w:val="2"/>
            <w:tcBorders>
              <w:top w:val="single" w:sz="4" w:space="0" w:color="auto"/>
              <w:left w:val="nil"/>
              <w:bottom w:val="single" w:sz="4" w:space="0" w:color="auto"/>
              <w:right w:val="single" w:sz="4" w:space="0" w:color="auto"/>
            </w:tcBorders>
            <w:vAlign w:val="center"/>
          </w:tcPr>
          <w:p w:rsidR="00951A64" w:rsidRDefault="00CA19D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98.7</w:t>
            </w:r>
          </w:p>
        </w:tc>
        <w:tc>
          <w:tcPr>
            <w:tcW w:w="1440" w:type="dxa"/>
            <w:gridSpan w:val="2"/>
            <w:tcBorders>
              <w:top w:val="single" w:sz="4" w:space="0" w:color="auto"/>
              <w:left w:val="nil"/>
              <w:bottom w:val="single" w:sz="4" w:space="0" w:color="auto"/>
              <w:right w:val="single" w:sz="4" w:space="0" w:color="auto"/>
            </w:tcBorders>
            <w:vAlign w:val="center"/>
          </w:tcPr>
          <w:p w:rsidR="00951A64" w:rsidRDefault="00951A64">
            <w:pPr>
              <w:widowControl/>
              <w:spacing w:line="240" w:lineRule="exact"/>
              <w:jc w:val="center"/>
              <w:rPr>
                <w:rFonts w:ascii="仿宋_GB2312" w:eastAsia="仿宋_GB2312" w:hAnsi="宋体" w:cs="宋体"/>
                <w:kern w:val="0"/>
                <w:szCs w:val="21"/>
              </w:rPr>
            </w:pPr>
          </w:p>
        </w:tc>
      </w:tr>
    </w:tbl>
    <w:p w:rsidR="00951A64" w:rsidRDefault="00951A64"/>
    <w:sectPr w:rsidR="00951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F2A" w:rsidRDefault="00F41F2A" w:rsidP="00BC1262">
      <w:r>
        <w:separator/>
      </w:r>
    </w:p>
  </w:endnote>
  <w:endnote w:type="continuationSeparator" w:id="0">
    <w:p w:rsidR="00F41F2A" w:rsidRDefault="00F41F2A" w:rsidP="00BC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舒体"/>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F2A" w:rsidRDefault="00F41F2A" w:rsidP="00BC1262">
      <w:r>
        <w:separator/>
      </w:r>
    </w:p>
  </w:footnote>
  <w:footnote w:type="continuationSeparator" w:id="0">
    <w:p w:rsidR="00F41F2A" w:rsidRDefault="00F41F2A" w:rsidP="00BC1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34C463"/>
    <w:multiLevelType w:val="singleLevel"/>
    <w:tmpl w:val="7134C463"/>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zOGUxNzIxYTFkMDBlYWI4YzFkM2Y1NTEyZjkwYjIifQ=="/>
  </w:docVars>
  <w:rsids>
    <w:rsidRoot w:val="577A25DF"/>
    <w:rsid w:val="00077F1F"/>
    <w:rsid w:val="000B152C"/>
    <w:rsid w:val="002E12ED"/>
    <w:rsid w:val="003A0206"/>
    <w:rsid w:val="00470160"/>
    <w:rsid w:val="00572873"/>
    <w:rsid w:val="00701D1C"/>
    <w:rsid w:val="007715AD"/>
    <w:rsid w:val="0081732B"/>
    <w:rsid w:val="00951A64"/>
    <w:rsid w:val="00956D9E"/>
    <w:rsid w:val="00A41BFE"/>
    <w:rsid w:val="00BC1262"/>
    <w:rsid w:val="00CA19D5"/>
    <w:rsid w:val="00D531B6"/>
    <w:rsid w:val="00D579D6"/>
    <w:rsid w:val="00D6414A"/>
    <w:rsid w:val="00E37118"/>
    <w:rsid w:val="00EA2D3D"/>
    <w:rsid w:val="00EE0463"/>
    <w:rsid w:val="00F05C48"/>
    <w:rsid w:val="00F41F2A"/>
    <w:rsid w:val="03B126FA"/>
    <w:rsid w:val="040B0E2B"/>
    <w:rsid w:val="04A16E37"/>
    <w:rsid w:val="04AE404F"/>
    <w:rsid w:val="075B1455"/>
    <w:rsid w:val="07F8733B"/>
    <w:rsid w:val="087C3893"/>
    <w:rsid w:val="09841C99"/>
    <w:rsid w:val="0C6F7B97"/>
    <w:rsid w:val="0E982599"/>
    <w:rsid w:val="0F604DDC"/>
    <w:rsid w:val="0FD5275C"/>
    <w:rsid w:val="12BF6E0E"/>
    <w:rsid w:val="13BE1D92"/>
    <w:rsid w:val="1CCC2A5F"/>
    <w:rsid w:val="1DF00582"/>
    <w:rsid w:val="1F0B4909"/>
    <w:rsid w:val="23122806"/>
    <w:rsid w:val="236F0129"/>
    <w:rsid w:val="246D23AC"/>
    <w:rsid w:val="25A51345"/>
    <w:rsid w:val="25A61501"/>
    <w:rsid w:val="2BC34F75"/>
    <w:rsid w:val="2DD461B9"/>
    <w:rsid w:val="30121E36"/>
    <w:rsid w:val="3284589B"/>
    <w:rsid w:val="33C44425"/>
    <w:rsid w:val="36E573E7"/>
    <w:rsid w:val="395D0CA5"/>
    <w:rsid w:val="3DB128A2"/>
    <w:rsid w:val="3E230966"/>
    <w:rsid w:val="3EFF7924"/>
    <w:rsid w:val="3F5017C4"/>
    <w:rsid w:val="40A92971"/>
    <w:rsid w:val="41C521AA"/>
    <w:rsid w:val="424219C4"/>
    <w:rsid w:val="44977AA6"/>
    <w:rsid w:val="473D2820"/>
    <w:rsid w:val="47DD5546"/>
    <w:rsid w:val="48800429"/>
    <w:rsid w:val="494B0DE9"/>
    <w:rsid w:val="4D4A049D"/>
    <w:rsid w:val="4E5347E4"/>
    <w:rsid w:val="4F591FFC"/>
    <w:rsid w:val="5190353D"/>
    <w:rsid w:val="51C93424"/>
    <w:rsid w:val="52BC78D9"/>
    <w:rsid w:val="52D9593B"/>
    <w:rsid w:val="5513419D"/>
    <w:rsid w:val="558B7211"/>
    <w:rsid w:val="56BE6C7A"/>
    <w:rsid w:val="56E8737B"/>
    <w:rsid w:val="5751442E"/>
    <w:rsid w:val="577A25DF"/>
    <w:rsid w:val="57B719BC"/>
    <w:rsid w:val="58B75CC9"/>
    <w:rsid w:val="59592D2E"/>
    <w:rsid w:val="5AE634A3"/>
    <w:rsid w:val="5D321499"/>
    <w:rsid w:val="5D3A4B21"/>
    <w:rsid w:val="67775E86"/>
    <w:rsid w:val="688B753D"/>
    <w:rsid w:val="6D8D0BEE"/>
    <w:rsid w:val="72297178"/>
    <w:rsid w:val="73D547B7"/>
    <w:rsid w:val="79EC6FA0"/>
    <w:rsid w:val="7A704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A2CAE5-ECA4-4F08-A38C-5E19B238C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rFonts w:ascii="Times New Roman" w:eastAsia="宋体" w:hAnsi="Times New Roman" w:cs="Times New Roman"/>
      <w:kern w:val="2"/>
      <w:sz w:val="18"/>
      <w:szCs w:val="18"/>
    </w:rPr>
  </w:style>
  <w:style w:type="character" w:customStyle="1" w:styleId="Char">
    <w:name w:val="页脚 Char"/>
    <w:basedOn w:val="a0"/>
    <w:link w:val="a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 Kay</dc:creator>
  <cp:lastModifiedBy>lenovo</cp:lastModifiedBy>
  <cp:revision>19</cp:revision>
  <dcterms:created xsi:type="dcterms:W3CDTF">2022-04-22T02:04:00Z</dcterms:created>
  <dcterms:modified xsi:type="dcterms:W3CDTF">2022-06-10T07:19:00Z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0B67DB29D6EB48E7A35A9A4A872B7C47</vt:lpwstr>
  </property>
  <property fmtid="{D5CDD505-2E9C-101B-9397-08002B2CF9AE}" pid="4" name="commondata">
    <vt:lpwstr>eyJoZGlkIjoiNmQzNDQwMjQ4YzdhYzllOWUwYWFiYWRhNGMwZWIzNGYifQ==</vt:lpwstr>
  </property>
</Properties>
</file>