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02BC7" w14:textId="77777777" w:rsidR="00E243E3" w:rsidRDefault="00E243E3">
      <w:pPr>
        <w:ind w:rightChars="-85" w:right="-178"/>
        <w:rPr>
          <w:rFonts w:ascii="??_GB2312" w:eastAsia="Times New Roman" w:cs="Times New Roman"/>
          <w:sz w:val="32"/>
          <w:szCs w:val="32"/>
        </w:rPr>
      </w:pPr>
    </w:p>
    <w:p w14:paraId="5F5C65F4" w14:textId="77777777" w:rsidR="00E243E3" w:rsidRDefault="00E243E3">
      <w:pPr>
        <w:ind w:rightChars="-85" w:right="-178"/>
        <w:jc w:val="center"/>
        <w:rPr>
          <w:rFonts w:ascii="??_GB2312" w:hAnsi="宋体" w:cs="Times New Roman"/>
          <w:b/>
          <w:bCs/>
          <w:sz w:val="44"/>
          <w:szCs w:val="44"/>
        </w:rPr>
      </w:pPr>
    </w:p>
    <w:p w14:paraId="76C03AB9" w14:textId="77777777" w:rsidR="00E243E3" w:rsidRDefault="00E243E3">
      <w:pPr>
        <w:ind w:rightChars="-85" w:right="-178"/>
        <w:jc w:val="center"/>
        <w:rPr>
          <w:rFonts w:ascii="??_GB2312" w:hAnsi="宋体" w:cs="Times New Roman"/>
          <w:b/>
          <w:bCs/>
          <w:sz w:val="44"/>
          <w:szCs w:val="44"/>
        </w:rPr>
      </w:pPr>
    </w:p>
    <w:p w14:paraId="4799B96D" w14:textId="77777777" w:rsidR="00E243E3" w:rsidRDefault="00000000">
      <w:pPr>
        <w:jc w:val="center"/>
        <w:rPr>
          <w:rFonts w:ascii="宋体" w:cs="Times New Roman"/>
          <w:b/>
          <w:bCs/>
          <w:sz w:val="10"/>
          <w:szCs w:val="10"/>
        </w:rPr>
      </w:pPr>
      <w:r>
        <w:rPr>
          <w:rFonts w:ascii="宋体" w:hAnsi="宋体" w:cs="宋体" w:hint="eastAsia"/>
          <w:b/>
          <w:bCs/>
          <w:sz w:val="44"/>
          <w:szCs w:val="44"/>
        </w:rPr>
        <w:t>北京市财政支出项目绩效评价报告</w:t>
      </w:r>
    </w:p>
    <w:p w14:paraId="6F6B6BED" w14:textId="77777777" w:rsidR="00E243E3" w:rsidRDefault="00E243E3">
      <w:pPr>
        <w:jc w:val="center"/>
        <w:rPr>
          <w:rFonts w:ascii="宋体" w:cs="Times New Roman"/>
          <w:sz w:val="28"/>
          <w:szCs w:val="28"/>
        </w:rPr>
      </w:pPr>
    </w:p>
    <w:p w14:paraId="0718616E" w14:textId="77777777" w:rsidR="00E243E3" w:rsidRDefault="00E243E3">
      <w:pPr>
        <w:jc w:val="center"/>
        <w:rPr>
          <w:rFonts w:ascii="宋体" w:cs="Times New Roman"/>
          <w:sz w:val="28"/>
          <w:szCs w:val="28"/>
        </w:rPr>
      </w:pPr>
    </w:p>
    <w:p w14:paraId="4D5E7607" w14:textId="77777777" w:rsidR="00E243E3" w:rsidRDefault="00E243E3">
      <w:pPr>
        <w:rPr>
          <w:rFonts w:eastAsia="黑体" w:cs="Times New Roman"/>
          <w:sz w:val="30"/>
          <w:szCs w:val="30"/>
        </w:rPr>
      </w:pPr>
    </w:p>
    <w:p w14:paraId="3BE2C5CE" w14:textId="77777777" w:rsidR="00E243E3" w:rsidRDefault="00E243E3">
      <w:pPr>
        <w:jc w:val="center"/>
        <w:rPr>
          <w:rFonts w:eastAsia="黑体" w:cs="Times New Roman"/>
          <w:sz w:val="30"/>
          <w:szCs w:val="30"/>
        </w:rPr>
      </w:pPr>
    </w:p>
    <w:p w14:paraId="05CB52D2" w14:textId="77777777" w:rsidR="00E243E3" w:rsidRDefault="00E243E3">
      <w:pPr>
        <w:jc w:val="center"/>
        <w:rPr>
          <w:rFonts w:eastAsia="黑体" w:cs="Times New Roman"/>
          <w:sz w:val="30"/>
          <w:szCs w:val="30"/>
        </w:rPr>
      </w:pPr>
    </w:p>
    <w:p w14:paraId="6434F3BD" w14:textId="77777777" w:rsidR="00E243E3" w:rsidRDefault="00E243E3">
      <w:pPr>
        <w:jc w:val="center"/>
        <w:rPr>
          <w:rFonts w:eastAsia="黑体" w:cs="Times New Roman"/>
          <w:sz w:val="30"/>
          <w:szCs w:val="30"/>
        </w:rPr>
      </w:pPr>
    </w:p>
    <w:p w14:paraId="5E77955D" w14:textId="77777777" w:rsidR="00E243E3" w:rsidRDefault="00E243E3">
      <w:pPr>
        <w:jc w:val="center"/>
        <w:rPr>
          <w:rFonts w:ascii="宋体" w:cs="Times New Roman"/>
          <w:sz w:val="32"/>
          <w:szCs w:val="32"/>
        </w:rPr>
      </w:pPr>
    </w:p>
    <w:p w14:paraId="2CAA0CB8" w14:textId="77777777" w:rsidR="00E243E3" w:rsidRDefault="00000000">
      <w:pPr>
        <w:rPr>
          <w:rFonts w:ascii="宋体" w:cs="Times New Roman"/>
          <w:sz w:val="32"/>
          <w:szCs w:val="32"/>
          <w:u w:val="single"/>
        </w:rPr>
      </w:pPr>
      <w:r>
        <w:rPr>
          <w:rFonts w:ascii="宋体" w:hAnsi="宋体" w:cs="宋体" w:hint="eastAsia"/>
          <w:sz w:val="32"/>
          <w:szCs w:val="32"/>
        </w:rPr>
        <w:t xml:space="preserve">主管部门 </w:t>
      </w:r>
      <w:r>
        <w:rPr>
          <w:rFonts w:ascii="宋体" w:hAnsi="宋体" w:cs="宋体"/>
          <w:sz w:val="32"/>
          <w:szCs w:val="32"/>
          <w:u w:val="single"/>
        </w:rPr>
        <w:t xml:space="preserve">             </w:t>
      </w:r>
      <w:r>
        <w:rPr>
          <w:rFonts w:ascii="宋体" w:hAnsi="宋体" w:cs="宋体" w:hint="eastAsia"/>
          <w:sz w:val="32"/>
          <w:szCs w:val="32"/>
          <w:u w:val="single"/>
        </w:rPr>
        <w:t xml:space="preserve">香山革命纪念馆  </w:t>
      </w:r>
      <w:r>
        <w:rPr>
          <w:rFonts w:ascii="宋体" w:hAnsi="宋体" w:cs="宋体"/>
          <w:sz w:val="32"/>
          <w:szCs w:val="32"/>
          <w:u w:val="single"/>
        </w:rPr>
        <w:t xml:space="preserve"> </w:t>
      </w:r>
      <w:r>
        <w:rPr>
          <w:rFonts w:ascii="宋体" w:hAnsi="宋体" w:cs="宋体" w:hint="eastAsia"/>
          <w:sz w:val="32"/>
          <w:szCs w:val="32"/>
          <w:u w:val="single"/>
        </w:rPr>
        <w:t xml:space="preserve"> </w:t>
      </w:r>
      <w:r>
        <w:rPr>
          <w:rFonts w:ascii="宋体" w:hAnsi="宋体" w:cs="宋体"/>
          <w:sz w:val="32"/>
          <w:szCs w:val="32"/>
          <w:u w:val="single"/>
        </w:rPr>
        <w:t xml:space="preserve"> </w:t>
      </w:r>
      <w:r>
        <w:rPr>
          <w:rFonts w:ascii="宋体" w:hAnsi="宋体" w:cs="宋体" w:hint="eastAsia"/>
          <w:sz w:val="32"/>
          <w:szCs w:val="32"/>
          <w:u w:val="single"/>
        </w:rPr>
        <w:t xml:space="preserve"> </w:t>
      </w:r>
      <w:r>
        <w:rPr>
          <w:rFonts w:ascii="宋体" w:hAnsi="宋体" w:cs="宋体"/>
          <w:sz w:val="32"/>
          <w:szCs w:val="32"/>
          <w:u w:val="single"/>
        </w:rPr>
        <w:t xml:space="preserve"> </w:t>
      </w:r>
      <w:r>
        <w:rPr>
          <w:rFonts w:ascii="宋体" w:hAnsi="宋体" w:cs="宋体" w:hint="eastAsia"/>
          <w:sz w:val="32"/>
          <w:szCs w:val="32"/>
          <w:u w:val="single"/>
        </w:rPr>
        <w:t xml:space="preserve"> </w:t>
      </w:r>
      <w:r>
        <w:rPr>
          <w:rFonts w:ascii="宋体" w:hAnsi="宋体" w:cs="宋体"/>
          <w:sz w:val="32"/>
          <w:szCs w:val="32"/>
          <w:u w:val="single"/>
        </w:rPr>
        <w:t xml:space="preserve">  </w:t>
      </w:r>
      <w:r>
        <w:rPr>
          <w:rFonts w:ascii="宋体" w:hAnsi="宋体" w:cs="宋体" w:hint="eastAsia"/>
          <w:sz w:val="32"/>
          <w:szCs w:val="32"/>
          <w:u w:val="single"/>
        </w:rPr>
        <w:t xml:space="preserve">   </w:t>
      </w:r>
      <w:r>
        <w:rPr>
          <w:rFonts w:ascii="宋体" w:hAnsi="宋体" w:cs="宋体"/>
          <w:sz w:val="32"/>
          <w:szCs w:val="32"/>
          <w:u w:val="single"/>
        </w:rPr>
        <w:t xml:space="preserve"> </w:t>
      </w:r>
    </w:p>
    <w:p w14:paraId="12B6B2F5" w14:textId="77777777" w:rsidR="00E243E3" w:rsidRDefault="00000000">
      <w:pPr>
        <w:rPr>
          <w:rFonts w:ascii="宋体" w:cs="Times New Roman"/>
          <w:sz w:val="32"/>
          <w:szCs w:val="32"/>
          <w:u w:val="single"/>
        </w:rPr>
      </w:pPr>
      <w:r>
        <w:rPr>
          <w:rFonts w:ascii="宋体" w:hAnsi="宋体" w:cs="宋体" w:hint="eastAsia"/>
          <w:sz w:val="32"/>
          <w:szCs w:val="32"/>
        </w:rPr>
        <w:t xml:space="preserve">项目单位 </w:t>
      </w:r>
      <w:r>
        <w:rPr>
          <w:rFonts w:ascii="宋体" w:hAnsi="宋体" w:cs="宋体"/>
          <w:sz w:val="32"/>
          <w:szCs w:val="32"/>
          <w:u w:val="single"/>
        </w:rPr>
        <w:t xml:space="preserve">             </w:t>
      </w:r>
      <w:r>
        <w:rPr>
          <w:rFonts w:ascii="宋体" w:hAnsi="宋体" w:cs="宋体" w:hint="eastAsia"/>
          <w:sz w:val="32"/>
          <w:szCs w:val="32"/>
          <w:u w:val="single"/>
        </w:rPr>
        <w:t xml:space="preserve">香山革命纪念馆  </w:t>
      </w:r>
      <w:r>
        <w:rPr>
          <w:rFonts w:ascii="宋体" w:hAnsi="宋体" w:cs="宋体"/>
          <w:sz w:val="32"/>
          <w:szCs w:val="32"/>
          <w:u w:val="single"/>
        </w:rPr>
        <w:t xml:space="preserve"> </w:t>
      </w:r>
      <w:r>
        <w:rPr>
          <w:rFonts w:ascii="宋体" w:hAnsi="宋体" w:cs="宋体" w:hint="eastAsia"/>
          <w:sz w:val="32"/>
          <w:szCs w:val="32"/>
          <w:u w:val="single"/>
        </w:rPr>
        <w:t xml:space="preserve"> </w:t>
      </w:r>
      <w:r>
        <w:rPr>
          <w:rFonts w:ascii="宋体" w:hAnsi="宋体" w:cs="宋体"/>
          <w:sz w:val="32"/>
          <w:szCs w:val="32"/>
          <w:u w:val="single"/>
        </w:rPr>
        <w:t xml:space="preserve"> </w:t>
      </w:r>
      <w:r>
        <w:rPr>
          <w:rFonts w:ascii="宋体" w:hAnsi="宋体" w:cs="宋体" w:hint="eastAsia"/>
          <w:sz w:val="32"/>
          <w:szCs w:val="32"/>
          <w:u w:val="single"/>
        </w:rPr>
        <w:t xml:space="preserve"> </w:t>
      </w:r>
      <w:r>
        <w:rPr>
          <w:rFonts w:ascii="宋体" w:hAnsi="宋体" w:cs="宋体"/>
          <w:sz w:val="32"/>
          <w:szCs w:val="32"/>
          <w:u w:val="single"/>
        </w:rPr>
        <w:t xml:space="preserve"> </w:t>
      </w:r>
      <w:r>
        <w:rPr>
          <w:rFonts w:ascii="宋体" w:hAnsi="宋体" w:cs="宋体" w:hint="eastAsia"/>
          <w:sz w:val="32"/>
          <w:szCs w:val="32"/>
          <w:u w:val="single"/>
        </w:rPr>
        <w:t xml:space="preserve"> </w:t>
      </w:r>
      <w:r>
        <w:rPr>
          <w:rFonts w:ascii="宋体" w:hAnsi="宋体" w:cs="宋体"/>
          <w:sz w:val="32"/>
          <w:szCs w:val="32"/>
          <w:u w:val="single"/>
        </w:rPr>
        <w:t xml:space="preserve">  </w:t>
      </w:r>
      <w:r>
        <w:rPr>
          <w:rFonts w:ascii="宋体" w:hAnsi="宋体" w:cs="宋体" w:hint="eastAsia"/>
          <w:sz w:val="32"/>
          <w:szCs w:val="32"/>
          <w:u w:val="single"/>
        </w:rPr>
        <w:t xml:space="preserve">   </w:t>
      </w:r>
      <w:r>
        <w:rPr>
          <w:rFonts w:ascii="宋体" w:hAnsi="宋体" w:cs="宋体"/>
          <w:sz w:val="32"/>
          <w:szCs w:val="32"/>
          <w:u w:val="single"/>
        </w:rPr>
        <w:t xml:space="preserve"> </w:t>
      </w:r>
    </w:p>
    <w:p w14:paraId="05FC18C1" w14:textId="77777777" w:rsidR="00E243E3" w:rsidRDefault="00000000">
      <w:pPr>
        <w:rPr>
          <w:rFonts w:ascii="宋体" w:cs="Times New Roman"/>
          <w:sz w:val="32"/>
          <w:szCs w:val="32"/>
          <w:u w:val="single"/>
        </w:rPr>
      </w:pPr>
      <w:r>
        <w:rPr>
          <w:rFonts w:ascii="宋体" w:hAnsi="宋体" w:cs="宋体" w:hint="eastAsia"/>
          <w:sz w:val="32"/>
          <w:szCs w:val="32"/>
        </w:rPr>
        <w:t xml:space="preserve">项目名称 </w:t>
      </w:r>
      <w:r>
        <w:rPr>
          <w:rFonts w:ascii="宋体" w:hAnsi="宋体" w:cs="宋体"/>
          <w:sz w:val="32"/>
          <w:szCs w:val="32"/>
          <w:u w:val="single"/>
        </w:rPr>
        <w:t xml:space="preserve">  </w:t>
      </w:r>
      <w:r>
        <w:rPr>
          <w:rFonts w:ascii="宋体" w:hAnsi="宋体" w:cs="宋体" w:hint="eastAsia"/>
          <w:sz w:val="32"/>
          <w:szCs w:val="32"/>
          <w:u w:val="single"/>
        </w:rPr>
        <w:t>2021年香山革命纪念馆文物征集及复仿制项目</w:t>
      </w:r>
    </w:p>
    <w:p w14:paraId="334E5CFC" w14:textId="77777777" w:rsidR="00E243E3" w:rsidRDefault="00000000">
      <w:pPr>
        <w:rPr>
          <w:rFonts w:eastAsia="黑体" w:cs="Times New Roman"/>
          <w:sz w:val="30"/>
          <w:szCs w:val="30"/>
          <w:u w:val="single"/>
        </w:rPr>
      </w:pPr>
      <w:r>
        <w:rPr>
          <w:rFonts w:ascii="宋体" w:hAnsi="宋体" w:cs="宋体" w:hint="eastAsia"/>
          <w:sz w:val="32"/>
          <w:szCs w:val="32"/>
        </w:rPr>
        <w:t xml:space="preserve">评价机构 </w:t>
      </w:r>
      <w:r>
        <w:rPr>
          <w:rFonts w:ascii="宋体" w:hAnsi="宋体" w:cs="宋体"/>
          <w:sz w:val="32"/>
          <w:szCs w:val="32"/>
          <w:u w:val="single"/>
        </w:rPr>
        <w:t xml:space="preserve">     </w:t>
      </w:r>
      <w:r>
        <w:rPr>
          <w:rFonts w:ascii="宋体" w:hAnsi="宋体" w:cs="宋体" w:hint="eastAsia"/>
          <w:sz w:val="32"/>
          <w:szCs w:val="32"/>
          <w:u w:val="single"/>
        </w:rPr>
        <w:t>北京中玉天</w:t>
      </w:r>
      <w:proofErr w:type="gramStart"/>
      <w:r>
        <w:rPr>
          <w:rFonts w:ascii="宋体" w:hAnsi="宋体" w:cs="宋体" w:hint="eastAsia"/>
          <w:sz w:val="32"/>
          <w:szCs w:val="32"/>
          <w:u w:val="single"/>
        </w:rPr>
        <w:t>晟</w:t>
      </w:r>
      <w:proofErr w:type="gramEnd"/>
      <w:r>
        <w:rPr>
          <w:rFonts w:ascii="宋体" w:hAnsi="宋体" w:cs="宋体" w:hint="eastAsia"/>
          <w:sz w:val="32"/>
          <w:szCs w:val="32"/>
          <w:u w:val="single"/>
        </w:rPr>
        <w:t>会计师事务所有限公司</w:t>
      </w:r>
      <w:r>
        <w:rPr>
          <w:rFonts w:ascii="宋体" w:hAnsi="宋体" w:cs="宋体"/>
          <w:sz w:val="32"/>
          <w:szCs w:val="32"/>
          <w:u w:val="single"/>
        </w:rPr>
        <w:t xml:space="preserve">    </w:t>
      </w:r>
    </w:p>
    <w:p w14:paraId="60520437" w14:textId="77777777" w:rsidR="00E243E3" w:rsidRDefault="00E243E3">
      <w:pPr>
        <w:rPr>
          <w:rFonts w:eastAsia="黑体" w:cs="Times New Roman"/>
          <w:sz w:val="30"/>
          <w:szCs w:val="30"/>
          <w:u w:val="single"/>
        </w:rPr>
      </w:pPr>
    </w:p>
    <w:p w14:paraId="4578958F" w14:textId="77777777" w:rsidR="00E243E3" w:rsidRDefault="00E243E3">
      <w:pPr>
        <w:rPr>
          <w:rFonts w:eastAsia="黑体" w:cs="Times New Roman"/>
          <w:sz w:val="30"/>
          <w:szCs w:val="30"/>
          <w:u w:val="single"/>
        </w:rPr>
      </w:pPr>
    </w:p>
    <w:p w14:paraId="3E0E7826" w14:textId="77777777" w:rsidR="00E243E3" w:rsidRDefault="00E243E3">
      <w:pPr>
        <w:jc w:val="center"/>
        <w:rPr>
          <w:rFonts w:ascii="黑体" w:eastAsia="黑体" w:hAnsi="宋体" w:cs="Times New Roman"/>
          <w:b/>
          <w:bCs/>
          <w:sz w:val="36"/>
          <w:szCs w:val="36"/>
        </w:rPr>
      </w:pPr>
    </w:p>
    <w:p w14:paraId="4C24248B" w14:textId="77777777" w:rsidR="00E243E3" w:rsidRDefault="00000000">
      <w:pPr>
        <w:jc w:val="center"/>
        <w:rPr>
          <w:rFonts w:ascii="宋体" w:cs="Times New Roman"/>
          <w:b/>
          <w:bCs/>
          <w:sz w:val="44"/>
          <w:szCs w:val="44"/>
        </w:rPr>
      </w:pPr>
      <w:r>
        <w:rPr>
          <w:rFonts w:ascii="黑体" w:eastAsia="黑体" w:hAnsi="宋体" w:cs="黑体" w:hint="eastAsia"/>
          <w:b/>
          <w:bCs/>
          <w:sz w:val="36"/>
          <w:szCs w:val="36"/>
        </w:rPr>
        <w:t>二○二二年五月</w:t>
      </w:r>
    </w:p>
    <w:p w14:paraId="219AC110" w14:textId="77777777" w:rsidR="00E243E3" w:rsidRDefault="00E243E3">
      <w:pPr>
        <w:rPr>
          <w:rFonts w:cs="Times New Roman"/>
        </w:rPr>
      </w:pPr>
    </w:p>
    <w:p w14:paraId="48ED511D" w14:textId="77777777" w:rsidR="00E243E3" w:rsidRDefault="00E243E3">
      <w:pPr>
        <w:pStyle w:val="TOCHeading1"/>
        <w:jc w:val="center"/>
        <w:rPr>
          <w:rFonts w:ascii="宋体" w:eastAsia="宋体" w:hAnsi="宋体" w:cs="宋体"/>
          <w:b/>
          <w:bCs/>
          <w:color w:val="000000"/>
          <w:sz w:val="40"/>
          <w:szCs w:val="40"/>
          <w:lang w:val="zh-CN"/>
        </w:rPr>
      </w:pPr>
    </w:p>
    <w:p w14:paraId="534D9841" w14:textId="77777777" w:rsidR="00E243E3" w:rsidRDefault="00000000">
      <w:pPr>
        <w:pStyle w:val="TOCHeading1"/>
        <w:jc w:val="center"/>
        <w:rPr>
          <w:rFonts w:ascii="宋体" w:eastAsia="宋体" w:hAnsi="宋体" w:cs="Times New Roman"/>
          <w:b/>
          <w:bCs/>
          <w:color w:val="000000"/>
          <w:sz w:val="40"/>
          <w:szCs w:val="40"/>
        </w:rPr>
      </w:pPr>
      <w:r>
        <w:rPr>
          <w:rFonts w:ascii="宋体" w:eastAsia="宋体" w:hAnsi="宋体" w:cs="宋体" w:hint="eastAsia"/>
          <w:b/>
          <w:bCs/>
          <w:color w:val="000000"/>
          <w:sz w:val="40"/>
          <w:szCs w:val="40"/>
          <w:lang w:val="zh-CN"/>
        </w:rPr>
        <w:t>目录</w:t>
      </w:r>
    </w:p>
    <w:p w14:paraId="62D6E3D5" w14:textId="77777777" w:rsidR="00E243E3" w:rsidRDefault="00E243E3">
      <w:pPr>
        <w:pStyle w:val="TOC1"/>
        <w:tabs>
          <w:tab w:val="clear" w:pos="8296"/>
          <w:tab w:val="right" w:leader="dot" w:pos="8306"/>
        </w:tabs>
        <w:rPr>
          <w:sz w:val="24"/>
          <w:szCs w:val="24"/>
        </w:rPr>
      </w:pPr>
    </w:p>
    <w:p w14:paraId="68EF43A2" w14:textId="77777777" w:rsidR="00E243E3" w:rsidRDefault="00000000">
      <w:pPr>
        <w:pStyle w:val="TOC1"/>
        <w:tabs>
          <w:tab w:val="clear" w:pos="8296"/>
          <w:tab w:val="right" w:leader="dot" w:pos="8306"/>
        </w:tabs>
        <w:rPr>
          <w:sz w:val="24"/>
          <w:szCs w:val="24"/>
        </w:rPr>
      </w:pPr>
      <w:r>
        <w:rPr>
          <w:rFonts w:hint="eastAsia"/>
          <w:sz w:val="24"/>
          <w:szCs w:val="24"/>
        </w:rPr>
        <w:fldChar w:fldCharType="begin"/>
      </w:r>
      <w:r>
        <w:rPr>
          <w:rFonts w:hint="eastAsia"/>
          <w:sz w:val="24"/>
          <w:szCs w:val="24"/>
        </w:rPr>
        <w:instrText xml:space="preserve"> TOC \o "1-3" \h \z \u </w:instrText>
      </w:r>
      <w:r>
        <w:rPr>
          <w:rFonts w:hint="eastAsia"/>
          <w:sz w:val="24"/>
          <w:szCs w:val="24"/>
        </w:rPr>
        <w:fldChar w:fldCharType="separate"/>
      </w:r>
      <w:hyperlink w:anchor="_Toc2576" w:history="1">
        <w:r>
          <w:rPr>
            <w:rFonts w:hint="eastAsia"/>
            <w:bCs w:val="0"/>
            <w:snapToGrid w:val="0"/>
            <w:sz w:val="24"/>
            <w:szCs w:val="24"/>
          </w:rPr>
          <w:t>一、基本情况</w:t>
        </w:r>
        <w:r>
          <w:rPr>
            <w:rFonts w:hint="eastAsia"/>
            <w:sz w:val="24"/>
            <w:szCs w:val="24"/>
          </w:rPr>
          <w:tab/>
        </w:r>
        <w:r>
          <w:rPr>
            <w:rFonts w:hint="eastAsia"/>
            <w:sz w:val="24"/>
            <w:szCs w:val="24"/>
          </w:rPr>
          <w:fldChar w:fldCharType="begin"/>
        </w:r>
        <w:r>
          <w:rPr>
            <w:rFonts w:hint="eastAsia"/>
            <w:sz w:val="24"/>
            <w:szCs w:val="24"/>
          </w:rPr>
          <w:instrText xml:space="preserve"> PAGEREF _Toc2576 \h </w:instrText>
        </w:r>
        <w:r>
          <w:rPr>
            <w:rFonts w:hint="eastAsia"/>
            <w:sz w:val="24"/>
            <w:szCs w:val="24"/>
          </w:rPr>
        </w:r>
        <w:r>
          <w:rPr>
            <w:rFonts w:hint="eastAsia"/>
            <w:sz w:val="24"/>
            <w:szCs w:val="24"/>
          </w:rPr>
          <w:fldChar w:fldCharType="separate"/>
        </w:r>
        <w:r>
          <w:rPr>
            <w:rFonts w:hint="eastAsia"/>
            <w:sz w:val="24"/>
            <w:szCs w:val="24"/>
          </w:rPr>
          <w:t>1</w:t>
        </w:r>
        <w:r>
          <w:rPr>
            <w:rFonts w:hint="eastAsia"/>
            <w:sz w:val="24"/>
            <w:szCs w:val="24"/>
          </w:rPr>
          <w:fldChar w:fldCharType="end"/>
        </w:r>
      </w:hyperlink>
    </w:p>
    <w:p w14:paraId="3E029536" w14:textId="77777777" w:rsidR="00E243E3" w:rsidRDefault="00000000">
      <w:pPr>
        <w:pStyle w:val="TOC2"/>
        <w:tabs>
          <w:tab w:val="right" w:leader="dot" w:pos="8306"/>
        </w:tabs>
        <w:rPr>
          <w:rFonts w:ascii="宋体" w:eastAsia="宋体" w:hAnsi="宋体" w:cs="宋体"/>
          <w:sz w:val="24"/>
          <w:szCs w:val="24"/>
        </w:rPr>
      </w:pPr>
      <w:hyperlink w:anchor="_Toc25156" w:history="1">
        <w:r>
          <w:rPr>
            <w:rFonts w:ascii="宋体" w:eastAsia="宋体" w:hAnsi="宋体" w:cs="宋体" w:hint="eastAsia"/>
            <w:kern w:val="44"/>
            <w:sz w:val="24"/>
            <w:szCs w:val="24"/>
          </w:rPr>
          <w:t>（一）项目概况</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_Toc25156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1</w:t>
        </w:r>
        <w:r>
          <w:rPr>
            <w:rFonts w:ascii="宋体" w:eastAsia="宋体" w:hAnsi="宋体" w:cs="宋体" w:hint="eastAsia"/>
            <w:sz w:val="24"/>
            <w:szCs w:val="24"/>
          </w:rPr>
          <w:fldChar w:fldCharType="end"/>
        </w:r>
      </w:hyperlink>
    </w:p>
    <w:p w14:paraId="04232006" w14:textId="77777777" w:rsidR="00E243E3" w:rsidRDefault="00000000">
      <w:pPr>
        <w:pStyle w:val="TOC2"/>
        <w:tabs>
          <w:tab w:val="right" w:leader="dot" w:pos="8306"/>
        </w:tabs>
        <w:rPr>
          <w:rFonts w:ascii="宋体" w:eastAsia="宋体" w:hAnsi="宋体" w:cs="宋体"/>
          <w:sz w:val="24"/>
          <w:szCs w:val="24"/>
        </w:rPr>
      </w:pPr>
      <w:hyperlink w:anchor="_Toc23393" w:history="1">
        <w:r>
          <w:rPr>
            <w:rFonts w:ascii="宋体" w:eastAsia="宋体" w:hAnsi="宋体" w:cs="宋体" w:hint="eastAsia"/>
            <w:kern w:val="44"/>
            <w:sz w:val="24"/>
            <w:szCs w:val="24"/>
          </w:rPr>
          <w:t>（二）项目资金情况</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_Toc23393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3</w:t>
        </w:r>
        <w:r>
          <w:rPr>
            <w:rFonts w:ascii="宋体" w:eastAsia="宋体" w:hAnsi="宋体" w:cs="宋体" w:hint="eastAsia"/>
            <w:sz w:val="24"/>
            <w:szCs w:val="24"/>
          </w:rPr>
          <w:fldChar w:fldCharType="end"/>
        </w:r>
      </w:hyperlink>
    </w:p>
    <w:p w14:paraId="52902CC4" w14:textId="77777777" w:rsidR="00E243E3" w:rsidRDefault="00000000">
      <w:pPr>
        <w:pStyle w:val="TOC2"/>
        <w:tabs>
          <w:tab w:val="right" w:leader="dot" w:pos="8306"/>
        </w:tabs>
        <w:rPr>
          <w:rFonts w:ascii="宋体" w:eastAsia="宋体" w:hAnsi="宋体" w:cs="宋体"/>
          <w:sz w:val="24"/>
          <w:szCs w:val="24"/>
        </w:rPr>
      </w:pPr>
      <w:hyperlink w:anchor="_Toc17168" w:history="1">
        <w:r>
          <w:rPr>
            <w:rFonts w:ascii="宋体" w:eastAsia="宋体" w:hAnsi="宋体" w:cs="宋体" w:hint="eastAsia"/>
            <w:kern w:val="44"/>
            <w:sz w:val="24"/>
            <w:szCs w:val="24"/>
          </w:rPr>
          <w:t>（三）项目绩效目标</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_Toc17168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4</w:t>
        </w:r>
        <w:r>
          <w:rPr>
            <w:rFonts w:ascii="宋体" w:eastAsia="宋体" w:hAnsi="宋体" w:cs="宋体" w:hint="eastAsia"/>
            <w:sz w:val="24"/>
            <w:szCs w:val="24"/>
          </w:rPr>
          <w:fldChar w:fldCharType="end"/>
        </w:r>
      </w:hyperlink>
    </w:p>
    <w:p w14:paraId="001249F4" w14:textId="77777777" w:rsidR="00E243E3" w:rsidRDefault="00000000">
      <w:pPr>
        <w:pStyle w:val="TOC1"/>
        <w:tabs>
          <w:tab w:val="clear" w:pos="8296"/>
          <w:tab w:val="right" w:leader="dot" w:pos="8306"/>
        </w:tabs>
        <w:rPr>
          <w:sz w:val="24"/>
          <w:szCs w:val="24"/>
        </w:rPr>
      </w:pPr>
      <w:hyperlink w:anchor="_Toc19039" w:history="1">
        <w:r>
          <w:rPr>
            <w:rFonts w:hint="eastAsia"/>
            <w:bCs w:val="0"/>
            <w:snapToGrid w:val="0"/>
            <w:sz w:val="24"/>
            <w:szCs w:val="24"/>
          </w:rPr>
          <w:t>二、绩效评价工作开展情况</w:t>
        </w:r>
        <w:r>
          <w:rPr>
            <w:rFonts w:hint="eastAsia"/>
            <w:sz w:val="24"/>
            <w:szCs w:val="24"/>
          </w:rPr>
          <w:tab/>
        </w:r>
        <w:r>
          <w:rPr>
            <w:rFonts w:hint="eastAsia"/>
            <w:sz w:val="24"/>
            <w:szCs w:val="24"/>
          </w:rPr>
          <w:fldChar w:fldCharType="begin"/>
        </w:r>
        <w:r>
          <w:rPr>
            <w:rFonts w:hint="eastAsia"/>
            <w:sz w:val="24"/>
            <w:szCs w:val="24"/>
          </w:rPr>
          <w:instrText xml:space="preserve"> PAGEREF _Toc19039 \h </w:instrText>
        </w:r>
        <w:r>
          <w:rPr>
            <w:rFonts w:hint="eastAsia"/>
            <w:sz w:val="24"/>
            <w:szCs w:val="24"/>
          </w:rPr>
        </w:r>
        <w:r>
          <w:rPr>
            <w:rFonts w:hint="eastAsia"/>
            <w:sz w:val="24"/>
            <w:szCs w:val="24"/>
          </w:rPr>
          <w:fldChar w:fldCharType="separate"/>
        </w:r>
        <w:r>
          <w:rPr>
            <w:rFonts w:hint="eastAsia"/>
            <w:sz w:val="24"/>
            <w:szCs w:val="24"/>
          </w:rPr>
          <w:t>4</w:t>
        </w:r>
        <w:r>
          <w:rPr>
            <w:rFonts w:hint="eastAsia"/>
            <w:sz w:val="24"/>
            <w:szCs w:val="24"/>
          </w:rPr>
          <w:fldChar w:fldCharType="end"/>
        </w:r>
      </w:hyperlink>
    </w:p>
    <w:p w14:paraId="58ABB496" w14:textId="77777777" w:rsidR="00E243E3" w:rsidRDefault="00000000">
      <w:pPr>
        <w:pStyle w:val="TOC2"/>
        <w:tabs>
          <w:tab w:val="right" w:leader="dot" w:pos="8306"/>
        </w:tabs>
        <w:rPr>
          <w:rFonts w:ascii="宋体" w:eastAsia="宋体" w:hAnsi="宋体" w:cs="宋体"/>
          <w:sz w:val="24"/>
          <w:szCs w:val="24"/>
        </w:rPr>
      </w:pPr>
      <w:hyperlink w:anchor="_Toc4882" w:history="1">
        <w:r>
          <w:rPr>
            <w:rFonts w:ascii="宋体" w:eastAsia="宋体" w:hAnsi="宋体" w:cs="宋体" w:hint="eastAsia"/>
            <w:sz w:val="24"/>
            <w:szCs w:val="24"/>
          </w:rPr>
          <w:t>（一）绩效评价目的、对象和范围</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_Toc4882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4</w:t>
        </w:r>
        <w:r>
          <w:rPr>
            <w:rFonts w:ascii="宋体" w:eastAsia="宋体" w:hAnsi="宋体" w:cs="宋体" w:hint="eastAsia"/>
            <w:sz w:val="24"/>
            <w:szCs w:val="24"/>
          </w:rPr>
          <w:fldChar w:fldCharType="end"/>
        </w:r>
      </w:hyperlink>
    </w:p>
    <w:p w14:paraId="4E3BB902" w14:textId="77777777" w:rsidR="00E243E3" w:rsidRDefault="00000000">
      <w:pPr>
        <w:pStyle w:val="TOC2"/>
        <w:tabs>
          <w:tab w:val="right" w:leader="dot" w:pos="8306"/>
        </w:tabs>
        <w:rPr>
          <w:rFonts w:ascii="宋体" w:eastAsia="宋体" w:hAnsi="宋体" w:cs="宋体"/>
          <w:sz w:val="24"/>
          <w:szCs w:val="24"/>
        </w:rPr>
      </w:pPr>
      <w:r>
        <w:rPr>
          <w:rFonts w:ascii="宋体" w:eastAsia="宋体" w:hAnsi="宋体" w:cs="宋体" w:hint="eastAsia"/>
          <w:sz w:val="24"/>
          <w:szCs w:val="24"/>
        </w:rPr>
        <w:t>（二）绩效评价原则、评价指标体系...................................4</w:t>
      </w:r>
    </w:p>
    <w:p w14:paraId="64355306" w14:textId="77777777" w:rsidR="00E243E3" w:rsidRDefault="00000000">
      <w:pPr>
        <w:pStyle w:val="TOC2"/>
        <w:tabs>
          <w:tab w:val="right" w:leader="dot" w:pos="8306"/>
        </w:tabs>
        <w:rPr>
          <w:rFonts w:ascii="宋体" w:eastAsia="宋体" w:hAnsi="宋体" w:cs="宋体"/>
          <w:sz w:val="24"/>
          <w:szCs w:val="24"/>
        </w:rPr>
      </w:pPr>
      <w:hyperlink w:anchor="_Toc4104" w:history="1">
        <w:r>
          <w:rPr>
            <w:rFonts w:ascii="宋体" w:eastAsia="宋体" w:hAnsi="宋体" w:cs="宋体" w:hint="eastAsia"/>
            <w:sz w:val="24"/>
            <w:szCs w:val="24"/>
          </w:rPr>
          <w:t>（二）绩效评价工作过程</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_Toc4104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5</w:t>
        </w:r>
        <w:r>
          <w:rPr>
            <w:rFonts w:ascii="宋体" w:eastAsia="宋体" w:hAnsi="宋体" w:cs="宋体" w:hint="eastAsia"/>
            <w:sz w:val="24"/>
            <w:szCs w:val="24"/>
          </w:rPr>
          <w:fldChar w:fldCharType="end"/>
        </w:r>
      </w:hyperlink>
    </w:p>
    <w:p w14:paraId="6CBEEA17" w14:textId="77777777" w:rsidR="00E243E3" w:rsidRDefault="00000000">
      <w:pPr>
        <w:pStyle w:val="TOC1"/>
        <w:tabs>
          <w:tab w:val="clear" w:pos="8296"/>
          <w:tab w:val="right" w:leader="dot" w:pos="8306"/>
        </w:tabs>
        <w:rPr>
          <w:sz w:val="24"/>
          <w:szCs w:val="24"/>
        </w:rPr>
      </w:pPr>
      <w:hyperlink w:anchor="_Toc31527" w:history="1">
        <w:r>
          <w:rPr>
            <w:rFonts w:hint="eastAsia"/>
            <w:bCs w:val="0"/>
            <w:snapToGrid w:val="0"/>
            <w:sz w:val="24"/>
            <w:szCs w:val="24"/>
          </w:rPr>
          <w:t>三、综合评价情况及评价结论</w:t>
        </w:r>
        <w:r>
          <w:rPr>
            <w:rFonts w:hint="eastAsia"/>
            <w:sz w:val="24"/>
            <w:szCs w:val="24"/>
          </w:rPr>
          <w:tab/>
        </w:r>
        <w:r>
          <w:rPr>
            <w:rFonts w:hint="eastAsia"/>
            <w:sz w:val="24"/>
            <w:szCs w:val="24"/>
          </w:rPr>
          <w:fldChar w:fldCharType="begin"/>
        </w:r>
        <w:r>
          <w:rPr>
            <w:rFonts w:hint="eastAsia"/>
            <w:sz w:val="24"/>
            <w:szCs w:val="24"/>
          </w:rPr>
          <w:instrText xml:space="preserve"> PAGEREF _Toc31527 \h </w:instrText>
        </w:r>
        <w:r>
          <w:rPr>
            <w:rFonts w:hint="eastAsia"/>
            <w:sz w:val="24"/>
            <w:szCs w:val="24"/>
          </w:rPr>
        </w:r>
        <w:r>
          <w:rPr>
            <w:rFonts w:hint="eastAsia"/>
            <w:sz w:val="24"/>
            <w:szCs w:val="24"/>
          </w:rPr>
          <w:fldChar w:fldCharType="separate"/>
        </w:r>
        <w:r>
          <w:rPr>
            <w:rFonts w:hint="eastAsia"/>
            <w:sz w:val="24"/>
            <w:szCs w:val="24"/>
          </w:rPr>
          <w:t>7</w:t>
        </w:r>
        <w:r>
          <w:rPr>
            <w:rFonts w:hint="eastAsia"/>
            <w:sz w:val="24"/>
            <w:szCs w:val="24"/>
          </w:rPr>
          <w:fldChar w:fldCharType="end"/>
        </w:r>
      </w:hyperlink>
    </w:p>
    <w:p w14:paraId="7327572F" w14:textId="77777777" w:rsidR="00E243E3" w:rsidRDefault="00000000">
      <w:pPr>
        <w:pStyle w:val="TOC1"/>
        <w:tabs>
          <w:tab w:val="clear" w:pos="8296"/>
          <w:tab w:val="right" w:leader="dot" w:pos="8306"/>
        </w:tabs>
        <w:rPr>
          <w:sz w:val="24"/>
          <w:szCs w:val="24"/>
        </w:rPr>
      </w:pPr>
      <w:hyperlink w:anchor="_Toc7737" w:history="1">
        <w:r>
          <w:rPr>
            <w:rFonts w:hint="eastAsia"/>
            <w:bCs w:val="0"/>
            <w:snapToGrid w:val="0"/>
            <w:sz w:val="24"/>
            <w:szCs w:val="24"/>
          </w:rPr>
          <w:t>四、绩效评价指标分析</w:t>
        </w:r>
        <w:r>
          <w:rPr>
            <w:rFonts w:hint="eastAsia"/>
            <w:sz w:val="24"/>
            <w:szCs w:val="24"/>
          </w:rPr>
          <w:tab/>
        </w:r>
        <w:r>
          <w:rPr>
            <w:rFonts w:hint="eastAsia"/>
            <w:sz w:val="24"/>
            <w:szCs w:val="24"/>
          </w:rPr>
          <w:fldChar w:fldCharType="begin"/>
        </w:r>
        <w:r>
          <w:rPr>
            <w:rFonts w:hint="eastAsia"/>
            <w:sz w:val="24"/>
            <w:szCs w:val="24"/>
          </w:rPr>
          <w:instrText xml:space="preserve"> PAGEREF _Toc7737 \h </w:instrText>
        </w:r>
        <w:r>
          <w:rPr>
            <w:rFonts w:hint="eastAsia"/>
            <w:sz w:val="24"/>
            <w:szCs w:val="24"/>
          </w:rPr>
        </w:r>
        <w:r>
          <w:rPr>
            <w:rFonts w:hint="eastAsia"/>
            <w:sz w:val="24"/>
            <w:szCs w:val="24"/>
          </w:rPr>
          <w:fldChar w:fldCharType="separate"/>
        </w:r>
        <w:r>
          <w:rPr>
            <w:rFonts w:hint="eastAsia"/>
            <w:sz w:val="24"/>
            <w:szCs w:val="24"/>
          </w:rPr>
          <w:t>8</w:t>
        </w:r>
        <w:r>
          <w:rPr>
            <w:rFonts w:hint="eastAsia"/>
            <w:sz w:val="24"/>
            <w:szCs w:val="24"/>
          </w:rPr>
          <w:fldChar w:fldCharType="end"/>
        </w:r>
      </w:hyperlink>
    </w:p>
    <w:p w14:paraId="47489664" w14:textId="77777777" w:rsidR="00E243E3" w:rsidRDefault="00000000">
      <w:pPr>
        <w:pStyle w:val="TOC2"/>
        <w:tabs>
          <w:tab w:val="right" w:leader="dot" w:pos="8306"/>
        </w:tabs>
        <w:rPr>
          <w:rFonts w:ascii="宋体" w:eastAsia="宋体" w:hAnsi="宋体" w:cs="宋体"/>
          <w:sz w:val="24"/>
          <w:szCs w:val="24"/>
        </w:rPr>
      </w:pPr>
      <w:hyperlink w:anchor="_Toc10339" w:history="1">
        <w:r>
          <w:rPr>
            <w:rFonts w:ascii="宋体" w:eastAsia="宋体" w:hAnsi="宋体" w:cs="宋体" w:hint="eastAsia"/>
            <w:kern w:val="44"/>
            <w:sz w:val="24"/>
            <w:szCs w:val="24"/>
          </w:rPr>
          <w:t>（一）项目决策情况</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_Toc10339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8</w:t>
        </w:r>
        <w:r>
          <w:rPr>
            <w:rFonts w:ascii="宋体" w:eastAsia="宋体" w:hAnsi="宋体" w:cs="宋体" w:hint="eastAsia"/>
            <w:sz w:val="24"/>
            <w:szCs w:val="24"/>
          </w:rPr>
          <w:fldChar w:fldCharType="end"/>
        </w:r>
      </w:hyperlink>
    </w:p>
    <w:p w14:paraId="46BE5EF5" w14:textId="77777777" w:rsidR="00E243E3" w:rsidRDefault="00000000">
      <w:pPr>
        <w:pStyle w:val="TOC2"/>
        <w:tabs>
          <w:tab w:val="right" w:leader="dot" w:pos="8306"/>
        </w:tabs>
        <w:rPr>
          <w:rFonts w:ascii="宋体" w:eastAsia="宋体" w:hAnsi="宋体" w:cs="宋体"/>
          <w:sz w:val="24"/>
          <w:szCs w:val="24"/>
        </w:rPr>
      </w:pPr>
      <w:hyperlink w:anchor="_Toc3512" w:history="1">
        <w:r>
          <w:rPr>
            <w:rFonts w:ascii="宋体" w:eastAsia="宋体" w:hAnsi="宋体" w:cs="宋体" w:hint="eastAsia"/>
            <w:kern w:val="44"/>
            <w:sz w:val="24"/>
            <w:szCs w:val="24"/>
          </w:rPr>
          <w:t>（二）项目过程管理</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_Toc3512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9</w:t>
        </w:r>
        <w:r>
          <w:rPr>
            <w:rFonts w:ascii="宋体" w:eastAsia="宋体" w:hAnsi="宋体" w:cs="宋体" w:hint="eastAsia"/>
            <w:sz w:val="24"/>
            <w:szCs w:val="24"/>
          </w:rPr>
          <w:fldChar w:fldCharType="end"/>
        </w:r>
      </w:hyperlink>
    </w:p>
    <w:p w14:paraId="104DB4AC" w14:textId="77777777" w:rsidR="00E243E3" w:rsidRDefault="00000000">
      <w:pPr>
        <w:pStyle w:val="TOC2"/>
        <w:tabs>
          <w:tab w:val="right" w:leader="dot" w:pos="8306"/>
        </w:tabs>
        <w:rPr>
          <w:rFonts w:ascii="宋体" w:eastAsia="宋体" w:hAnsi="宋体" w:cs="宋体"/>
          <w:sz w:val="24"/>
          <w:szCs w:val="24"/>
        </w:rPr>
      </w:pPr>
      <w:hyperlink w:anchor="_Toc30831" w:history="1">
        <w:r>
          <w:rPr>
            <w:rFonts w:ascii="宋体" w:eastAsia="宋体" w:hAnsi="宋体" w:cs="宋体" w:hint="eastAsia"/>
            <w:kern w:val="44"/>
            <w:sz w:val="24"/>
            <w:szCs w:val="24"/>
          </w:rPr>
          <w:t>（三）项目产出情况</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_Toc30831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12</w:t>
        </w:r>
        <w:r>
          <w:rPr>
            <w:rFonts w:ascii="宋体" w:eastAsia="宋体" w:hAnsi="宋体" w:cs="宋体" w:hint="eastAsia"/>
            <w:sz w:val="24"/>
            <w:szCs w:val="24"/>
          </w:rPr>
          <w:fldChar w:fldCharType="end"/>
        </w:r>
      </w:hyperlink>
    </w:p>
    <w:p w14:paraId="1018F1E5" w14:textId="77777777" w:rsidR="00E243E3" w:rsidRDefault="00000000">
      <w:pPr>
        <w:pStyle w:val="TOC2"/>
        <w:tabs>
          <w:tab w:val="right" w:leader="dot" w:pos="8306"/>
        </w:tabs>
        <w:rPr>
          <w:rFonts w:ascii="宋体" w:eastAsia="宋体" w:hAnsi="宋体" w:cs="宋体"/>
          <w:sz w:val="24"/>
          <w:szCs w:val="24"/>
        </w:rPr>
      </w:pPr>
      <w:hyperlink w:anchor="_Toc13724" w:history="1">
        <w:r>
          <w:rPr>
            <w:rFonts w:ascii="宋体" w:eastAsia="宋体" w:hAnsi="宋体" w:cs="宋体" w:hint="eastAsia"/>
            <w:kern w:val="44"/>
            <w:sz w:val="24"/>
            <w:szCs w:val="24"/>
          </w:rPr>
          <w:t>（四）项目效益情况</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_Toc13724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13</w:t>
        </w:r>
        <w:r>
          <w:rPr>
            <w:rFonts w:ascii="宋体" w:eastAsia="宋体" w:hAnsi="宋体" w:cs="宋体" w:hint="eastAsia"/>
            <w:sz w:val="24"/>
            <w:szCs w:val="24"/>
          </w:rPr>
          <w:fldChar w:fldCharType="end"/>
        </w:r>
      </w:hyperlink>
    </w:p>
    <w:p w14:paraId="280495A4" w14:textId="77777777" w:rsidR="00E243E3" w:rsidRDefault="00000000">
      <w:pPr>
        <w:pStyle w:val="TOC1"/>
        <w:tabs>
          <w:tab w:val="clear" w:pos="8296"/>
          <w:tab w:val="right" w:leader="dot" w:pos="8306"/>
        </w:tabs>
        <w:rPr>
          <w:sz w:val="24"/>
          <w:szCs w:val="24"/>
        </w:rPr>
      </w:pPr>
      <w:hyperlink w:anchor="_Toc24013" w:history="1">
        <w:r>
          <w:rPr>
            <w:rFonts w:hint="eastAsia"/>
            <w:bCs w:val="0"/>
            <w:snapToGrid w:val="0"/>
            <w:sz w:val="24"/>
            <w:szCs w:val="24"/>
          </w:rPr>
          <w:t>五、主要经验及做法、存在问题</w:t>
        </w:r>
        <w:r>
          <w:rPr>
            <w:rFonts w:hint="eastAsia"/>
            <w:sz w:val="24"/>
            <w:szCs w:val="24"/>
          </w:rPr>
          <w:tab/>
        </w:r>
        <w:r>
          <w:rPr>
            <w:rFonts w:hint="eastAsia"/>
            <w:sz w:val="24"/>
            <w:szCs w:val="24"/>
          </w:rPr>
          <w:fldChar w:fldCharType="begin"/>
        </w:r>
        <w:r>
          <w:rPr>
            <w:rFonts w:hint="eastAsia"/>
            <w:sz w:val="24"/>
            <w:szCs w:val="24"/>
          </w:rPr>
          <w:instrText xml:space="preserve"> PAGEREF _Toc24013 \h </w:instrText>
        </w:r>
        <w:r>
          <w:rPr>
            <w:rFonts w:hint="eastAsia"/>
            <w:sz w:val="24"/>
            <w:szCs w:val="24"/>
          </w:rPr>
        </w:r>
        <w:r>
          <w:rPr>
            <w:rFonts w:hint="eastAsia"/>
            <w:sz w:val="24"/>
            <w:szCs w:val="24"/>
          </w:rPr>
          <w:fldChar w:fldCharType="separate"/>
        </w:r>
        <w:r>
          <w:rPr>
            <w:rFonts w:hint="eastAsia"/>
            <w:sz w:val="24"/>
            <w:szCs w:val="24"/>
          </w:rPr>
          <w:t>14</w:t>
        </w:r>
        <w:r>
          <w:rPr>
            <w:rFonts w:hint="eastAsia"/>
            <w:sz w:val="24"/>
            <w:szCs w:val="24"/>
          </w:rPr>
          <w:fldChar w:fldCharType="end"/>
        </w:r>
      </w:hyperlink>
    </w:p>
    <w:p w14:paraId="52ED77F0" w14:textId="77777777" w:rsidR="00E243E3" w:rsidRDefault="00000000">
      <w:pPr>
        <w:pStyle w:val="TOC2"/>
        <w:tabs>
          <w:tab w:val="right" w:leader="dot" w:pos="8306"/>
        </w:tabs>
        <w:rPr>
          <w:rFonts w:ascii="宋体" w:eastAsia="宋体" w:hAnsi="宋体" w:cs="宋体"/>
          <w:sz w:val="24"/>
          <w:szCs w:val="24"/>
        </w:rPr>
      </w:pPr>
      <w:hyperlink w:anchor="_Toc32508" w:history="1">
        <w:r>
          <w:rPr>
            <w:rFonts w:ascii="宋体" w:eastAsia="宋体" w:hAnsi="宋体" w:cs="宋体" w:hint="eastAsia"/>
            <w:kern w:val="44"/>
            <w:sz w:val="24"/>
            <w:szCs w:val="24"/>
          </w:rPr>
          <w:t>（一）主要经验及做法</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_Toc32508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14</w:t>
        </w:r>
        <w:r>
          <w:rPr>
            <w:rFonts w:ascii="宋体" w:eastAsia="宋体" w:hAnsi="宋体" w:cs="宋体" w:hint="eastAsia"/>
            <w:sz w:val="24"/>
            <w:szCs w:val="24"/>
          </w:rPr>
          <w:fldChar w:fldCharType="end"/>
        </w:r>
      </w:hyperlink>
    </w:p>
    <w:p w14:paraId="7B1F1756" w14:textId="77777777" w:rsidR="00E243E3" w:rsidRDefault="00000000">
      <w:pPr>
        <w:pStyle w:val="TOC2"/>
        <w:tabs>
          <w:tab w:val="right" w:leader="dot" w:pos="8306"/>
        </w:tabs>
        <w:rPr>
          <w:rFonts w:ascii="宋体" w:eastAsia="宋体" w:hAnsi="宋体" w:cs="宋体"/>
          <w:sz w:val="24"/>
          <w:szCs w:val="24"/>
        </w:rPr>
      </w:pPr>
      <w:hyperlink w:anchor="_Toc25430" w:history="1">
        <w:r>
          <w:rPr>
            <w:rFonts w:ascii="宋体" w:eastAsia="宋体" w:hAnsi="宋体" w:cs="宋体" w:hint="eastAsia"/>
            <w:kern w:val="44"/>
            <w:sz w:val="24"/>
            <w:szCs w:val="24"/>
          </w:rPr>
          <w:t>（二）存在的问题</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_Toc25430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14</w:t>
        </w:r>
        <w:r>
          <w:rPr>
            <w:rFonts w:ascii="宋体" w:eastAsia="宋体" w:hAnsi="宋体" w:cs="宋体" w:hint="eastAsia"/>
            <w:sz w:val="24"/>
            <w:szCs w:val="24"/>
          </w:rPr>
          <w:fldChar w:fldCharType="end"/>
        </w:r>
      </w:hyperlink>
    </w:p>
    <w:p w14:paraId="72CF46AF" w14:textId="77777777" w:rsidR="00E243E3" w:rsidRDefault="00000000">
      <w:pPr>
        <w:pStyle w:val="TOC1"/>
        <w:tabs>
          <w:tab w:val="clear" w:pos="8296"/>
          <w:tab w:val="right" w:leader="dot" w:pos="8306"/>
        </w:tabs>
        <w:rPr>
          <w:sz w:val="24"/>
          <w:szCs w:val="24"/>
        </w:rPr>
      </w:pPr>
      <w:hyperlink w:anchor="_Toc24329" w:history="1">
        <w:r>
          <w:rPr>
            <w:rFonts w:hint="eastAsia"/>
            <w:bCs w:val="0"/>
            <w:snapToGrid w:val="0"/>
            <w:sz w:val="24"/>
            <w:szCs w:val="24"/>
          </w:rPr>
          <w:t>六、有关建议</w:t>
        </w:r>
        <w:r>
          <w:rPr>
            <w:rFonts w:hint="eastAsia"/>
            <w:sz w:val="24"/>
            <w:szCs w:val="24"/>
          </w:rPr>
          <w:tab/>
        </w:r>
        <w:r>
          <w:rPr>
            <w:rFonts w:hint="eastAsia"/>
            <w:sz w:val="24"/>
            <w:szCs w:val="24"/>
          </w:rPr>
          <w:fldChar w:fldCharType="begin"/>
        </w:r>
        <w:r>
          <w:rPr>
            <w:rFonts w:hint="eastAsia"/>
            <w:sz w:val="24"/>
            <w:szCs w:val="24"/>
          </w:rPr>
          <w:instrText xml:space="preserve"> PAGEREF _Toc24329 \h </w:instrText>
        </w:r>
        <w:r>
          <w:rPr>
            <w:rFonts w:hint="eastAsia"/>
            <w:sz w:val="24"/>
            <w:szCs w:val="24"/>
          </w:rPr>
        </w:r>
        <w:r>
          <w:rPr>
            <w:rFonts w:hint="eastAsia"/>
            <w:sz w:val="24"/>
            <w:szCs w:val="24"/>
          </w:rPr>
          <w:fldChar w:fldCharType="separate"/>
        </w:r>
        <w:r>
          <w:rPr>
            <w:rFonts w:hint="eastAsia"/>
            <w:sz w:val="24"/>
            <w:szCs w:val="24"/>
          </w:rPr>
          <w:t>15</w:t>
        </w:r>
        <w:r>
          <w:rPr>
            <w:rFonts w:hint="eastAsia"/>
            <w:sz w:val="24"/>
            <w:szCs w:val="24"/>
          </w:rPr>
          <w:fldChar w:fldCharType="end"/>
        </w:r>
      </w:hyperlink>
    </w:p>
    <w:p w14:paraId="14D79EF0" w14:textId="77777777" w:rsidR="00E243E3" w:rsidRDefault="00000000">
      <w:pPr>
        <w:pStyle w:val="TOC1"/>
        <w:tabs>
          <w:tab w:val="clear" w:pos="8296"/>
          <w:tab w:val="right" w:leader="dot" w:pos="8306"/>
        </w:tabs>
        <w:rPr>
          <w:sz w:val="24"/>
          <w:szCs w:val="24"/>
        </w:rPr>
      </w:pPr>
      <w:hyperlink w:anchor="_Toc12383" w:history="1">
        <w:r>
          <w:rPr>
            <w:rFonts w:hint="eastAsia"/>
            <w:bCs w:val="0"/>
            <w:snapToGrid w:val="0"/>
            <w:sz w:val="24"/>
            <w:szCs w:val="24"/>
          </w:rPr>
          <w:t>七、其他需要说明的问题</w:t>
        </w:r>
        <w:r>
          <w:rPr>
            <w:rFonts w:hint="eastAsia"/>
            <w:sz w:val="24"/>
            <w:szCs w:val="24"/>
          </w:rPr>
          <w:tab/>
        </w:r>
        <w:r>
          <w:rPr>
            <w:rFonts w:hint="eastAsia"/>
            <w:sz w:val="24"/>
            <w:szCs w:val="24"/>
          </w:rPr>
          <w:fldChar w:fldCharType="begin"/>
        </w:r>
        <w:r>
          <w:rPr>
            <w:rFonts w:hint="eastAsia"/>
            <w:sz w:val="24"/>
            <w:szCs w:val="24"/>
          </w:rPr>
          <w:instrText xml:space="preserve"> PAGEREF _Toc12383 \h </w:instrText>
        </w:r>
        <w:r>
          <w:rPr>
            <w:rFonts w:hint="eastAsia"/>
            <w:sz w:val="24"/>
            <w:szCs w:val="24"/>
          </w:rPr>
        </w:r>
        <w:r>
          <w:rPr>
            <w:rFonts w:hint="eastAsia"/>
            <w:sz w:val="24"/>
            <w:szCs w:val="24"/>
          </w:rPr>
          <w:fldChar w:fldCharType="separate"/>
        </w:r>
        <w:r>
          <w:rPr>
            <w:rFonts w:hint="eastAsia"/>
            <w:sz w:val="24"/>
            <w:szCs w:val="24"/>
          </w:rPr>
          <w:t>16</w:t>
        </w:r>
        <w:r>
          <w:rPr>
            <w:rFonts w:hint="eastAsia"/>
            <w:sz w:val="24"/>
            <w:szCs w:val="24"/>
          </w:rPr>
          <w:fldChar w:fldCharType="end"/>
        </w:r>
      </w:hyperlink>
    </w:p>
    <w:p w14:paraId="2EF91E4D" w14:textId="77777777" w:rsidR="00E243E3" w:rsidRDefault="00000000">
      <w:pPr>
        <w:rPr>
          <w:rFonts w:ascii="宋体" w:hAnsi="宋体" w:cs="宋体"/>
          <w:sz w:val="24"/>
          <w:szCs w:val="24"/>
        </w:rPr>
      </w:pPr>
      <w:r>
        <w:rPr>
          <w:rFonts w:ascii="宋体" w:hAnsi="宋体" w:cs="宋体" w:hint="eastAsia"/>
          <w:sz w:val="24"/>
          <w:szCs w:val="24"/>
        </w:rPr>
        <w:fldChar w:fldCharType="end"/>
      </w:r>
    </w:p>
    <w:p w14:paraId="260C43E5" w14:textId="77777777" w:rsidR="00E243E3" w:rsidRDefault="00E243E3">
      <w:pPr>
        <w:spacing w:line="580" w:lineRule="exact"/>
        <w:jc w:val="center"/>
        <w:rPr>
          <w:rFonts w:ascii="宋体" w:hAnsi="宋体" w:cs="宋体"/>
          <w:sz w:val="24"/>
          <w:szCs w:val="24"/>
        </w:rPr>
        <w:sectPr w:rsidR="00E243E3">
          <w:footerReference w:type="default" r:id="rId8"/>
          <w:pgSz w:w="11906" w:h="16838"/>
          <w:pgMar w:top="1440" w:right="1800" w:bottom="1440" w:left="1800" w:header="851" w:footer="992" w:gutter="0"/>
          <w:pgNumType w:start="1" w:chapStyle="1"/>
          <w:cols w:space="425"/>
          <w:docGrid w:type="lines" w:linePitch="312"/>
        </w:sectPr>
      </w:pPr>
    </w:p>
    <w:p w14:paraId="3F956C74" w14:textId="77777777" w:rsidR="00E243E3" w:rsidRDefault="00000000">
      <w:pPr>
        <w:spacing w:line="580" w:lineRule="exact"/>
        <w:jc w:val="center"/>
        <w:rPr>
          <w:rFonts w:ascii="方正小标宋简体" w:eastAsia="方正小标宋简体" w:hAnsi="华文中宋" w:cs="方正小标宋简体"/>
          <w:sz w:val="44"/>
          <w:szCs w:val="44"/>
        </w:rPr>
      </w:pPr>
      <w:r>
        <w:rPr>
          <w:rFonts w:ascii="方正小标宋简体" w:eastAsia="方正小标宋简体" w:hAnsi="华文中宋" w:cs="方正小标宋简体" w:hint="eastAsia"/>
          <w:sz w:val="44"/>
          <w:szCs w:val="44"/>
        </w:rPr>
        <w:lastRenderedPageBreak/>
        <w:t>2021年香山革命纪念馆文物征集及复仿制项目绩效评价报告</w:t>
      </w:r>
    </w:p>
    <w:p w14:paraId="626E63D2" w14:textId="77777777" w:rsidR="00E243E3" w:rsidRDefault="00E243E3">
      <w:pPr>
        <w:spacing w:line="360" w:lineRule="auto"/>
        <w:jc w:val="center"/>
        <w:rPr>
          <w:rFonts w:ascii="宋体" w:cs="Times New Roman"/>
          <w:b/>
          <w:bCs/>
          <w:sz w:val="44"/>
          <w:szCs w:val="44"/>
        </w:rPr>
      </w:pPr>
    </w:p>
    <w:p w14:paraId="3FF86CA5" w14:textId="77777777" w:rsidR="00E243E3" w:rsidRDefault="00000000">
      <w:pPr>
        <w:pStyle w:val="1"/>
        <w:spacing w:before="0" w:after="0" w:line="360" w:lineRule="auto"/>
        <w:ind w:firstLineChars="200" w:firstLine="640"/>
        <w:rPr>
          <w:rFonts w:eastAsia="黑体" w:cs="Times New Roman"/>
          <w:b w:val="0"/>
          <w:bCs w:val="0"/>
          <w:snapToGrid w:val="0"/>
          <w:color w:val="000000"/>
          <w:kern w:val="0"/>
          <w:sz w:val="32"/>
          <w:szCs w:val="32"/>
        </w:rPr>
      </w:pPr>
      <w:bookmarkStart w:id="0" w:name="_Toc169183181"/>
      <w:bookmarkStart w:id="1" w:name="_Toc2576"/>
      <w:r>
        <w:rPr>
          <w:rFonts w:eastAsia="黑体" w:cs="黑体" w:hint="eastAsia"/>
          <w:b w:val="0"/>
          <w:bCs w:val="0"/>
          <w:snapToGrid w:val="0"/>
          <w:color w:val="000000"/>
          <w:kern w:val="0"/>
          <w:sz w:val="32"/>
          <w:szCs w:val="32"/>
        </w:rPr>
        <w:t>一、</w:t>
      </w:r>
      <w:bookmarkEnd w:id="0"/>
      <w:r>
        <w:rPr>
          <w:rFonts w:eastAsia="黑体" w:cs="黑体" w:hint="eastAsia"/>
          <w:b w:val="0"/>
          <w:bCs w:val="0"/>
          <w:snapToGrid w:val="0"/>
          <w:color w:val="000000"/>
          <w:kern w:val="0"/>
          <w:sz w:val="32"/>
          <w:szCs w:val="32"/>
        </w:rPr>
        <w:t>基本情况</w:t>
      </w:r>
      <w:bookmarkEnd w:id="1"/>
    </w:p>
    <w:p w14:paraId="386CCB5C" w14:textId="77777777" w:rsidR="00E243E3" w:rsidRDefault="00000000">
      <w:pPr>
        <w:pStyle w:val="2"/>
        <w:spacing w:before="0" w:after="0" w:line="360" w:lineRule="auto"/>
        <w:ind w:firstLineChars="200" w:firstLine="643"/>
        <w:rPr>
          <w:rFonts w:ascii="楷体" w:eastAsia="楷体" w:hAnsi="楷体" w:cs="楷体"/>
          <w:kern w:val="44"/>
        </w:rPr>
      </w:pPr>
      <w:bookmarkStart w:id="2" w:name="_Toc25156"/>
      <w:r>
        <w:rPr>
          <w:rFonts w:ascii="楷体" w:eastAsia="楷体" w:hAnsi="楷体" w:cs="楷体" w:hint="eastAsia"/>
          <w:kern w:val="44"/>
        </w:rPr>
        <w:t>（一）项目概况</w:t>
      </w:r>
      <w:bookmarkEnd w:id="2"/>
    </w:p>
    <w:p w14:paraId="40C264F5"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sz w:val="32"/>
          <w:szCs w:val="32"/>
        </w:rPr>
        <w:t>1</w:t>
      </w:r>
      <w:r>
        <w:rPr>
          <w:rFonts w:ascii="仿宋" w:eastAsia="仿宋" w:hAnsi="仿宋" w:cs="仿宋" w:hint="eastAsia"/>
          <w:sz w:val="32"/>
          <w:szCs w:val="32"/>
        </w:rPr>
        <w:t>．项目实施主体及主要内容</w:t>
      </w:r>
    </w:p>
    <w:p w14:paraId="7CA7F15A"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2021年香山革命纪念馆文物征集及复仿制项目（以下简称“该项目”）的申报单位为香山革命纪念馆，实施主体为香山革命纪念馆文物征集研究部。</w:t>
      </w:r>
    </w:p>
    <w:p w14:paraId="51E30E8B"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香山革命纪念馆文物征集研究部主要职责为：</w:t>
      </w:r>
      <w:r>
        <w:rPr>
          <w:rFonts w:ascii="仿宋_GB2312" w:eastAsia="仿宋_GB2312" w:hAnsi="仿宋" w:hint="eastAsia"/>
          <w:color w:val="000000" w:themeColor="text1"/>
          <w:sz w:val="32"/>
          <w:szCs w:val="32"/>
        </w:rPr>
        <w:t>负责文物工作研究，文物流转经历整理，文物背后故事挖掘，文物类别及品级鉴选，文物史料宣传推介，文物研究成果到教育内容的转化，文物文献征（收）集及保护、保管、利用，在展文物维护，文物库房科学管理等。</w:t>
      </w:r>
    </w:p>
    <w:p w14:paraId="0EB1C649"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项目主要内容：一是围绕纪念馆文物史料收藏范围确定拟征集文物史料，并严格按照《香山革命纪念馆文物史料征集工作规程（试行）》进行征集；二是根据馆内专题展览需求，进行文物复仿制工作。</w:t>
      </w:r>
    </w:p>
    <w:p w14:paraId="5510A58D"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sz w:val="32"/>
          <w:szCs w:val="32"/>
        </w:rPr>
        <w:t>2</w:t>
      </w:r>
      <w:r>
        <w:rPr>
          <w:rFonts w:ascii="仿宋" w:eastAsia="仿宋" w:hAnsi="仿宋" w:cs="仿宋" w:hint="eastAsia"/>
          <w:sz w:val="32"/>
          <w:szCs w:val="32"/>
        </w:rPr>
        <w:t>．项目立项依据及背景</w:t>
      </w:r>
    </w:p>
    <w:p w14:paraId="7AABF38D"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（1）传承红色基因，弘扬爱国主义精神，扎实做好革命文物征集工作</w:t>
      </w:r>
    </w:p>
    <w:p w14:paraId="31AB668E"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香山革命纪念馆是集中展示香山革命历史的重要场馆、</w:t>
      </w:r>
      <w:r>
        <w:rPr>
          <w:rFonts w:ascii="仿宋" w:eastAsia="仿宋" w:hAnsi="仿宋" w:cs="仿宋" w:hint="eastAsia"/>
          <w:sz w:val="32"/>
          <w:szCs w:val="32"/>
        </w:rPr>
        <w:lastRenderedPageBreak/>
        <w:t>传承弘扬首都红色文化的重要抓手、加强爱国主义教育和革命传统教育的重要载体。纪念馆为充分发挥以物证史、资政育人的作用，切实做到让文物说话，用史实发言，深化革命历史的研究发掘，加强革命文物活化利用，生动讲好革命文物故事，为新时代“赶考”提供丰厚的精神滋养，革命文物史料征集工作势在必行。同时文物征集作为纪念馆重要的基础性工作具有必要性与紧迫性，也是加强流散于民间的红色革命文物回归博物馆的重要手段。</w:t>
      </w:r>
    </w:p>
    <w:p w14:paraId="178A12A8"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（2）以馆藏收藏范围为指导，全力填补馆藏缺项</w:t>
      </w:r>
    </w:p>
    <w:p w14:paraId="26FA6BEF"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香山革命纪念馆2018年开始筹建，2019年9月正式对外开放，由于纪念馆文物征集工作刚刚起步，馆藏文物数量与品类严重匮乏，馆藏缺项较多，无法满足纪念馆</w:t>
      </w:r>
      <w:proofErr w:type="gramStart"/>
      <w:r>
        <w:rPr>
          <w:rFonts w:ascii="仿宋" w:eastAsia="仿宋" w:hAnsi="仿宋" w:cs="仿宋" w:hint="eastAsia"/>
          <w:sz w:val="32"/>
          <w:szCs w:val="32"/>
        </w:rPr>
        <w:t>日常举办</w:t>
      </w:r>
      <w:proofErr w:type="gramEnd"/>
      <w:r>
        <w:rPr>
          <w:rFonts w:ascii="仿宋" w:eastAsia="仿宋" w:hAnsi="仿宋" w:cs="仿宋" w:hint="eastAsia"/>
          <w:sz w:val="32"/>
          <w:szCs w:val="32"/>
        </w:rPr>
        <w:t>展览的文物需求及相关业务工作开展，加大相关文物征集具有必要性和紧迫性。</w:t>
      </w:r>
    </w:p>
    <w:p w14:paraId="700B6C70"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（3）加强文物保护，满足每年专题展览文物展示需求</w:t>
      </w:r>
    </w:p>
    <w:p w14:paraId="014C02DF"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为贯彻落</w:t>
      </w:r>
      <w:proofErr w:type="gramStart"/>
      <w:r>
        <w:rPr>
          <w:rFonts w:ascii="仿宋" w:eastAsia="仿宋" w:hAnsi="仿宋" w:cs="仿宋" w:hint="eastAsia"/>
          <w:sz w:val="32"/>
          <w:szCs w:val="32"/>
        </w:rPr>
        <w:t>实习近</w:t>
      </w:r>
      <w:proofErr w:type="gramEnd"/>
      <w:r>
        <w:rPr>
          <w:rFonts w:ascii="仿宋" w:eastAsia="仿宋" w:hAnsi="仿宋" w:cs="仿宋" w:hint="eastAsia"/>
          <w:sz w:val="32"/>
          <w:szCs w:val="32"/>
        </w:rPr>
        <w:t>平总书记视察香山革命纪念地重要讲话精神，按照市委宣传部关于“香山革命纪念馆要充分利用好专题展厅空间，每年精心举办一次专题展览”的要求，充分发挥纪念馆传承弘扬首都红色文化、加强爱国主义教育和革命传统教育的阵地作用，香山革命纪念馆将适时举办专题展览，为满足展览文物需求，需根据展览大纲复制部分文物。同时，纪念馆主题展览在展文物由于常年受展厅灯光影响，</w:t>
      </w:r>
      <w:r>
        <w:rPr>
          <w:rFonts w:ascii="仿宋" w:eastAsia="仿宋" w:hAnsi="仿宋" w:cs="仿宋" w:hint="eastAsia"/>
          <w:sz w:val="32"/>
          <w:szCs w:val="32"/>
        </w:rPr>
        <w:lastRenderedPageBreak/>
        <w:t>易加速文物原件老化，为保护文物原件，亟需复制部分文物加以替代文物原件，具有重要的必要性与紧迫性。</w:t>
      </w:r>
    </w:p>
    <w:p w14:paraId="5C16D3FE"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按照“保护为主、抢救第一、合理利用、加强管理”的文物工作方针，不断满足人民群众日益增长的精神文化需求，满足定期更换基本陈列和专题展览文物需求，依据香山革命纪念馆馆藏现状和馆藏缺项情况，对散落民间的相关革命文物史料进行文物征集，充实馆藏文物数量，丰富馆藏文物品类，满足香山革命纪念馆日常开展业务工作所需的文物藏品。</w:t>
      </w:r>
    </w:p>
    <w:p w14:paraId="72CF8CD7" w14:textId="77777777" w:rsidR="00E243E3" w:rsidRDefault="00000000">
      <w:pPr>
        <w:pStyle w:val="2"/>
        <w:spacing w:before="0" w:after="0" w:line="360" w:lineRule="auto"/>
        <w:ind w:firstLineChars="200" w:firstLine="643"/>
        <w:rPr>
          <w:rFonts w:ascii="楷体" w:eastAsia="楷体" w:hAnsi="楷体" w:cs="Times New Roman"/>
          <w:kern w:val="44"/>
        </w:rPr>
      </w:pPr>
      <w:bookmarkStart w:id="3" w:name="_Toc23393"/>
      <w:r>
        <w:rPr>
          <w:rFonts w:ascii="楷体" w:eastAsia="楷体" w:hAnsi="楷体" w:cs="楷体" w:hint="eastAsia"/>
          <w:kern w:val="44"/>
        </w:rPr>
        <w:t>（二）项目资金情况</w:t>
      </w:r>
      <w:bookmarkEnd w:id="3"/>
    </w:p>
    <w:p w14:paraId="1F5B0A0C"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1．项目预算批复情况</w:t>
      </w:r>
    </w:p>
    <w:p w14:paraId="029D1E3E"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2021年香山革命纪念馆文物征集及复仿制项目，项目资金已纳入部门年初预算，该项目年初批复预算</w:t>
      </w:r>
      <w:r>
        <w:rPr>
          <w:rFonts w:ascii="仿宋" w:eastAsia="仿宋" w:hAnsi="仿宋" w:cs="仿宋"/>
          <w:sz w:val="32"/>
          <w:szCs w:val="32"/>
        </w:rPr>
        <w:t>94</w:t>
      </w:r>
      <w:r>
        <w:rPr>
          <w:rFonts w:ascii="仿宋" w:eastAsia="仿宋" w:hAnsi="仿宋" w:cs="仿宋" w:hint="eastAsia"/>
          <w:sz w:val="32"/>
          <w:szCs w:val="32"/>
        </w:rPr>
        <w:t>万元，2021年8月北京市财政局批复该项目追加费用93.855万元，2021年1</w:t>
      </w:r>
      <w:r>
        <w:rPr>
          <w:rFonts w:ascii="仿宋" w:eastAsia="仿宋" w:hAnsi="仿宋" w:cs="仿宋"/>
          <w:sz w:val="32"/>
          <w:szCs w:val="32"/>
        </w:rPr>
        <w:t>2</w:t>
      </w:r>
      <w:r>
        <w:rPr>
          <w:rFonts w:ascii="仿宋" w:eastAsia="仿宋" w:hAnsi="仿宋" w:cs="仿宋" w:hint="eastAsia"/>
          <w:sz w:val="32"/>
          <w:szCs w:val="32"/>
        </w:rPr>
        <w:t>月北京市财政局批复该项目第二次追加经费173.745万元，</w:t>
      </w:r>
      <w:r>
        <w:rPr>
          <w:rFonts w:ascii="仿宋" w:eastAsia="仿宋" w:hAnsi="仿宋" w:cs="仿宋"/>
          <w:sz w:val="32"/>
          <w:szCs w:val="32"/>
        </w:rPr>
        <w:t>项目</w:t>
      </w:r>
      <w:r>
        <w:rPr>
          <w:rFonts w:ascii="仿宋" w:eastAsia="仿宋" w:hAnsi="仿宋" w:cs="仿宋" w:hint="eastAsia"/>
          <w:sz w:val="32"/>
          <w:szCs w:val="32"/>
        </w:rPr>
        <w:t>总</w:t>
      </w:r>
      <w:r>
        <w:rPr>
          <w:rFonts w:ascii="仿宋" w:eastAsia="仿宋" w:hAnsi="仿宋" w:cs="仿宋"/>
          <w:sz w:val="32"/>
          <w:szCs w:val="32"/>
        </w:rPr>
        <w:t>预算</w:t>
      </w:r>
      <w:r>
        <w:rPr>
          <w:rFonts w:ascii="仿宋" w:eastAsia="仿宋" w:hAnsi="仿宋" w:cs="仿宋" w:hint="eastAsia"/>
          <w:sz w:val="32"/>
          <w:szCs w:val="32"/>
        </w:rPr>
        <w:t>经费</w:t>
      </w:r>
      <w:r>
        <w:rPr>
          <w:rFonts w:ascii="仿宋" w:eastAsia="仿宋" w:hAnsi="仿宋" w:cs="仿宋"/>
          <w:sz w:val="32"/>
          <w:szCs w:val="32"/>
        </w:rPr>
        <w:t>为</w:t>
      </w:r>
      <w:r>
        <w:rPr>
          <w:rFonts w:ascii="仿宋" w:eastAsia="仿宋" w:hAnsi="仿宋" w:cs="仿宋" w:hint="eastAsia"/>
          <w:sz w:val="32"/>
          <w:szCs w:val="32"/>
        </w:rPr>
        <w:t>361.6万元</w:t>
      </w:r>
      <w:r>
        <w:rPr>
          <w:rFonts w:ascii="仿宋" w:eastAsia="仿宋" w:hAnsi="仿宋" w:cs="仿宋"/>
          <w:sz w:val="32"/>
          <w:szCs w:val="32"/>
        </w:rPr>
        <w:t>。</w:t>
      </w:r>
    </w:p>
    <w:p w14:paraId="609DE69F"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2．资金到位情况</w:t>
      </w:r>
    </w:p>
    <w:p w14:paraId="24A54126"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2021年3月、8月、12月</w:t>
      </w:r>
      <w:r>
        <w:rPr>
          <w:rFonts w:ascii="仿宋" w:eastAsia="仿宋" w:hAnsi="仿宋" w:cs="仿宋"/>
          <w:sz w:val="32"/>
          <w:szCs w:val="32"/>
        </w:rPr>
        <w:t>，</w:t>
      </w:r>
      <w:r>
        <w:rPr>
          <w:rFonts w:ascii="仿宋" w:eastAsia="仿宋" w:hAnsi="仿宋" w:cs="仿宋" w:hint="eastAsia"/>
          <w:sz w:val="32"/>
          <w:szCs w:val="32"/>
        </w:rPr>
        <w:t>北京市财政局</w:t>
      </w:r>
      <w:r>
        <w:rPr>
          <w:rFonts w:ascii="仿宋" w:eastAsia="仿宋" w:hAnsi="仿宋" w:cs="仿宋"/>
          <w:sz w:val="32"/>
          <w:szCs w:val="32"/>
        </w:rPr>
        <w:t>将项目资金分三次</w:t>
      </w:r>
      <w:r>
        <w:rPr>
          <w:rFonts w:ascii="仿宋" w:eastAsia="仿宋" w:hAnsi="仿宋" w:cs="仿宋" w:hint="eastAsia"/>
          <w:sz w:val="32"/>
          <w:szCs w:val="32"/>
        </w:rPr>
        <w:t>拨付至</w:t>
      </w:r>
      <w:r>
        <w:rPr>
          <w:rFonts w:ascii="仿宋" w:eastAsia="仿宋" w:hAnsi="仿宋" w:cs="仿宋"/>
          <w:sz w:val="32"/>
          <w:szCs w:val="32"/>
        </w:rPr>
        <w:t>香山革命</w:t>
      </w:r>
      <w:r>
        <w:rPr>
          <w:rFonts w:ascii="仿宋" w:eastAsia="仿宋" w:hAnsi="仿宋" w:cs="仿宋" w:hint="eastAsia"/>
          <w:sz w:val="32"/>
          <w:szCs w:val="32"/>
        </w:rPr>
        <w:t>纪念馆</w:t>
      </w:r>
      <w:r>
        <w:rPr>
          <w:rFonts w:ascii="仿宋" w:eastAsia="仿宋" w:hAnsi="仿宋" w:cs="仿宋"/>
          <w:sz w:val="32"/>
          <w:szCs w:val="32"/>
        </w:rPr>
        <w:t>，资金用于</w:t>
      </w:r>
      <w:r>
        <w:rPr>
          <w:rFonts w:ascii="仿宋" w:eastAsia="仿宋" w:hAnsi="仿宋" w:cs="仿宋" w:hint="eastAsia"/>
          <w:sz w:val="32"/>
          <w:szCs w:val="32"/>
        </w:rPr>
        <w:t>2021年香山革命纪念馆文物征集及复仿制项目。</w:t>
      </w:r>
    </w:p>
    <w:p w14:paraId="72C1220C"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3．资金支出及执行情况</w:t>
      </w:r>
    </w:p>
    <w:p w14:paraId="76441EFE"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截止2022年4月30日，该项目共计支出</w:t>
      </w:r>
      <w:r>
        <w:rPr>
          <w:rFonts w:ascii="仿宋" w:eastAsia="仿宋" w:hAnsi="仿宋" w:cs="仿宋"/>
          <w:sz w:val="32"/>
          <w:szCs w:val="32"/>
        </w:rPr>
        <w:t>349.28</w:t>
      </w:r>
      <w:r>
        <w:rPr>
          <w:rFonts w:ascii="仿宋" w:eastAsia="仿宋" w:hAnsi="仿宋" w:cs="仿宋" w:hint="eastAsia"/>
          <w:sz w:val="32"/>
          <w:szCs w:val="32"/>
        </w:rPr>
        <w:t>万元。北京市财政</w:t>
      </w:r>
      <w:r>
        <w:rPr>
          <w:rFonts w:ascii="仿宋" w:eastAsia="仿宋" w:hAnsi="仿宋" w:cs="仿宋"/>
          <w:sz w:val="32"/>
          <w:szCs w:val="32"/>
        </w:rPr>
        <w:t>局核减项目经费</w:t>
      </w:r>
      <w:r>
        <w:rPr>
          <w:rFonts w:ascii="仿宋" w:eastAsia="仿宋" w:hAnsi="仿宋" w:cs="仿宋" w:hint="eastAsia"/>
          <w:sz w:val="32"/>
          <w:szCs w:val="32"/>
        </w:rPr>
        <w:t>9.775万元</w:t>
      </w:r>
      <w:r>
        <w:rPr>
          <w:rFonts w:ascii="仿宋" w:eastAsia="仿宋" w:hAnsi="仿宋" w:cs="仿宋"/>
          <w:sz w:val="32"/>
          <w:szCs w:val="32"/>
        </w:rPr>
        <w:t>，</w:t>
      </w:r>
      <w:r>
        <w:rPr>
          <w:rFonts w:ascii="仿宋" w:eastAsia="仿宋" w:hAnsi="仿宋" w:cs="仿宋" w:hint="eastAsia"/>
          <w:sz w:val="32"/>
          <w:szCs w:val="32"/>
        </w:rPr>
        <w:t>结余资金</w:t>
      </w:r>
      <w:r>
        <w:rPr>
          <w:rFonts w:ascii="仿宋" w:eastAsia="仿宋" w:hAnsi="仿宋" w:cs="仿宋"/>
          <w:sz w:val="32"/>
          <w:szCs w:val="32"/>
        </w:rPr>
        <w:t>2.545</w:t>
      </w:r>
      <w:r>
        <w:rPr>
          <w:rFonts w:ascii="仿宋" w:eastAsia="仿宋" w:hAnsi="仿宋" w:cs="仿宋" w:hint="eastAsia"/>
          <w:sz w:val="32"/>
          <w:szCs w:val="32"/>
        </w:rPr>
        <w:t>万</w:t>
      </w:r>
      <w:r>
        <w:rPr>
          <w:rFonts w:ascii="仿宋" w:eastAsia="仿宋" w:hAnsi="仿宋" w:cs="仿宋" w:hint="eastAsia"/>
          <w:sz w:val="32"/>
          <w:szCs w:val="32"/>
        </w:rPr>
        <w:lastRenderedPageBreak/>
        <w:t>元，资金执行率</w:t>
      </w:r>
      <w:r>
        <w:rPr>
          <w:rFonts w:ascii="仿宋" w:eastAsia="仿宋" w:hAnsi="仿宋" w:cs="仿宋"/>
          <w:sz w:val="32"/>
          <w:szCs w:val="32"/>
        </w:rPr>
        <w:t>99.28</w:t>
      </w:r>
      <w:r>
        <w:rPr>
          <w:rFonts w:ascii="仿宋" w:eastAsia="仿宋" w:hAnsi="仿宋" w:cs="仿宋" w:hint="eastAsia"/>
          <w:sz w:val="32"/>
          <w:szCs w:val="32"/>
        </w:rPr>
        <w:t>%。</w:t>
      </w:r>
    </w:p>
    <w:p w14:paraId="2E65E133"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结余资金主要原因为：按照</w:t>
      </w:r>
      <w:r>
        <w:rPr>
          <w:rFonts w:ascii="仿宋" w:eastAsia="仿宋" w:hAnsi="仿宋" w:cs="仿宋"/>
          <w:sz w:val="32"/>
          <w:szCs w:val="32"/>
        </w:rPr>
        <w:t>实际支出金额</w:t>
      </w:r>
      <w:r>
        <w:rPr>
          <w:rFonts w:ascii="仿宋" w:eastAsia="仿宋" w:hAnsi="仿宋" w:cs="仿宋" w:hint="eastAsia"/>
          <w:sz w:val="32"/>
          <w:szCs w:val="32"/>
        </w:rPr>
        <w:t>正常结余。</w:t>
      </w:r>
    </w:p>
    <w:p w14:paraId="157D1CCC" w14:textId="77777777" w:rsidR="00E243E3" w:rsidRDefault="00000000">
      <w:pPr>
        <w:pStyle w:val="2"/>
        <w:spacing w:before="0" w:after="0" w:line="360" w:lineRule="auto"/>
        <w:ind w:firstLineChars="200" w:firstLine="643"/>
        <w:rPr>
          <w:rFonts w:ascii="楷体" w:eastAsia="楷体" w:hAnsi="楷体" w:cs="Times New Roman"/>
          <w:kern w:val="44"/>
        </w:rPr>
      </w:pPr>
      <w:bookmarkStart w:id="4" w:name="_Toc17168"/>
      <w:r>
        <w:rPr>
          <w:rFonts w:ascii="楷体" w:eastAsia="楷体" w:hAnsi="楷体" w:cs="楷体" w:hint="eastAsia"/>
          <w:kern w:val="44"/>
        </w:rPr>
        <w:t>（三）项目绩效目标</w:t>
      </w:r>
      <w:bookmarkEnd w:id="4"/>
    </w:p>
    <w:p w14:paraId="7BC68B95"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项目设定绩效目标为：1.按照“保护为主、抢救第一、合理利用、加强管理”的文物工作方针和不断满足民众日益增长的文物文化精神需求实际，满足定期更换基本陈列和文物展陈需求。2.依据香山革命纪念馆馆藏现状和馆藏缺项情况，实现对散落民间的相关革命文物征集，充实馆藏文物数量，丰富馆藏文物品类，满足香山革命纪念馆日常文物业务工作开展需求及展览需求。</w:t>
      </w:r>
    </w:p>
    <w:p w14:paraId="0AE5CC4B" w14:textId="77777777" w:rsidR="00E243E3" w:rsidRDefault="00000000">
      <w:pPr>
        <w:pStyle w:val="1"/>
        <w:spacing w:before="0" w:after="0" w:line="360" w:lineRule="auto"/>
        <w:ind w:firstLineChars="200" w:firstLine="640"/>
        <w:rPr>
          <w:rFonts w:eastAsia="黑体" w:cs="Times New Roman"/>
          <w:b w:val="0"/>
          <w:bCs w:val="0"/>
          <w:snapToGrid w:val="0"/>
          <w:color w:val="000000"/>
          <w:kern w:val="0"/>
          <w:sz w:val="32"/>
          <w:szCs w:val="32"/>
        </w:rPr>
      </w:pPr>
      <w:bookmarkStart w:id="5" w:name="_Toc19039"/>
      <w:r>
        <w:rPr>
          <w:rFonts w:eastAsia="黑体" w:cs="黑体" w:hint="eastAsia"/>
          <w:b w:val="0"/>
          <w:bCs w:val="0"/>
          <w:snapToGrid w:val="0"/>
          <w:color w:val="000000"/>
          <w:kern w:val="0"/>
          <w:sz w:val="32"/>
          <w:szCs w:val="32"/>
        </w:rPr>
        <w:t>二、绩效评价工作开展情况</w:t>
      </w:r>
      <w:bookmarkEnd w:id="5"/>
    </w:p>
    <w:p w14:paraId="2CDB01C9" w14:textId="77777777" w:rsidR="00E243E3" w:rsidRDefault="00000000">
      <w:pPr>
        <w:pStyle w:val="2"/>
        <w:spacing w:before="0" w:after="0" w:line="360" w:lineRule="auto"/>
        <w:ind w:firstLineChars="200" w:firstLine="643"/>
        <w:rPr>
          <w:rFonts w:ascii="楷体" w:eastAsia="楷体" w:hAnsi="楷体" w:cs="Times New Roman"/>
          <w:kern w:val="44"/>
        </w:rPr>
      </w:pPr>
      <w:bookmarkStart w:id="6" w:name="_Toc4882"/>
      <w:r>
        <w:rPr>
          <w:rFonts w:ascii="楷体" w:eastAsia="楷体" w:hAnsi="楷体" w:cs="楷体" w:hint="eastAsia"/>
          <w:kern w:val="44"/>
        </w:rPr>
        <w:t>（一）</w:t>
      </w:r>
      <w:bookmarkEnd w:id="6"/>
      <w:r>
        <w:rPr>
          <w:rFonts w:ascii="楷体" w:eastAsia="楷体" w:hAnsi="楷体" w:cs="楷体" w:hint="eastAsia"/>
          <w:kern w:val="44"/>
        </w:rPr>
        <w:t>绩效评价的目的、对象和范围</w:t>
      </w:r>
    </w:p>
    <w:p w14:paraId="68E039C2"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为全面实施预算绩效管理，建立科学、合理的项目支出绩效评价管理体系，提高财政资源配置效率和使用效益，根据《项目支出绩效评价管理办法》（财预〔</w:t>
      </w:r>
      <w:r>
        <w:rPr>
          <w:rFonts w:ascii="仿宋" w:eastAsia="仿宋" w:hAnsi="仿宋" w:cs="仿宋"/>
          <w:sz w:val="32"/>
          <w:szCs w:val="32"/>
        </w:rPr>
        <w:t>2020</w:t>
      </w:r>
      <w:r>
        <w:rPr>
          <w:rFonts w:ascii="仿宋" w:eastAsia="仿宋" w:hAnsi="仿宋" w:cs="仿宋" w:hint="eastAsia"/>
          <w:sz w:val="32"/>
          <w:szCs w:val="32"/>
        </w:rPr>
        <w:t>〕</w:t>
      </w:r>
      <w:r>
        <w:rPr>
          <w:rFonts w:ascii="仿宋" w:eastAsia="仿宋" w:hAnsi="仿宋" w:cs="仿宋"/>
          <w:sz w:val="32"/>
          <w:szCs w:val="32"/>
        </w:rPr>
        <w:t>10</w:t>
      </w:r>
      <w:r>
        <w:rPr>
          <w:rFonts w:ascii="仿宋" w:eastAsia="仿宋" w:hAnsi="仿宋" w:cs="仿宋" w:hint="eastAsia"/>
          <w:sz w:val="32"/>
          <w:szCs w:val="32"/>
        </w:rPr>
        <w:t>号）、《中共北京市委</w:t>
      </w:r>
      <w:r>
        <w:rPr>
          <w:rFonts w:ascii="仿宋" w:eastAsia="仿宋" w:hAnsi="仿宋" w:cs="仿宋"/>
          <w:sz w:val="32"/>
          <w:szCs w:val="32"/>
        </w:rPr>
        <w:t xml:space="preserve"> </w:t>
      </w:r>
      <w:r>
        <w:rPr>
          <w:rFonts w:ascii="仿宋" w:eastAsia="仿宋" w:hAnsi="仿宋" w:cs="仿宋" w:hint="eastAsia"/>
          <w:sz w:val="32"/>
          <w:szCs w:val="32"/>
        </w:rPr>
        <w:t>北京市人民政府关于全面实施预算绩效管理的实施意见》（京发〔</w:t>
      </w:r>
      <w:r>
        <w:rPr>
          <w:rFonts w:ascii="仿宋" w:eastAsia="仿宋" w:hAnsi="仿宋" w:cs="仿宋"/>
          <w:sz w:val="32"/>
          <w:szCs w:val="32"/>
        </w:rPr>
        <w:t>2019</w:t>
      </w:r>
      <w:r>
        <w:rPr>
          <w:rFonts w:ascii="仿宋" w:eastAsia="仿宋" w:hAnsi="仿宋" w:cs="仿宋" w:hint="eastAsia"/>
          <w:sz w:val="32"/>
          <w:szCs w:val="32"/>
        </w:rPr>
        <w:t>〕</w:t>
      </w:r>
      <w:r>
        <w:rPr>
          <w:rFonts w:ascii="仿宋" w:eastAsia="仿宋" w:hAnsi="仿宋" w:cs="仿宋"/>
          <w:sz w:val="32"/>
          <w:szCs w:val="32"/>
        </w:rPr>
        <w:t>12</w:t>
      </w:r>
      <w:r>
        <w:rPr>
          <w:rFonts w:ascii="仿宋" w:eastAsia="仿宋" w:hAnsi="仿宋" w:cs="仿宋" w:hint="eastAsia"/>
          <w:sz w:val="32"/>
          <w:szCs w:val="32"/>
        </w:rPr>
        <w:t>号）等有关规定，香山革命纪念馆委托北京中玉天</w:t>
      </w:r>
      <w:proofErr w:type="gramStart"/>
      <w:r>
        <w:rPr>
          <w:rFonts w:ascii="仿宋" w:eastAsia="仿宋" w:hAnsi="仿宋" w:cs="仿宋" w:hint="eastAsia"/>
          <w:sz w:val="32"/>
          <w:szCs w:val="32"/>
        </w:rPr>
        <w:t>晟</w:t>
      </w:r>
      <w:proofErr w:type="gramEnd"/>
      <w:r>
        <w:rPr>
          <w:rFonts w:ascii="仿宋" w:eastAsia="仿宋" w:hAnsi="仿宋" w:cs="仿宋" w:hint="eastAsia"/>
          <w:sz w:val="32"/>
          <w:szCs w:val="32"/>
        </w:rPr>
        <w:t>会计师事务所有限公司成立绩效评价工作组，对“2021年香山革命纪念馆文物征集及复仿制项目”绩效情况实施绩效评价，形成本报告。</w:t>
      </w:r>
    </w:p>
    <w:p w14:paraId="7D14BB16" w14:textId="77777777" w:rsidR="00E243E3" w:rsidRDefault="00000000">
      <w:pPr>
        <w:spacing w:line="360" w:lineRule="auto"/>
        <w:ind w:firstLineChars="200" w:firstLine="643"/>
      </w:pPr>
      <w:r>
        <w:rPr>
          <w:rFonts w:ascii="楷体" w:eastAsia="楷体" w:hAnsi="楷体" w:cs="楷体" w:hint="eastAsia"/>
          <w:b/>
          <w:bCs/>
          <w:kern w:val="44"/>
          <w:sz w:val="32"/>
          <w:szCs w:val="32"/>
        </w:rPr>
        <w:t>（二）绩效评价原则、评价指标体系（附表说明）</w:t>
      </w:r>
    </w:p>
    <w:p w14:paraId="1F5A459D"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1.绩效评价原则</w:t>
      </w:r>
    </w:p>
    <w:p w14:paraId="652D4D02"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lastRenderedPageBreak/>
        <w:t>（</w:t>
      </w:r>
      <w:r>
        <w:rPr>
          <w:rFonts w:ascii="仿宋" w:eastAsia="仿宋" w:hAnsi="仿宋" w:cs="仿宋"/>
          <w:sz w:val="32"/>
          <w:szCs w:val="32"/>
        </w:rPr>
        <w:t>1</w:t>
      </w:r>
      <w:r>
        <w:rPr>
          <w:rFonts w:ascii="仿宋" w:eastAsia="仿宋" w:hAnsi="仿宋" w:cs="仿宋" w:hint="eastAsia"/>
          <w:sz w:val="32"/>
          <w:szCs w:val="32"/>
        </w:rPr>
        <w:t>）科学规范原则。绩效评价严格执行规定的程序，按照科学可行的要求，采用定量与定性分析相结合的方法。</w:t>
      </w:r>
    </w:p>
    <w:p w14:paraId="15F02FAE"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）公正公开原则。绩效评价符合真实、客观、公正的要求，依法公开并接受监督。</w:t>
      </w:r>
    </w:p>
    <w:p w14:paraId="3A61D38B"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）分级分类原则。绩效评价由香山革命纪念馆根据评价对象的特点组织实施。</w:t>
      </w:r>
    </w:p>
    <w:p w14:paraId="55FD5137"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4</w:t>
      </w:r>
      <w:r>
        <w:rPr>
          <w:rFonts w:ascii="仿宋" w:eastAsia="仿宋" w:hAnsi="仿宋" w:cs="仿宋" w:hint="eastAsia"/>
          <w:sz w:val="32"/>
          <w:szCs w:val="32"/>
        </w:rPr>
        <w:t>）绩效相关原则。绩效评价针对具体支出及其产出绩效进行，评价结果清晰反映支出和产出绩效之间的紧密对应关系。</w:t>
      </w:r>
    </w:p>
    <w:p w14:paraId="72217D06" w14:textId="77777777" w:rsidR="00E243E3" w:rsidRDefault="00000000">
      <w:pPr>
        <w:spacing w:line="360" w:lineRule="auto"/>
        <w:ind w:firstLineChars="200" w:firstLine="640"/>
        <w:rPr>
          <w:rFonts w:ascii="仿宋" w:eastAsia="仿宋" w:hAnsi="仿宋" w:cs="Times New Roman"/>
          <w:sz w:val="32"/>
          <w:szCs w:val="32"/>
        </w:rPr>
      </w:pPr>
      <w:bookmarkStart w:id="7" w:name="_Toc371943464"/>
      <w:r>
        <w:rPr>
          <w:rFonts w:ascii="仿宋" w:eastAsia="仿宋" w:hAnsi="仿宋" w:cs="仿宋"/>
          <w:sz w:val="32"/>
          <w:szCs w:val="32"/>
        </w:rPr>
        <w:t>2</w:t>
      </w:r>
      <w:r>
        <w:rPr>
          <w:rFonts w:ascii="仿宋" w:eastAsia="仿宋" w:hAnsi="仿宋" w:cs="仿宋" w:hint="eastAsia"/>
          <w:sz w:val="32"/>
          <w:szCs w:val="32"/>
        </w:rPr>
        <w:t>．绩效评价方法及指标体系</w:t>
      </w:r>
      <w:bookmarkEnd w:id="7"/>
    </w:p>
    <w:p w14:paraId="09C64B6A"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评价工作组结合项目的特点，按照文件规定的评价方法，依据项目单位提供的资料，参照“财政支出项目绩效评价指标体系（范本）”，增设三、四级指标，制订“2021年香山革命纪念馆文物征集及复仿制项目”指标体系（详见附件</w:t>
      </w:r>
      <w:r>
        <w:rPr>
          <w:rFonts w:ascii="仿宋" w:eastAsia="仿宋" w:hAnsi="仿宋" w:cs="仿宋"/>
          <w:sz w:val="32"/>
          <w:szCs w:val="32"/>
        </w:rPr>
        <w:t>3</w:t>
      </w:r>
      <w:r>
        <w:rPr>
          <w:rFonts w:ascii="仿宋" w:eastAsia="仿宋" w:hAnsi="仿宋" w:cs="仿宋" w:hint="eastAsia"/>
          <w:sz w:val="32"/>
          <w:szCs w:val="32"/>
        </w:rPr>
        <w:t>）。同时，遴选业务专家、财务专家和管理专家组成专家组，对该项目的执行情况进行评价，专家出具独立评价意见。</w:t>
      </w:r>
    </w:p>
    <w:p w14:paraId="1747DB48" w14:textId="77777777" w:rsidR="00E243E3" w:rsidRDefault="00000000">
      <w:pPr>
        <w:pStyle w:val="2"/>
        <w:spacing w:before="0" w:after="0" w:line="360" w:lineRule="auto"/>
        <w:ind w:firstLineChars="200" w:firstLine="643"/>
        <w:jc w:val="left"/>
        <w:rPr>
          <w:rFonts w:ascii="楷体" w:eastAsia="楷体" w:hAnsi="楷体" w:cs="楷体"/>
          <w:kern w:val="44"/>
        </w:rPr>
      </w:pPr>
      <w:r>
        <w:rPr>
          <w:rFonts w:ascii="楷体" w:eastAsia="楷体" w:hAnsi="楷体" w:cs="楷体" w:hint="eastAsia"/>
          <w:kern w:val="44"/>
        </w:rPr>
        <w:t>（三）绩效评价工作过程</w:t>
      </w:r>
    </w:p>
    <w:p w14:paraId="3AB40E5B"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绩效评价工作程序主要分为评价准备、评价实施、评价总结三个阶段。</w:t>
      </w:r>
    </w:p>
    <w:p w14:paraId="2897918D" w14:textId="77777777" w:rsidR="00E243E3" w:rsidRDefault="00000000">
      <w:pPr>
        <w:spacing w:line="360" w:lineRule="auto"/>
        <w:ind w:firstLineChars="200" w:firstLine="640"/>
        <w:rPr>
          <w:rFonts w:ascii="仿宋" w:eastAsia="仿宋" w:hAnsi="仿宋" w:cs="Times New Roman"/>
          <w:sz w:val="32"/>
          <w:szCs w:val="32"/>
        </w:rPr>
      </w:pPr>
      <w:bookmarkStart w:id="8" w:name="_Toc371943466"/>
      <w:r>
        <w:rPr>
          <w:rFonts w:ascii="仿宋" w:eastAsia="仿宋" w:hAnsi="仿宋" w:cs="仿宋"/>
          <w:sz w:val="32"/>
          <w:szCs w:val="32"/>
        </w:rPr>
        <w:t>1</w:t>
      </w:r>
      <w:r>
        <w:rPr>
          <w:rFonts w:ascii="仿宋" w:eastAsia="仿宋" w:hAnsi="仿宋" w:cs="仿宋" w:hint="eastAsia"/>
          <w:sz w:val="32"/>
          <w:szCs w:val="32"/>
        </w:rPr>
        <w:t>．评价准备阶段</w:t>
      </w:r>
      <w:bookmarkEnd w:id="8"/>
    </w:p>
    <w:p w14:paraId="59B7958E"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）根据《北京市财政支出绩效评价管理办法》，北京中玉天</w:t>
      </w:r>
      <w:proofErr w:type="gramStart"/>
      <w:r>
        <w:rPr>
          <w:rFonts w:ascii="仿宋" w:eastAsia="仿宋" w:hAnsi="仿宋" w:cs="仿宋" w:hint="eastAsia"/>
          <w:sz w:val="32"/>
          <w:szCs w:val="32"/>
        </w:rPr>
        <w:t>晟</w:t>
      </w:r>
      <w:proofErr w:type="gramEnd"/>
      <w:r>
        <w:rPr>
          <w:rFonts w:ascii="仿宋" w:eastAsia="仿宋" w:hAnsi="仿宋" w:cs="仿宋" w:hint="eastAsia"/>
          <w:sz w:val="32"/>
          <w:szCs w:val="32"/>
        </w:rPr>
        <w:t>会计师事务所有限公司成立绩效评价工作组，并</w:t>
      </w:r>
      <w:r>
        <w:rPr>
          <w:rFonts w:ascii="仿宋" w:eastAsia="仿宋" w:hAnsi="仿宋" w:cs="仿宋" w:hint="eastAsia"/>
          <w:sz w:val="32"/>
          <w:szCs w:val="32"/>
        </w:rPr>
        <w:lastRenderedPageBreak/>
        <w:t>对项目评价工作人员进行业务培训。</w:t>
      </w:r>
    </w:p>
    <w:p w14:paraId="72F13F6D"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）评价工作组入户，与项目单位进行初步沟通，了解项目申报及执行情况，收集业务资料。</w:t>
      </w:r>
    </w:p>
    <w:p w14:paraId="2C1B2672"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）项目单位归集整理项目工作进展及资金运用情况、目标内容的完成情况。</w:t>
      </w:r>
    </w:p>
    <w:p w14:paraId="289EA1FB"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4</w:t>
      </w:r>
      <w:r>
        <w:rPr>
          <w:rFonts w:ascii="仿宋" w:eastAsia="仿宋" w:hAnsi="仿宋" w:cs="仿宋" w:hint="eastAsia"/>
          <w:sz w:val="32"/>
          <w:szCs w:val="32"/>
        </w:rPr>
        <w:t>）评价工作组制订项目评价方案，形成考核指标体系初稿。</w:t>
      </w:r>
    </w:p>
    <w:p w14:paraId="68B8E75C"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5</w:t>
      </w:r>
      <w:r>
        <w:rPr>
          <w:rFonts w:ascii="仿宋" w:eastAsia="仿宋" w:hAnsi="仿宋" w:cs="仿宋" w:hint="eastAsia"/>
          <w:sz w:val="32"/>
          <w:szCs w:val="32"/>
        </w:rPr>
        <w:t>）评价工作组辅导项目单位编写项目绩效自评报告。同时，遵循客观、公正的原则，在北京市财政局专家库中抽选</w:t>
      </w:r>
      <w:r>
        <w:rPr>
          <w:rFonts w:ascii="仿宋" w:eastAsia="仿宋" w:hAnsi="仿宋" w:cs="仿宋"/>
          <w:sz w:val="32"/>
          <w:szCs w:val="32"/>
        </w:rPr>
        <w:t>2</w:t>
      </w:r>
      <w:r>
        <w:rPr>
          <w:rFonts w:ascii="仿宋" w:eastAsia="仿宋" w:hAnsi="仿宋" w:cs="仿宋" w:hint="eastAsia"/>
          <w:sz w:val="32"/>
          <w:szCs w:val="32"/>
        </w:rPr>
        <w:t>名业务专家、</w:t>
      </w:r>
      <w:r>
        <w:rPr>
          <w:rFonts w:ascii="仿宋" w:eastAsia="仿宋" w:hAnsi="仿宋" w:cs="仿宋"/>
          <w:sz w:val="32"/>
          <w:szCs w:val="32"/>
        </w:rPr>
        <w:t>2</w:t>
      </w:r>
      <w:r>
        <w:rPr>
          <w:rFonts w:ascii="仿宋" w:eastAsia="仿宋" w:hAnsi="仿宋" w:cs="仿宋" w:hint="eastAsia"/>
          <w:sz w:val="32"/>
          <w:szCs w:val="32"/>
        </w:rPr>
        <w:t>名管理专家及</w:t>
      </w:r>
      <w:r>
        <w:rPr>
          <w:rFonts w:ascii="仿宋" w:eastAsia="仿宋" w:hAnsi="仿宋" w:cs="仿宋"/>
          <w:sz w:val="32"/>
          <w:szCs w:val="32"/>
        </w:rPr>
        <w:t>1</w:t>
      </w:r>
      <w:r>
        <w:rPr>
          <w:rFonts w:ascii="仿宋" w:eastAsia="仿宋" w:hAnsi="仿宋" w:cs="仿宋" w:hint="eastAsia"/>
          <w:sz w:val="32"/>
          <w:szCs w:val="32"/>
        </w:rPr>
        <w:t>名财务专家，组成绩效评价专家组。</w:t>
      </w:r>
    </w:p>
    <w:p w14:paraId="189091B6"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6</w:t>
      </w:r>
      <w:r>
        <w:rPr>
          <w:rFonts w:ascii="仿宋" w:eastAsia="仿宋" w:hAnsi="仿宋" w:cs="仿宋" w:hint="eastAsia"/>
          <w:sz w:val="32"/>
          <w:szCs w:val="32"/>
        </w:rPr>
        <w:t>）评价工作组根据前段工作情况，补充完善相关资料，细化评价指标体系。</w:t>
      </w:r>
    </w:p>
    <w:p w14:paraId="7D32AC0F" w14:textId="77777777" w:rsidR="00E243E3" w:rsidRDefault="00000000">
      <w:pPr>
        <w:spacing w:line="360" w:lineRule="auto"/>
        <w:ind w:firstLineChars="200" w:firstLine="640"/>
        <w:rPr>
          <w:rFonts w:ascii="仿宋" w:eastAsia="仿宋" w:hAnsi="仿宋" w:cs="Times New Roman"/>
          <w:sz w:val="32"/>
          <w:szCs w:val="32"/>
        </w:rPr>
      </w:pPr>
      <w:bookmarkStart w:id="9" w:name="_Toc371943467"/>
      <w:r>
        <w:rPr>
          <w:rFonts w:ascii="仿宋" w:eastAsia="仿宋" w:hAnsi="仿宋" w:cs="仿宋"/>
          <w:sz w:val="32"/>
          <w:szCs w:val="32"/>
        </w:rPr>
        <w:t>2</w:t>
      </w:r>
      <w:r>
        <w:rPr>
          <w:rFonts w:ascii="仿宋" w:eastAsia="仿宋" w:hAnsi="仿宋" w:cs="仿宋" w:hint="eastAsia"/>
          <w:sz w:val="32"/>
          <w:szCs w:val="32"/>
        </w:rPr>
        <w:t>．评价实施阶段</w:t>
      </w:r>
      <w:bookmarkEnd w:id="9"/>
    </w:p>
    <w:p w14:paraId="1BFFBD74"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）项目绩效自评报告复核。评价工作组在规定时间内，按要求对提交的项目绩效自评报告和相关材料进行复核。复核内容主要包括：绩效报告中各项内容的完整性、真实性，各项数据的逻辑关系、勾</w:t>
      </w:r>
      <w:proofErr w:type="gramStart"/>
      <w:r>
        <w:rPr>
          <w:rFonts w:ascii="仿宋" w:eastAsia="仿宋" w:hAnsi="仿宋" w:cs="仿宋" w:hint="eastAsia"/>
          <w:sz w:val="32"/>
          <w:szCs w:val="32"/>
        </w:rPr>
        <w:t>稽</w:t>
      </w:r>
      <w:proofErr w:type="gramEnd"/>
      <w:r>
        <w:rPr>
          <w:rFonts w:ascii="仿宋" w:eastAsia="仿宋" w:hAnsi="仿宋" w:cs="仿宋" w:hint="eastAsia"/>
          <w:sz w:val="32"/>
          <w:szCs w:val="32"/>
        </w:rPr>
        <w:t>关系的准确性。发现问题，及时反馈意见，要求项目单位进行修改、完善。同时，评价工作组人员对所收集的资料实地勘测、查对，并对现场考察所掌握的情况进行认真核对、全面分析，进行资金合</w:t>
      </w:r>
      <w:proofErr w:type="gramStart"/>
      <w:r>
        <w:rPr>
          <w:rFonts w:ascii="仿宋" w:eastAsia="仿宋" w:hAnsi="仿宋" w:cs="仿宋" w:hint="eastAsia"/>
          <w:sz w:val="32"/>
          <w:szCs w:val="32"/>
        </w:rPr>
        <w:t>规</w:t>
      </w:r>
      <w:proofErr w:type="gramEnd"/>
      <w:r>
        <w:rPr>
          <w:rFonts w:ascii="仿宋" w:eastAsia="仿宋" w:hAnsi="仿宋" w:cs="仿宋" w:hint="eastAsia"/>
          <w:sz w:val="32"/>
          <w:szCs w:val="32"/>
        </w:rPr>
        <w:t>性审查。对重要的和存在疑问的基础数据资料进行核实确认，确保评</w:t>
      </w:r>
      <w:r>
        <w:rPr>
          <w:rFonts w:ascii="仿宋" w:eastAsia="仿宋" w:hAnsi="仿宋" w:cs="仿宋" w:hint="eastAsia"/>
          <w:sz w:val="32"/>
          <w:szCs w:val="32"/>
        </w:rPr>
        <w:lastRenderedPageBreak/>
        <w:t>价数据的真实性。</w:t>
      </w:r>
    </w:p>
    <w:p w14:paraId="3D13C450"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）编制专家评价手册，准备专家评价会议所需资料。</w:t>
      </w:r>
    </w:p>
    <w:p w14:paraId="3A5EFB3E"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）组织实施评价。</w:t>
      </w:r>
    </w:p>
    <w:p w14:paraId="68D94C9E"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4</w:t>
      </w:r>
      <w:r>
        <w:rPr>
          <w:rFonts w:ascii="仿宋" w:eastAsia="仿宋" w:hAnsi="仿宋" w:cs="仿宋" w:hint="eastAsia"/>
          <w:sz w:val="32"/>
          <w:szCs w:val="32"/>
        </w:rPr>
        <w:t>）汇总专家意见，形成评价报告初稿。</w:t>
      </w:r>
    </w:p>
    <w:p w14:paraId="735D3418" w14:textId="77777777" w:rsidR="00E243E3" w:rsidRDefault="00000000">
      <w:pPr>
        <w:spacing w:line="360" w:lineRule="auto"/>
        <w:ind w:firstLineChars="200" w:firstLine="640"/>
        <w:rPr>
          <w:rFonts w:ascii="仿宋" w:eastAsia="仿宋" w:hAnsi="仿宋" w:cs="Times New Roman"/>
          <w:sz w:val="32"/>
          <w:szCs w:val="32"/>
        </w:rPr>
      </w:pPr>
      <w:bookmarkStart w:id="10" w:name="_Toc371943468"/>
      <w:r>
        <w:rPr>
          <w:rFonts w:ascii="仿宋" w:eastAsia="仿宋" w:hAnsi="仿宋" w:cs="仿宋"/>
          <w:sz w:val="32"/>
          <w:szCs w:val="32"/>
        </w:rPr>
        <w:t>3</w:t>
      </w:r>
      <w:r>
        <w:rPr>
          <w:rFonts w:ascii="仿宋" w:eastAsia="仿宋" w:hAnsi="仿宋" w:cs="仿宋" w:hint="eastAsia"/>
          <w:sz w:val="32"/>
          <w:szCs w:val="32"/>
        </w:rPr>
        <w:t>．评价总结阶段</w:t>
      </w:r>
      <w:bookmarkEnd w:id="10"/>
    </w:p>
    <w:p w14:paraId="59A46FBC"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）与项目单位沟通意见，在充分研究论证的基础上，修改和完善项目绩效评价报告。</w:t>
      </w:r>
    </w:p>
    <w:p w14:paraId="145F523F"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）协助做好此次评价后续工作。</w:t>
      </w:r>
    </w:p>
    <w:p w14:paraId="27E2F149" w14:textId="77777777" w:rsidR="00E243E3" w:rsidRDefault="00000000">
      <w:pPr>
        <w:pStyle w:val="1"/>
        <w:spacing w:before="0" w:after="0" w:line="360" w:lineRule="auto"/>
        <w:ind w:firstLineChars="200" w:firstLine="640"/>
        <w:rPr>
          <w:rFonts w:eastAsia="黑体" w:cs="Times New Roman"/>
          <w:b w:val="0"/>
          <w:bCs w:val="0"/>
          <w:snapToGrid w:val="0"/>
          <w:color w:val="000000"/>
          <w:kern w:val="0"/>
          <w:sz w:val="32"/>
          <w:szCs w:val="32"/>
        </w:rPr>
      </w:pPr>
      <w:bookmarkStart w:id="11" w:name="_Toc31527"/>
      <w:r>
        <w:rPr>
          <w:rFonts w:eastAsia="黑体" w:cs="黑体" w:hint="eastAsia"/>
          <w:b w:val="0"/>
          <w:bCs w:val="0"/>
          <w:snapToGrid w:val="0"/>
          <w:color w:val="000000"/>
          <w:kern w:val="0"/>
          <w:sz w:val="32"/>
          <w:szCs w:val="32"/>
        </w:rPr>
        <w:t>三、综合评价情况及评价结论</w:t>
      </w:r>
      <w:bookmarkEnd w:id="11"/>
    </w:p>
    <w:p w14:paraId="484F526A"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该项目立项背景完善，总体绩效目标较明确，管理严谨，项目实施效果较为显著。但在项目实施过程中存在个别绩效目标设置不合理，未开展满意度调查工作等问题。</w:t>
      </w:r>
    </w:p>
    <w:p w14:paraId="26197EA2"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经评价，该项目综合评价得分</w:t>
      </w:r>
      <w:r>
        <w:rPr>
          <w:rFonts w:ascii="仿宋" w:eastAsia="仿宋" w:hAnsi="仿宋" w:cs="仿宋"/>
          <w:sz w:val="32"/>
          <w:szCs w:val="32"/>
        </w:rPr>
        <w:t>88.92</w:t>
      </w:r>
      <w:r>
        <w:rPr>
          <w:rFonts w:ascii="仿宋" w:eastAsia="仿宋" w:hAnsi="仿宋" w:cs="仿宋" w:hint="eastAsia"/>
          <w:sz w:val="32"/>
          <w:szCs w:val="32"/>
        </w:rPr>
        <w:t>分，绩效级别评定为“良”。</w:t>
      </w:r>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5"/>
        <w:gridCol w:w="2765"/>
        <w:gridCol w:w="2766"/>
      </w:tblGrid>
      <w:tr w:rsidR="00E243E3" w14:paraId="2522255A" w14:textId="77777777">
        <w:trPr>
          <w:trHeight w:val="624"/>
        </w:trPr>
        <w:tc>
          <w:tcPr>
            <w:tcW w:w="2765" w:type="dxa"/>
            <w:shd w:val="clear" w:color="auto" w:fill="DDDDDD"/>
            <w:vAlign w:val="center"/>
          </w:tcPr>
          <w:p w14:paraId="3B1BC353" w14:textId="77777777" w:rsidR="00E243E3" w:rsidRDefault="00000000">
            <w:pPr>
              <w:spacing w:line="360" w:lineRule="auto"/>
              <w:jc w:val="center"/>
              <w:rPr>
                <w:rFonts w:ascii="宋体" w:cs="Times New Roman"/>
                <w:b/>
                <w:bCs/>
                <w:color w:val="000000"/>
                <w:sz w:val="28"/>
                <w:szCs w:val="28"/>
              </w:rPr>
            </w:pPr>
            <w:r>
              <w:rPr>
                <w:rFonts w:ascii="宋体" w:hAnsi="宋体" w:cs="宋体" w:hint="eastAsia"/>
                <w:b/>
                <w:bCs/>
                <w:color w:val="000000"/>
                <w:sz w:val="28"/>
                <w:szCs w:val="28"/>
              </w:rPr>
              <w:t>评价内容</w:t>
            </w:r>
          </w:p>
        </w:tc>
        <w:tc>
          <w:tcPr>
            <w:tcW w:w="2765" w:type="dxa"/>
            <w:shd w:val="clear" w:color="auto" w:fill="DDDDDD"/>
            <w:vAlign w:val="center"/>
          </w:tcPr>
          <w:p w14:paraId="33212304" w14:textId="77777777" w:rsidR="00E243E3" w:rsidRDefault="00000000">
            <w:pPr>
              <w:spacing w:line="360" w:lineRule="auto"/>
              <w:jc w:val="center"/>
              <w:rPr>
                <w:rFonts w:ascii="宋体" w:cs="Times New Roman"/>
                <w:b/>
                <w:bCs/>
                <w:color w:val="000000"/>
                <w:sz w:val="28"/>
                <w:szCs w:val="28"/>
              </w:rPr>
            </w:pPr>
            <w:r>
              <w:rPr>
                <w:rFonts w:ascii="宋体" w:hAnsi="宋体" w:cs="宋体" w:hint="eastAsia"/>
                <w:b/>
                <w:bCs/>
                <w:color w:val="000000"/>
                <w:sz w:val="28"/>
                <w:szCs w:val="28"/>
              </w:rPr>
              <w:t>分值</w:t>
            </w:r>
          </w:p>
        </w:tc>
        <w:tc>
          <w:tcPr>
            <w:tcW w:w="2766" w:type="dxa"/>
            <w:shd w:val="clear" w:color="auto" w:fill="DDDDDD"/>
            <w:vAlign w:val="center"/>
          </w:tcPr>
          <w:p w14:paraId="19491E75" w14:textId="77777777" w:rsidR="00E243E3" w:rsidRDefault="00000000">
            <w:pPr>
              <w:spacing w:line="360" w:lineRule="auto"/>
              <w:jc w:val="center"/>
              <w:rPr>
                <w:rFonts w:ascii="宋体" w:cs="Times New Roman"/>
                <w:b/>
                <w:bCs/>
                <w:color w:val="000000"/>
                <w:sz w:val="28"/>
                <w:szCs w:val="28"/>
              </w:rPr>
            </w:pPr>
            <w:r>
              <w:rPr>
                <w:rFonts w:ascii="宋体" w:hAnsi="宋体" w:cs="宋体" w:hint="eastAsia"/>
                <w:b/>
                <w:bCs/>
                <w:color w:val="000000"/>
                <w:sz w:val="28"/>
                <w:szCs w:val="28"/>
              </w:rPr>
              <w:t>评价得分</w:t>
            </w:r>
          </w:p>
        </w:tc>
      </w:tr>
      <w:tr w:rsidR="00E243E3" w14:paraId="1C03E539" w14:textId="77777777">
        <w:trPr>
          <w:trHeight w:val="624"/>
        </w:trPr>
        <w:tc>
          <w:tcPr>
            <w:tcW w:w="2765" w:type="dxa"/>
            <w:shd w:val="clear" w:color="auto" w:fill="DDDDDD"/>
            <w:vAlign w:val="center"/>
          </w:tcPr>
          <w:p w14:paraId="29FFC60A" w14:textId="77777777" w:rsidR="00E243E3" w:rsidRDefault="00000000">
            <w:pPr>
              <w:spacing w:line="360" w:lineRule="auto"/>
              <w:jc w:val="center"/>
              <w:rPr>
                <w:rFonts w:ascii="宋体" w:cs="Times New Roman"/>
                <w:color w:val="000000"/>
                <w:sz w:val="24"/>
                <w:szCs w:val="24"/>
              </w:rPr>
            </w:pPr>
            <w:r>
              <w:rPr>
                <w:rFonts w:ascii="宋体" w:hAnsi="宋体" w:cs="宋体" w:hint="eastAsia"/>
                <w:color w:val="000000"/>
                <w:sz w:val="24"/>
                <w:szCs w:val="24"/>
              </w:rPr>
              <w:t>项目决策</w:t>
            </w:r>
          </w:p>
        </w:tc>
        <w:tc>
          <w:tcPr>
            <w:tcW w:w="2765" w:type="dxa"/>
            <w:shd w:val="clear" w:color="auto" w:fill="DDDDDD"/>
            <w:vAlign w:val="center"/>
          </w:tcPr>
          <w:p w14:paraId="545D2707" w14:textId="77777777" w:rsidR="00E243E3" w:rsidRDefault="00000000">
            <w:pPr>
              <w:spacing w:line="360" w:lineRule="auto"/>
              <w:jc w:val="center"/>
              <w:rPr>
                <w:rFonts w:ascii="宋体" w:cs="Times New Roman"/>
                <w:color w:val="000000"/>
                <w:sz w:val="24"/>
                <w:szCs w:val="24"/>
              </w:rPr>
            </w:pPr>
            <w:r>
              <w:rPr>
                <w:rFonts w:ascii="宋体" w:hAnsi="宋体" w:cs="宋体"/>
                <w:color w:val="000000"/>
                <w:sz w:val="24"/>
                <w:szCs w:val="24"/>
              </w:rPr>
              <w:t>15</w:t>
            </w:r>
          </w:p>
        </w:tc>
        <w:tc>
          <w:tcPr>
            <w:tcW w:w="2766" w:type="dxa"/>
            <w:shd w:val="clear" w:color="auto" w:fill="DDDDDD"/>
            <w:vAlign w:val="center"/>
          </w:tcPr>
          <w:p w14:paraId="14AF16A1" w14:textId="77777777" w:rsidR="00E243E3" w:rsidRDefault="00000000">
            <w:pPr>
              <w:spacing w:line="360" w:lineRule="auto"/>
              <w:jc w:val="center"/>
              <w:rPr>
                <w:rFonts w:ascii="宋体" w:cs="Times New Roman"/>
                <w:color w:val="000000"/>
                <w:sz w:val="24"/>
                <w:szCs w:val="24"/>
              </w:rPr>
            </w:pPr>
            <w:r>
              <w:rPr>
                <w:rFonts w:ascii="宋体" w:hAnsi="宋体" w:cs="宋体"/>
                <w:color w:val="000000"/>
                <w:sz w:val="24"/>
                <w:szCs w:val="24"/>
              </w:rPr>
              <w:t>13.90</w:t>
            </w:r>
          </w:p>
        </w:tc>
      </w:tr>
      <w:tr w:rsidR="00E243E3" w14:paraId="12C5502F" w14:textId="77777777">
        <w:trPr>
          <w:trHeight w:val="624"/>
        </w:trPr>
        <w:tc>
          <w:tcPr>
            <w:tcW w:w="2765" w:type="dxa"/>
            <w:shd w:val="clear" w:color="auto" w:fill="DDDDDD"/>
            <w:vAlign w:val="center"/>
          </w:tcPr>
          <w:p w14:paraId="5C7D812A" w14:textId="77777777" w:rsidR="00E243E3" w:rsidRDefault="00000000">
            <w:pPr>
              <w:spacing w:line="360" w:lineRule="auto"/>
              <w:jc w:val="center"/>
              <w:rPr>
                <w:rFonts w:ascii="宋体" w:cs="Times New Roman"/>
                <w:color w:val="000000"/>
                <w:sz w:val="24"/>
                <w:szCs w:val="24"/>
              </w:rPr>
            </w:pPr>
            <w:r>
              <w:rPr>
                <w:rFonts w:ascii="宋体" w:hAnsi="宋体" w:cs="宋体" w:hint="eastAsia"/>
                <w:color w:val="000000"/>
                <w:sz w:val="24"/>
                <w:szCs w:val="24"/>
              </w:rPr>
              <w:t>项目管理</w:t>
            </w:r>
          </w:p>
        </w:tc>
        <w:tc>
          <w:tcPr>
            <w:tcW w:w="2765" w:type="dxa"/>
            <w:shd w:val="clear" w:color="auto" w:fill="DDDDDD"/>
            <w:vAlign w:val="center"/>
          </w:tcPr>
          <w:p w14:paraId="55D110B5" w14:textId="77777777" w:rsidR="00E243E3" w:rsidRDefault="00000000">
            <w:pPr>
              <w:spacing w:line="360" w:lineRule="auto"/>
              <w:jc w:val="center"/>
              <w:rPr>
                <w:rFonts w:ascii="宋体" w:cs="Times New Roman"/>
                <w:color w:val="000000"/>
                <w:sz w:val="24"/>
                <w:szCs w:val="24"/>
              </w:rPr>
            </w:pPr>
            <w:r>
              <w:rPr>
                <w:rFonts w:ascii="宋体" w:hAnsi="宋体" w:cs="宋体"/>
                <w:color w:val="000000"/>
                <w:sz w:val="24"/>
                <w:szCs w:val="24"/>
              </w:rPr>
              <w:t>25</w:t>
            </w:r>
          </w:p>
        </w:tc>
        <w:tc>
          <w:tcPr>
            <w:tcW w:w="2766" w:type="dxa"/>
            <w:shd w:val="clear" w:color="auto" w:fill="DDDDDD"/>
            <w:vAlign w:val="center"/>
          </w:tcPr>
          <w:p w14:paraId="507AD189" w14:textId="77777777" w:rsidR="00E243E3" w:rsidRDefault="00000000">
            <w:pPr>
              <w:spacing w:line="360" w:lineRule="auto"/>
              <w:jc w:val="center"/>
              <w:rPr>
                <w:rFonts w:ascii="宋体" w:cs="Times New Roman"/>
                <w:color w:val="000000"/>
                <w:sz w:val="24"/>
                <w:szCs w:val="24"/>
              </w:rPr>
            </w:pPr>
            <w:r>
              <w:rPr>
                <w:rFonts w:ascii="宋体" w:hAnsi="宋体" w:cs="宋体"/>
                <w:color w:val="000000"/>
                <w:sz w:val="24"/>
                <w:szCs w:val="24"/>
              </w:rPr>
              <w:t>22.02</w:t>
            </w:r>
          </w:p>
        </w:tc>
      </w:tr>
      <w:tr w:rsidR="00E243E3" w14:paraId="22BBEAE2" w14:textId="77777777">
        <w:trPr>
          <w:trHeight w:val="624"/>
        </w:trPr>
        <w:tc>
          <w:tcPr>
            <w:tcW w:w="2765" w:type="dxa"/>
            <w:shd w:val="clear" w:color="auto" w:fill="DDDDDD"/>
            <w:vAlign w:val="center"/>
          </w:tcPr>
          <w:p w14:paraId="36A1E5A1" w14:textId="77777777" w:rsidR="00E243E3" w:rsidRDefault="00000000">
            <w:pPr>
              <w:spacing w:line="360" w:lineRule="auto"/>
              <w:jc w:val="center"/>
              <w:rPr>
                <w:rFonts w:ascii="宋体" w:cs="Times New Roman"/>
                <w:color w:val="000000"/>
                <w:sz w:val="24"/>
                <w:szCs w:val="24"/>
              </w:rPr>
            </w:pPr>
            <w:r>
              <w:rPr>
                <w:rFonts w:ascii="宋体" w:hAnsi="宋体" w:cs="宋体" w:hint="eastAsia"/>
                <w:color w:val="000000"/>
                <w:sz w:val="24"/>
                <w:szCs w:val="24"/>
              </w:rPr>
              <w:t>项目产出</w:t>
            </w:r>
          </w:p>
        </w:tc>
        <w:tc>
          <w:tcPr>
            <w:tcW w:w="2765" w:type="dxa"/>
            <w:shd w:val="clear" w:color="auto" w:fill="DDDDDD"/>
            <w:vAlign w:val="center"/>
          </w:tcPr>
          <w:p w14:paraId="7BF3210F" w14:textId="77777777" w:rsidR="00E243E3" w:rsidRDefault="00000000">
            <w:pPr>
              <w:spacing w:line="360" w:lineRule="auto"/>
              <w:jc w:val="center"/>
              <w:rPr>
                <w:rFonts w:ascii="宋体" w:cs="Times New Roman"/>
                <w:color w:val="000000"/>
                <w:sz w:val="24"/>
                <w:szCs w:val="24"/>
              </w:rPr>
            </w:pPr>
            <w:r>
              <w:rPr>
                <w:rFonts w:ascii="宋体" w:hAnsi="宋体" w:cs="宋体"/>
                <w:color w:val="000000"/>
                <w:sz w:val="24"/>
                <w:szCs w:val="24"/>
              </w:rPr>
              <w:t>30</w:t>
            </w:r>
          </w:p>
        </w:tc>
        <w:tc>
          <w:tcPr>
            <w:tcW w:w="2766" w:type="dxa"/>
            <w:shd w:val="clear" w:color="auto" w:fill="DDDDDD"/>
            <w:vAlign w:val="center"/>
          </w:tcPr>
          <w:p w14:paraId="394838E8" w14:textId="77777777" w:rsidR="00E243E3" w:rsidRDefault="00000000">
            <w:pPr>
              <w:spacing w:line="360" w:lineRule="auto"/>
              <w:jc w:val="center"/>
              <w:rPr>
                <w:rFonts w:ascii="宋体" w:cs="Times New Roman"/>
                <w:color w:val="000000"/>
                <w:sz w:val="24"/>
                <w:szCs w:val="24"/>
              </w:rPr>
            </w:pPr>
            <w:r>
              <w:rPr>
                <w:rFonts w:ascii="宋体" w:hAnsi="宋体" w:cs="宋体"/>
                <w:color w:val="000000"/>
                <w:sz w:val="24"/>
                <w:szCs w:val="24"/>
              </w:rPr>
              <w:t>26.68</w:t>
            </w:r>
          </w:p>
        </w:tc>
      </w:tr>
      <w:tr w:rsidR="00E243E3" w14:paraId="74F085CE" w14:textId="77777777">
        <w:trPr>
          <w:trHeight w:val="624"/>
        </w:trPr>
        <w:tc>
          <w:tcPr>
            <w:tcW w:w="2765" w:type="dxa"/>
            <w:shd w:val="clear" w:color="auto" w:fill="DDDDDD"/>
            <w:vAlign w:val="center"/>
          </w:tcPr>
          <w:p w14:paraId="1E2EA856" w14:textId="77777777" w:rsidR="00E243E3" w:rsidRDefault="00000000">
            <w:pPr>
              <w:spacing w:line="360" w:lineRule="auto"/>
              <w:jc w:val="center"/>
              <w:rPr>
                <w:rFonts w:ascii="宋体" w:cs="Times New Roman"/>
                <w:color w:val="000000"/>
                <w:sz w:val="24"/>
                <w:szCs w:val="24"/>
              </w:rPr>
            </w:pPr>
            <w:r>
              <w:rPr>
                <w:rFonts w:ascii="宋体" w:hAnsi="宋体" w:cs="宋体" w:hint="eastAsia"/>
                <w:color w:val="000000"/>
                <w:sz w:val="24"/>
                <w:szCs w:val="24"/>
              </w:rPr>
              <w:t>项目效益</w:t>
            </w:r>
          </w:p>
        </w:tc>
        <w:tc>
          <w:tcPr>
            <w:tcW w:w="2765" w:type="dxa"/>
            <w:shd w:val="clear" w:color="auto" w:fill="DDDDDD"/>
            <w:vAlign w:val="center"/>
          </w:tcPr>
          <w:p w14:paraId="7EFCA29C" w14:textId="77777777" w:rsidR="00E243E3" w:rsidRDefault="00000000">
            <w:pPr>
              <w:spacing w:line="360" w:lineRule="auto"/>
              <w:jc w:val="center"/>
              <w:rPr>
                <w:rFonts w:ascii="宋体" w:cs="Times New Roman"/>
                <w:color w:val="000000"/>
                <w:sz w:val="24"/>
                <w:szCs w:val="24"/>
              </w:rPr>
            </w:pPr>
            <w:r>
              <w:rPr>
                <w:rFonts w:ascii="宋体" w:hAnsi="宋体" w:cs="宋体"/>
                <w:color w:val="000000"/>
                <w:sz w:val="24"/>
                <w:szCs w:val="24"/>
              </w:rPr>
              <w:t>30</w:t>
            </w:r>
          </w:p>
        </w:tc>
        <w:tc>
          <w:tcPr>
            <w:tcW w:w="2766" w:type="dxa"/>
            <w:shd w:val="clear" w:color="auto" w:fill="DDDDDD"/>
            <w:vAlign w:val="center"/>
          </w:tcPr>
          <w:p w14:paraId="3CF743CB" w14:textId="77777777" w:rsidR="00E243E3" w:rsidRDefault="00000000">
            <w:pPr>
              <w:spacing w:line="360" w:lineRule="auto"/>
              <w:jc w:val="center"/>
              <w:rPr>
                <w:rFonts w:ascii="宋体" w:cs="Times New Roman"/>
                <w:color w:val="000000"/>
                <w:sz w:val="24"/>
                <w:szCs w:val="24"/>
              </w:rPr>
            </w:pPr>
            <w:r>
              <w:rPr>
                <w:rFonts w:ascii="宋体" w:hAnsi="宋体" w:cs="宋体"/>
                <w:color w:val="000000"/>
                <w:sz w:val="24"/>
                <w:szCs w:val="24"/>
              </w:rPr>
              <w:t>26.32</w:t>
            </w:r>
          </w:p>
        </w:tc>
      </w:tr>
      <w:tr w:rsidR="00E243E3" w14:paraId="531192C4" w14:textId="77777777">
        <w:trPr>
          <w:trHeight w:val="624"/>
        </w:trPr>
        <w:tc>
          <w:tcPr>
            <w:tcW w:w="2765" w:type="dxa"/>
            <w:shd w:val="clear" w:color="auto" w:fill="DDDDDD"/>
            <w:vAlign w:val="center"/>
          </w:tcPr>
          <w:p w14:paraId="4A4A1F7B" w14:textId="77777777" w:rsidR="00E243E3" w:rsidRDefault="00000000">
            <w:pPr>
              <w:spacing w:line="360" w:lineRule="auto"/>
              <w:jc w:val="center"/>
              <w:rPr>
                <w:rFonts w:ascii="宋体" w:cs="Times New Roman"/>
                <w:color w:val="000000"/>
                <w:sz w:val="24"/>
                <w:szCs w:val="24"/>
              </w:rPr>
            </w:pPr>
            <w:r>
              <w:rPr>
                <w:rFonts w:ascii="宋体" w:hAnsi="宋体" w:cs="宋体" w:hint="eastAsia"/>
                <w:color w:val="000000"/>
                <w:sz w:val="24"/>
                <w:szCs w:val="24"/>
              </w:rPr>
              <w:t>综合评价</w:t>
            </w:r>
          </w:p>
        </w:tc>
        <w:tc>
          <w:tcPr>
            <w:tcW w:w="2765" w:type="dxa"/>
            <w:shd w:val="clear" w:color="auto" w:fill="DDDDDD"/>
            <w:vAlign w:val="center"/>
          </w:tcPr>
          <w:p w14:paraId="18A67E0A" w14:textId="77777777" w:rsidR="00E243E3" w:rsidRDefault="00000000">
            <w:pPr>
              <w:spacing w:line="360" w:lineRule="auto"/>
              <w:jc w:val="center"/>
              <w:rPr>
                <w:rFonts w:ascii="宋体" w:cs="Times New Roman"/>
                <w:color w:val="000000"/>
                <w:sz w:val="24"/>
                <w:szCs w:val="24"/>
              </w:rPr>
            </w:pPr>
            <w:r>
              <w:rPr>
                <w:rFonts w:ascii="宋体" w:hAnsi="宋体" w:cs="宋体"/>
                <w:color w:val="000000"/>
                <w:sz w:val="24"/>
                <w:szCs w:val="24"/>
              </w:rPr>
              <w:t>100</w:t>
            </w:r>
          </w:p>
        </w:tc>
        <w:tc>
          <w:tcPr>
            <w:tcW w:w="2766" w:type="dxa"/>
            <w:shd w:val="clear" w:color="auto" w:fill="DDDDDD"/>
            <w:vAlign w:val="center"/>
          </w:tcPr>
          <w:p w14:paraId="463DFCA1" w14:textId="77777777" w:rsidR="00E243E3" w:rsidRDefault="00000000">
            <w:pPr>
              <w:spacing w:line="360" w:lineRule="auto"/>
              <w:jc w:val="center"/>
              <w:rPr>
                <w:rFonts w:ascii="宋体" w:cs="Times New Roman"/>
                <w:color w:val="000000"/>
                <w:sz w:val="24"/>
                <w:szCs w:val="24"/>
              </w:rPr>
            </w:pPr>
            <w:r>
              <w:rPr>
                <w:rFonts w:ascii="宋体" w:hAnsi="宋体" w:cs="宋体"/>
                <w:color w:val="000000"/>
                <w:sz w:val="24"/>
                <w:szCs w:val="24"/>
              </w:rPr>
              <w:t>88.92</w:t>
            </w:r>
          </w:p>
        </w:tc>
      </w:tr>
      <w:tr w:rsidR="00E243E3" w14:paraId="712E7CE6" w14:textId="77777777">
        <w:trPr>
          <w:trHeight w:val="624"/>
        </w:trPr>
        <w:tc>
          <w:tcPr>
            <w:tcW w:w="2765" w:type="dxa"/>
            <w:shd w:val="clear" w:color="auto" w:fill="DDDDDD"/>
            <w:vAlign w:val="center"/>
          </w:tcPr>
          <w:p w14:paraId="643840B8" w14:textId="77777777" w:rsidR="00E243E3" w:rsidRDefault="00000000">
            <w:pPr>
              <w:spacing w:line="360" w:lineRule="auto"/>
              <w:jc w:val="center"/>
              <w:rPr>
                <w:rFonts w:ascii="宋体" w:cs="Times New Roman"/>
                <w:b/>
                <w:bCs/>
                <w:color w:val="000000"/>
                <w:sz w:val="28"/>
                <w:szCs w:val="28"/>
              </w:rPr>
            </w:pPr>
            <w:r>
              <w:rPr>
                <w:rFonts w:ascii="宋体" w:hAnsi="宋体" w:cs="宋体" w:hint="eastAsia"/>
                <w:b/>
                <w:bCs/>
                <w:color w:val="000000"/>
                <w:sz w:val="28"/>
                <w:szCs w:val="28"/>
              </w:rPr>
              <w:t>绩效级别评定</w:t>
            </w:r>
          </w:p>
        </w:tc>
        <w:tc>
          <w:tcPr>
            <w:tcW w:w="5531" w:type="dxa"/>
            <w:gridSpan w:val="2"/>
            <w:shd w:val="clear" w:color="auto" w:fill="DDDDDD"/>
            <w:vAlign w:val="center"/>
          </w:tcPr>
          <w:p w14:paraId="5D17B2AD" w14:textId="77777777" w:rsidR="00E243E3" w:rsidRDefault="00000000">
            <w:pPr>
              <w:spacing w:line="360" w:lineRule="auto"/>
              <w:jc w:val="center"/>
              <w:rPr>
                <w:rFonts w:ascii="宋体" w:cs="Times New Roman"/>
                <w:b/>
                <w:bCs/>
                <w:color w:val="000000"/>
                <w:sz w:val="28"/>
                <w:szCs w:val="28"/>
              </w:rPr>
            </w:pPr>
            <w:r>
              <w:rPr>
                <w:rFonts w:ascii="宋体" w:hAnsi="宋体" w:cs="宋体" w:hint="eastAsia"/>
                <w:b/>
                <w:bCs/>
                <w:color w:val="000000"/>
                <w:sz w:val="28"/>
                <w:szCs w:val="28"/>
              </w:rPr>
              <w:t>良</w:t>
            </w:r>
          </w:p>
        </w:tc>
      </w:tr>
    </w:tbl>
    <w:p w14:paraId="1F7A6C88" w14:textId="77777777" w:rsidR="00E243E3" w:rsidRDefault="00000000">
      <w:pPr>
        <w:pStyle w:val="1"/>
        <w:spacing w:before="0" w:after="0" w:line="360" w:lineRule="auto"/>
        <w:ind w:firstLineChars="200" w:firstLine="640"/>
        <w:rPr>
          <w:rFonts w:eastAsia="黑体" w:cs="Times New Roman"/>
          <w:b w:val="0"/>
          <w:bCs w:val="0"/>
          <w:snapToGrid w:val="0"/>
          <w:color w:val="000000"/>
          <w:kern w:val="0"/>
          <w:sz w:val="32"/>
          <w:szCs w:val="32"/>
        </w:rPr>
      </w:pPr>
      <w:bookmarkStart w:id="12" w:name="_Toc7737"/>
      <w:r>
        <w:rPr>
          <w:rFonts w:eastAsia="黑体" w:cs="黑体" w:hint="eastAsia"/>
          <w:b w:val="0"/>
          <w:bCs w:val="0"/>
          <w:snapToGrid w:val="0"/>
          <w:color w:val="000000"/>
          <w:kern w:val="0"/>
          <w:sz w:val="32"/>
          <w:szCs w:val="32"/>
        </w:rPr>
        <w:lastRenderedPageBreak/>
        <w:t>四、绩效评价指标分析</w:t>
      </w:r>
      <w:bookmarkEnd w:id="12"/>
    </w:p>
    <w:p w14:paraId="36A26351" w14:textId="77777777" w:rsidR="00E243E3" w:rsidRDefault="00000000">
      <w:pPr>
        <w:pStyle w:val="2"/>
        <w:spacing w:before="0" w:after="0" w:line="360" w:lineRule="auto"/>
        <w:ind w:firstLineChars="200" w:firstLine="643"/>
        <w:rPr>
          <w:rFonts w:ascii="楷体" w:eastAsia="楷体" w:hAnsi="楷体" w:cs="Times New Roman"/>
          <w:kern w:val="44"/>
        </w:rPr>
      </w:pPr>
      <w:bookmarkStart w:id="13" w:name="_Toc10339"/>
      <w:r>
        <w:rPr>
          <w:rFonts w:ascii="楷体" w:eastAsia="楷体" w:hAnsi="楷体" w:cs="楷体" w:hint="eastAsia"/>
          <w:kern w:val="44"/>
        </w:rPr>
        <w:t>（一）项目决策情况</w:t>
      </w:r>
      <w:bookmarkEnd w:id="13"/>
    </w:p>
    <w:p w14:paraId="0EC8DFF6"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sz w:val="32"/>
          <w:szCs w:val="32"/>
        </w:rPr>
        <w:t>1</w:t>
      </w:r>
      <w:r>
        <w:rPr>
          <w:rFonts w:ascii="仿宋" w:eastAsia="仿宋" w:hAnsi="仿宋" w:cs="仿宋" w:hint="eastAsia"/>
          <w:sz w:val="32"/>
          <w:szCs w:val="32"/>
        </w:rPr>
        <w:t>．项目立项分析</w:t>
      </w:r>
    </w:p>
    <w:p w14:paraId="4B44A96C"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项目根据香山革命纪念馆工作计划要求，按照财政立项流程，取得财政批复，完成项目立项。</w:t>
      </w:r>
    </w:p>
    <w:p w14:paraId="242471E6"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评价分析认为，该项目决策依据较充分，决策程序科学、规范，符合香山革命纪念馆的整体工作规划，具有实际意义。按照部门预算编制通知等相关要求，组织开展立项并申报部门预算，符合绩效管理需求。</w:t>
      </w:r>
    </w:p>
    <w:p w14:paraId="253239FB"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sz w:val="32"/>
          <w:szCs w:val="32"/>
        </w:rPr>
        <w:t>2</w:t>
      </w:r>
      <w:r>
        <w:rPr>
          <w:rFonts w:ascii="仿宋" w:eastAsia="仿宋" w:hAnsi="仿宋" w:cs="仿宋" w:hint="eastAsia"/>
          <w:sz w:val="32"/>
          <w:szCs w:val="32"/>
        </w:rPr>
        <w:t>．项目绩效目标评价分析</w:t>
      </w:r>
    </w:p>
    <w:p w14:paraId="12E71938"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）目标明确性分析</w:t>
      </w:r>
    </w:p>
    <w:p w14:paraId="46BF3450"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该项目按照香山革命纪念馆的总体工作部署，设置了较为明确的总体目标。</w:t>
      </w:r>
    </w:p>
    <w:p w14:paraId="3046B908"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）目标合理性分析</w:t>
      </w:r>
    </w:p>
    <w:p w14:paraId="243524D3"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该项目设定的目标符合香山革命纪念馆总体工作部署及相关会议精神，总体目标设定较为合理。但个别指标设置合理性不足，如：质量指标设置为“符合香山革命纪念馆文物收藏范围及入藏标准”，入</w:t>
      </w:r>
      <w:proofErr w:type="gramStart"/>
      <w:r>
        <w:rPr>
          <w:rFonts w:ascii="仿宋" w:eastAsia="仿宋" w:hAnsi="仿宋" w:cs="仿宋" w:hint="eastAsia"/>
          <w:sz w:val="32"/>
          <w:szCs w:val="32"/>
        </w:rPr>
        <w:t>藏标准</w:t>
      </w:r>
      <w:proofErr w:type="gramEnd"/>
      <w:r>
        <w:rPr>
          <w:rFonts w:ascii="仿宋" w:eastAsia="仿宋" w:hAnsi="仿宋" w:cs="仿宋" w:hint="eastAsia"/>
          <w:sz w:val="32"/>
          <w:szCs w:val="32"/>
        </w:rPr>
        <w:t>未细化；进度指标时间设置为“2020年1月至11月完成文物征集及复仿制工作”，时间出现笔误，</w:t>
      </w:r>
      <w:proofErr w:type="gramStart"/>
      <w:r>
        <w:rPr>
          <w:rFonts w:ascii="仿宋" w:eastAsia="仿宋" w:hAnsi="仿宋" w:cs="仿宋" w:hint="eastAsia"/>
          <w:sz w:val="32"/>
          <w:szCs w:val="32"/>
        </w:rPr>
        <w:t>且指标</w:t>
      </w:r>
      <w:proofErr w:type="gramEnd"/>
      <w:r>
        <w:rPr>
          <w:rFonts w:ascii="仿宋" w:eastAsia="仿宋" w:hAnsi="仿宋" w:cs="仿宋" w:hint="eastAsia"/>
          <w:sz w:val="32"/>
          <w:szCs w:val="32"/>
        </w:rPr>
        <w:t>设置过于笼统。</w:t>
      </w:r>
    </w:p>
    <w:p w14:paraId="25D27FFB"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）目标细化程度分析</w:t>
      </w:r>
    </w:p>
    <w:p w14:paraId="1784850C"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绩效目标设置的不够细化、量化。如：数量指标“征集</w:t>
      </w:r>
      <w:r>
        <w:rPr>
          <w:rFonts w:ascii="仿宋" w:eastAsia="仿宋" w:hAnsi="仿宋" w:cs="仿宋" w:hint="eastAsia"/>
          <w:sz w:val="32"/>
          <w:szCs w:val="32"/>
        </w:rPr>
        <w:lastRenderedPageBreak/>
        <w:t>及复仿制文物，完成”、服务满意度指标“符合主题展览及后期临展需求。同时，丰富香山革命纪念馆馆藏”，指标未作量化，无法考核。</w:t>
      </w:r>
    </w:p>
    <w:p w14:paraId="51F0CE10" w14:textId="77777777" w:rsidR="00E243E3" w:rsidRDefault="00000000">
      <w:pPr>
        <w:pStyle w:val="2"/>
        <w:spacing w:before="0" w:after="0" w:line="360" w:lineRule="auto"/>
        <w:ind w:firstLineChars="200" w:firstLine="643"/>
        <w:rPr>
          <w:rFonts w:ascii="??_GB2312" w:eastAsia="Times New Roman" w:hAnsi="仿宋" w:cs="Times New Roman"/>
          <w:kern w:val="44"/>
        </w:rPr>
      </w:pPr>
      <w:bookmarkStart w:id="14" w:name="_Toc3512"/>
      <w:r>
        <w:rPr>
          <w:rFonts w:ascii="楷体" w:eastAsia="楷体" w:hAnsi="楷体" w:cs="楷体" w:hint="eastAsia"/>
          <w:kern w:val="44"/>
        </w:rPr>
        <w:t>（二）项目过程管理</w:t>
      </w:r>
      <w:bookmarkEnd w:id="14"/>
    </w:p>
    <w:p w14:paraId="1E1E1834"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sz w:val="32"/>
          <w:szCs w:val="32"/>
        </w:rPr>
        <w:t>1</w:t>
      </w:r>
      <w:r>
        <w:rPr>
          <w:rFonts w:ascii="仿宋" w:eastAsia="仿宋" w:hAnsi="仿宋" w:cs="仿宋" w:hint="eastAsia"/>
          <w:sz w:val="32"/>
          <w:szCs w:val="32"/>
        </w:rPr>
        <w:t>．项目资金管理</w:t>
      </w:r>
    </w:p>
    <w:p w14:paraId="039334F2"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为进一步规范项目经费的管理，保障资金安全、高效运行，提高资金使用效益，该项目在资金使用过程中，贯彻执行国家行政法规、方针政策，执行北京市财政局相关文件精神，香山革命纪念馆的各项制度，</w:t>
      </w:r>
      <w:bookmarkStart w:id="15" w:name="_Hlk35507271"/>
      <w:r>
        <w:rPr>
          <w:rFonts w:ascii="仿宋" w:eastAsia="仿宋" w:hAnsi="仿宋" w:cs="仿宋" w:hint="eastAsia"/>
          <w:sz w:val="32"/>
          <w:szCs w:val="32"/>
        </w:rPr>
        <w:t>在项目执行过程中，比选、合同签订、支付款项，除执行内部审核流程外，还有法</w:t>
      </w:r>
      <w:proofErr w:type="gramStart"/>
      <w:r>
        <w:rPr>
          <w:rFonts w:ascii="仿宋" w:eastAsia="仿宋" w:hAnsi="仿宋" w:cs="仿宋" w:hint="eastAsia"/>
          <w:sz w:val="32"/>
          <w:szCs w:val="32"/>
        </w:rPr>
        <w:t>务</w:t>
      </w:r>
      <w:proofErr w:type="gramEnd"/>
      <w:r>
        <w:rPr>
          <w:rFonts w:ascii="仿宋" w:eastAsia="仿宋" w:hAnsi="仿宋" w:cs="仿宋" w:hint="eastAsia"/>
          <w:sz w:val="32"/>
          <w:szCs w:val="32"/>
        </w:rPr>
        <w:t>、内控等第三方机构意见，且在馆办公会、馆务会上进行通报和决策。项目资金支付过程管理规范。</w:t>
      </w:r>
      <w:bookmarkEnd w:id="15"/>
    </w:p>
    <w:p w14:paraId="4162E847"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评价分析认为，香山革命纪念馆项目管理制度、资金管理制度、内控流程较规范，项目严格按照上述各项制度管理，资金支付按照预算评审和财政批复内容执行，财务账务处理规范，支出凭单、发票等附件较为齐全。未发现资金挪用等违规情况。</w:t>
      </w:r>
    </w:p>
    <w:p w14:paraId="0A75C6C2" w14:textId="77777777" w:rsidR="00E243E3" w:rsidRDefault="00000000">
      <w:pPr>
        <w:spacing w:line="360" w:lineRule="auto"/>
        <w:ind w:firstLineChars="200" w:firstLine="640"/>
        <w:rPr>
          <w:rFonts w:ascii="仿宋" w:eastAsia="仿宋" w:hAnsi="仿宋" w:cs="Times New Roman"/>
          <w:sz w:val="32"/>
          <w:szCs w:val="32"/>
        </w:rPr>
      </w:pPr>
      <w:r>
        <w:rPr>
          <w:rFonts w:ascii="仿宋" w:eastAsia="仿宋" w:hAnsi="仿宋" w:cs="仿宋"/>
          <w:sz w:val="32"/>
          <w:szCs w:val="32"/>
        </w:rPr>
        <w:t>2</w:t>
      </w:r>
      <w:r>
        <w:rPr>
          <w:rFonts w:ascii="仿宋" w:eastAsia="仿宋" w:hAnsi="仿宋" w:cs="仿宋" w:hint="eastAsia"/>
          <w:sz w:val="32"/>
          <w:szCs w:val="32"/>
        </w:rPr>
        <w:t>．项目组织实施</w:t>
      </w:r>
    </w:p>
    <w:p w14:paraId="6356C795"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该项目由部室牵头人及文物征集人员按照《香山革命纪念馆文物征集工作规程（试行）》进行推进，包括：研讨拟征集文物史料内容，邀请专家来馆对收藏家拟转让给香山革命纪念馆的革命文物史料组织召开专家鉴定评估会等。</w:t>
      </w:r>
    </w:p>
    <w:p w14:paraId="1333876F"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香山革命纪念馆文物征集研究部根据纪念馆专题展览大纲及展览实际需求，一方面，根据馆内专题展览情况，由香山革命纪念馆文物征集研究部、编辑研究部与中央档案馆联系，委托国家档案局档案科学技术研究所复制中央档案馆所藏部分档案，</w:t>
      </w:r>
      <w:proofErr w:type="gramStart"/>
      <w:r>
        <w:rPr>
          <w:rFonts w:ascii="仿宋" w:eastAsia="仿宋" w:hAnsi="仿宋" w:cs="仿宋" w:hint="eastAsia"/>
          <w:sz w:val="32"/>
          <w:szCs w:val="32"/>
        </w:rPr>
        <w:t>经馆办公</w:t>
      </w:r>
      <w:proofErr w:type="gramEnd"/>
      <w:r>
        <w:rPr>
          <w:rFonts w:ascii="仿宋" w:eastAsia="仿宋" w:hAnsi="仿宋" w:cs="仿宋" w:hint="eastAsia"/>
          <w:sz w:val="32"/>
          <w:szCs w:val="32"/>
        </w:rPr>
        <w:t>会研究后，2021年11月18日签订合同。</w:t>
      </w:r>
    </w:p>
    <w:p w14:paraId="3ADF5ACE"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另一方面，其他文物复仿制工作于2021年7月启动比选工作，按照《香山革命纪念馆供应商选取工作管理办法》的规定严格执行比选流程，由北京京弘科技有限公司以26.5万元中选。</w:t>
      </w:r>
      <w:proofErr w:type="gramStart"/>
      <w:r>
        <w:rPr>
          <w:rFonts w:ascii="仿宋" w:eastAsia="仿宋" w:hAnsi="仿宋" w:cs="仿宋" w:hint="eastAsia"/>
          <w:sz w:val="32"/>
          <w:szCs w:val="32"/>
        </w:rPr>
        <w:t>经馆办公</w:t>
      </w:r>
      <w:proofErr w:type="gramEnd"/>
      <w:r>
        <w:rPr>
          <w:rFonts w:ascii="仿宋" w:eastAsia="仿宋" w:hAnsi="仿宋" w:cs="仿宋" w:hint="eastAsia"/>
          <w:sz w:val="32"/>
          <w:szCs w:val="32"/>
        </w:rPr>
        <w:t>会通报后，2021年8月9日香山革命纪念馆与中标单位按中标金额签署合同，委托北京京弘科技有限公司复仿制革命文物史料。</w:t>
      </w:r>
    </w:p>
    <w:p w14:paraId="25AB747E"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项目实施完成后，香山革命纪念馆文物征集研究部组织对项目进行验收，验收通过并出具“2021年香山革命纪念馆文物征集及复仿制项目”</w:t>
      </w:r>
      <w:proofErr w:type="gramStart"/>
      <w:r>
        <w:rPr>
          <w:rFonts w:ascii="仿宋" w:eastAsia="仿宋" w:hAnsi="仿宋" w:cs="仿宋" w:hint="eastAsia"/>
          <w:sz w:val="32"/>
          <w:szCs w:val="32"/>
        </w:rPr>
        <w:t>结项报告</w:t>
      </w:r>
      <w:proofErr w:type="gramEnd"/>
      <w:r>
        <w:rPr>
          <w:rFonts w:ascii="仿宋" w:eastAsia="仿宋" w:hAnsi="仿宋" w:cs="仿宋" w:hint="eastAsia"/>
          <w:sz w:val="32"/>
          <w:szCs w:val="32"/>
        </w:rPr>
        <w:t>。</w:t>
      </w:r>
    </w:p>
    <w:p w14:paraId="3DA0CF94"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评价分析认为，该项目组织机构健全，项目组织过程公开透明，各阶段组织形式合理合法。</w:t>
      </w:r>
    </w:p>
    <w:p w14:paraId="5D483762"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sz w:val="32"/>
          <w:szCs w:val="32"/>
        </w:rPr>
        <w:t>3</w:t>
      </w:r>
      <w:r>
        <w:rPr>
          <w:rFonts w:ascii="仿宋" w:eastAsia="仿宋" w:hAnsi="仿宋" w:cs="仿宋" w:hint="eastAsia"/>
          <w:sz w:val="32"/>
          <w:szCs w:val="32"/>
        </w:rPr>
        <w:t>．项目管理情况</w:t>
      </w:r>
    </w:p>
    <w:p w14:paraId="3681838B" w14:textId="77777777" w:rsidR="00E243E3" w:rsidRDefault="00000000">
      <w:pPr>
        <w:spacing w:line="360" w:lineRule="auto"/>
        <w:ind w:firstLineChars="200" w:firstLine="640"/>
        <w:rPr>
          <w:rFonts w:ascii="仿宋" w:eastAsia="仿宋" w:hAnsi="仿宋" w:cs="仿宋"/>
          <w:sz w:val="32"/>
          <w:szCs w:val="32"/>
        </w:rPr>
      </w:pPr>
      <w:bookmarkStart w:id="16" w:name="_Toc27920"/>
      <w:r>
        <w:rPr>
          <w:rFonts w:ascii="仿宋" w:eastAsia="仿宋" w:hAnsi="仿宋" w:cs="仿宋" w:hint="eastAsia"/>
          <w:sz w:val="32"/>
          <w:szCs w:val="32"/>
        </w:rPr>
        <w:t>（1）加强进度管控</w:t>
      </w:r>
      <w:bookmarkEnd w:id="16"/>
    </w:p>
    <w:p w14:paraId="21A03647"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依据年度项目计划，香山革命纪念馆文物征集研究部及时跟进项目执行情况，推进文物征集工作和文物复仿制工作，具体情况如下：</w:t>
      </w:r>
    </w:p>
    <w:p w14:paraId="1A4EFFE9"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1）拟定全年工作计划。组织项目组成员召开讨论会，对文物征集清单、文物复仿制目录、联系各兄弟博物馆纪念馆文物史料情况等方面进行讨论。</w:t>
      </w:r>
    </w:p>
    <w:p w14:paraId="63BC575F"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2）严格按照规章制度执行文物征集及复仿制工作，对文物进馆把控、文物复仿制验收工作全程监管。</w:t>
      </w:r>
    </w:p>
    <w:p w14:paraId="4B70CD86"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3）把</w:t>
      </w:r>
      <w:proofErr w:type="gramStart"/>
      <w:r>
        <w:rPr>
          <w:rFonts w:ascii="仿宋" w:eastAsia="仿宋" w:hAnsi="仿宋" w:cs="仿宋" w:hint="eastAsia"/>
          <w:sz w:val="32"/>
          <w:szCs w:val="32"/>
        </w:rPr>
        <w:t>控时间</w:t>
      </w:r>
      <w:proofErr w:type="gramEnd"/>
      <w:r>
        <w:rPr>
          <w:rFonts w:ascii="仿宋" w:eastAsia="仿宋" w:hAnsi="仿宋" w:cs="仿宋" w:hint="eastAsia"/>
          <w:sz w:val="32"/>
          <w:szCs w:val="32"/>
        </w:rPr>
        <w:t>节点推进项目实施。根据年初计划及纪念馆实际工作需求，推进文物征集工作。确定文物复仿制单位，按照关键节点设定完成期限，对关键环节进行重点关注。</w:t>
      </w:r>
      <w:bookmarkStart w:id="17" w:name="_Toc30154"/>
      <w:bookmarkStart w:id="18" w:name="_Toc27128"/>
      <w:bookmarkStart w:id="19" w:name="_Toc28029"/>
      <w:bookmarkStart w:id="20" w:name="_Toc13367"/>
      <w:bookmarkStart w:id="21" w:name="_Toc11705"/>
      <w:bookmarkStart w:id="22" w:name="_Toc22170"/>
    </w:p>
    <w:p w14:paraId="41896ABE"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（2）项目沟通机制</w:t>
      </w:r>
      <w:bookmarkEnd w:id="17"/>
      <w:bookmarkEnd w:id="18"/>
      <w:bookmarkEnd w:id="19"/>
      <w:bookmarkEnd w:id="20"/>
      <w:bookmarkEnd w:id="21"/>
      <w:bookmarkEnd w:id="22"/>
    </w:p>
    <w:p w14:paraId="4FD0C56D" w14:textId="77777777" w:rsidR="00E243E3" w:rsidRDefault="00000000">
      <w:pPr>
        <w:spacing w:line="360" w:lineRule="auto"/>
        <w:ind w:firstLineChars="200" w:firstLine="640"/>
        <w:rPr>
          <w:rFonts w:ascii="仿宋" w:eastAsia="仿宋" w:hAnsi="仿宋" w:cs="仿宋"/>
          <w:sz w:val="32"/>
          <w:szCs w:val="32"/>
        </w:rPr>
      </w:pPr>
      <w:bookmarkStart w:id="23" w:name="_Toc40963895"/>
      <w:r>
        <w:rPr>
          <w:rFonts w:ascii="仿宋" w:eastAsia="仿宋" w:hAnsi="仿宋" w:cs="仿宋" w:hint="eastAsia"/>
          <w:sz w:val="32"/>
          <w:szCs w:val="32"/>
        </w:rPr>
        <w:t>香山革命纪念馆文物征集研究部与文物收藏家及文物复仿制单位在项目启动时均与掌握对方准确联系方式，确保项目实施过程中沟通顺利。项目实施期间，由香山革命纪念馆文物征集研究部工作人员通过电话、文件材料等方式进行沟通与联系。</w:t>
      </w:r>
    </w:p>
    <w:p w14:paraId="1732CE9A" w14:textId="77777777" w:rsidR="00E243E3" w:rsidRDefault="00000000">
      <w:pPr>
        <w:spacing w:line="360" w:lineRule="auto"/>
        <w:ind w:firstLineChars="200" w:firstLine="640"/>
        <w:rPr>
          <w:rFonts w:ascii="仿宋" w:eastAsia="仿宋" w:hAnsi="仿宋" w:cs="仿宋"/>
          <w:sz w:val="32"/>
          <w:szCs w:val="32"/>
        </w:rPr>
      </w:pPr>
      <w:bookmarkStart w:id="24" w:name="_Toc32688"/>
      <w:bookmarkStart w:id="25" w:name="_Toc16457"/>
      <w:bookmarkStart w:id="26" w:name="_Toc10393"/>
      <w:bookmarkStart w:id="27" w:name="_Toc6418"/>
      <w:bookmarkStart w:id="28" w:name="_Toc30664"/>
      <w:bookmarkStart w:id="29" w:name="_Toc18856"/>
      <w:bookmarkEnd w:id="23"/>
      <w:r>
        <w:rPr>
          <w:rFonts w:ascii="仿宋" w:eastAsia="仿宋" w:hAnsi="仿宋" w:cs="仿宋" w:hint="eastAsia"/>
          <w:sz w:val="32"/>
          <w:szCs w:val="32"/>
        </w:rPr>
        <w:t>（3）项目质量管理</w:t>
      </w:r>
      <w:bookmarkEnd w:id="24"/>
      <w:bookmarkEnd w:id="25"/>
      <w:bookmarkEnd w:id="26"/>
      <w:bookmarkEnd w:id="27"/>
      <w:bookmarkEnd w:id="28"/>
      <w:bookmarkEnd w:id="29"/>
    </w:p>
    <w:p w14:paraId="132CA1EB"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征集人员密切同收藏家对接联系，确认文物史料转让清单的文物现状，本着“成熟一批、请示一批、鉴定一批、征集一批”的原则，逐步落实文物征集计划；及时组织召开文物鉴定评估会，确保文物为真品原件；严格按照馆内文物史料征集相关制度，推进文物征集工作，确保每一环环节符合相关制度要求；梳理文物复仿制目录，推进文物复仿制工作，通过文物实际复仿制效果比对确保复仿制文物的质量等。</w:t>
      </w:r>
    </w:p>
    <w:p w14:paraId="324C8226" w14:textId="77777777" w:rsidR="00E243E3" w:rsidRDefault="00000000">
      <w:pPr>
        <w:spacing w:line="360" w:lineRule="auto"/>
        <w:ind w:firstLineChars="200" w:firstLine="640"/>
        <w:rPr>
          <w:rFonts w:ascii="仿宋" w:eastAsia="仿宋" w:hAnsi="仿宋" w:cs="仿宋"/>
          <w:sz w:val="32"/>
          <w:szCs w:val="32"/>
        </w:rPr>
      </w:pPr>
      <w:bookmarkStart w:id="30" w:name="_Toc31819"/>
      <w:r>
        <w:rPr>
          <w:rFonts w:ascii="仿宋" w:eastAsia="仿宋" w:hAnsi="仿宋" w:cs="仿宋" w:hint="eastAsia"/>
          <w:sz w:val="32"/>
          <w:szCs w:val="32"/>
        </w:rPr>
        <w:lastRenderedPageBreak/>
        <w:t>（4）评估、验收流程</w:t>
      </w:r>
      <w:bookmarkEnd w:id="30"/>
    </w:p>
    <w:p w14:paraId="3C29B41C"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香山革命纪念馆文物征集研究部严格按照相关规章制度推进文物征集工作，邀请来自国家博物馆、军事博物馆等单位的专家来馆开展文物鉴定评估工作，为该项目严格把关，在每一批征集任务完成后及时核对文物情况、签订相关转让合同；通过文物实际复仿制效果比对确保复仿制文物的质量，签订文物复仿制相关验收单。</w:t>
      </w:r>
    </w:p>
    <w:p w14:paraId="26EF7AE1" w14:textId="77777777"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评价分析认为，该项目管理措施较为全面，项目单位制定了项目实施方案，但存在项目实施方案的针对性需要加强，合同签订中细节需要加强管理。</w:t>
      </w:r>
    </w:p>
    <w:p w14:paraId="4C49C202" w14:textId="77777777" w:rsidR="00E243E3" w:rsidRDefault="00000000">
      <w:pPr>
        <w:pStyle w:val="2"/>
        <w:spacing w:before="0" w:after="0" w:line="360" w:lineRule="auto"/>
        <w:ind w:firstLineChars="200" w:firstLine="643"/>
        <w:rPr>
          <w:rFonts w:ascii="楷体" w:eastAsia="楷体" w:hAnsi="楷体" w:cs="Times New Roman"/>
          <w:kern w:val="44"/>
        </w:rPr>
      </w:pPr>
      <w:bookmarkStart w:id="31" w:name="_Toc30831"/>
      <w:r>
        <w:rPr>
          <w:rFonts w:ascii="楷体" w:eastAsia="楷体" w:hAnsi="楷体" w:cs="楷体" w:hint="eastAsia"/>
          <w:kern w:val="44"/>
        </w:rPr>
        <w:t>（三）项目产出情况</w:t>
      </w:r>
      <w:bookmarkEnd w:id="31"/>
    </w:p>
    <w:p w14:paraId="44A4B060" w14:textId="77777777" w:rsidR="00E243E3" w:rsidRDefault="00000000">
      <w:pPr>
        <w:ind w:firstLineChars="200" w:firstLine="640"/>
        <w:rPr>
          <w:rFonts w:ascii="仿宋" w:eastAsia="仿宋" w:hAnsi="仿宋" w:cs="Times New Roman"/>
          <w:sz w:val="32"/>
          <w:szCs w:val="32"/>
        </w:rPr>
      </w:pPr>
      <w:r>
        <w:rPr>
          <w:rFonts w:ascii="仿宋" w:eastAsia="仿宋" w:hAnsi="仿宋" w:cs="仿宋"/>
          <w:sz w:val="32"/>
          <w:szCs w:val="32"/>
        </w:rPr>
        <w:t>1</w:t>
      </w:r>
      <w:r>
        <w:rPr>
          <w:rFonts w:ascii="仿宋" w:eastAsia="仿宋" w:hAnsi="仿宋" w:cs="仿宋" w:hint="eastAsia"/>
          <w:sz w:val="32"/>
          <w:szCs w:val="32"/>
        </w:rPr>
        <w:t>．项目预期目标完成情况</w:t>
      </w:r>
    </w:p>
    <w:p w14:paraId="7D0F310E" w14:textId="77777777" w:rsidR="00E243E3" w:rsidRDefault="00000000">
      <w:pPr>
        <w:ind w:firstLineChars="200" w:firstLine="640"/>
        <w:rPr>
          <w:rFonts w:ascii="仿宋" w:eastAsia="仿宋" w:hAnsi="仿宋" w:cs="仿宋"/>
          <w:sz w:val="32"/>
          <w:szCs w:val="32"/>
        </w:rPr>
      </w:pPr>
      <w:r>
        <w:rPr>
          <w:rFonts w:ascii="仿宋" w:eastAsia="仿宋" w:hAnsi="仿宋" w:cs="仿宋" w:hint="eastAsia"/>
          <w:sz w:val="32"/>
          <w:szCs w:val="32"/>
        </w:rPr>
        <w:t>项目完成了预期绩效目标，共征集文物近1500件（套）、复仿制革命文物史料160余件（套）、复制国家</w:t>
      </w:r>
      <w:proofErr w:type="gramStart"/>
      <w:r>
        <w:rPr>
          <w:rFonts w:ascii="仿宋" w:eastAsia="仿宋" w:hAnsi="仿宋" w:cs="仿宋" w:hint="eastAsia"/>
          <w:sz w:val="32"/>
          <w:szCs w:val="32"/>
        </w:rPr>
        <w:t>档案局藏档案</w:t>
      </w:r>
      <w:proofErr w:type="gramEnd"/>
      <w:r>
        <w:rPr>
          <w:rFonts w:ascii="仿宋" w:eastAsia="仿宋" w:hAnsi="仿宋" w:cs="仿宋" w:hint="eastAsia"/>
          <w:sz w:val="32"/>
          <w:szCs w:val="32"/>
        </w:rPr>
        <w:t>70页。</w:t>
      </w:r>
    </w:p>
    <w:p w14:paraId="4AD9F2A7" w14:textId="77777777" w:rsidR="00E243E3" w:rsidRDefault="00000000">
      <w:pPr>
        <w:ind w:firstLineChars="200" w:firstLine="640"/>
        <w:rPr>
          <w:rFonts w:ascii="仿宋" w:eastAsia="仿宋" w:hAnsi="仿宋" w:cs="Times New Roman"/>
          <w:sz w:val="32"/>
          <w:szCs w:val="32"/>
        </w:rPr>
      </w:pPr>
      <w:r>
        <w:rPr>
          <w:rFonts w:ascii="仿宋" w:eastAsia="仿宋" w:hAnsi="仿宋" w:cs="仿宋" w:hint="eastAsia"/>
          <w:sz w:val="32"/>
          <w:szCs w:val="32"/>
        </w:rPr>
        <w:t>评价分析认为，通过该项目的实施，完成了预期既定的目标。</w:t>
      </w:r>
    </w:p>
    <w:p w14:paraId="263EC138" w14:textId="77777777" w:rsidR="00E243E3" w:rsidRDefault="00000000">
      <w:pPr>
        <w:ind w:firstLineChars="200" w:firstLine="640"/>
        <w:rPr>
          <w:rFonts w:ascii="仿宋" w:eastAsia="仿宋" w:hAnsi="仿宋" w:cs="Times New Roman"/>
          <w:sz w:val="32"/>
          <w:szCs w:val="32"/>
        </w:rPr>
      </w:pPr>
      <w:r>
        <w:rPr>
          <w:rFonts w:ascii="仿宋" w:eastAsia="仿宋" w:hAnsi="仿宋" w:cs="仿宋"/>
          <w:sz w:val="32"/>
          <w:szCs w:val="32"/>
        </w:rPr>
        <w:t>2</w:t>
      </w:r>
      <w:r>
        <w:rPr>
          <w:rFonts w:ascii="仿宋" w:eastAsia="仿宋" w:hAnsi="仿宋" w:cs="仿宋" w:hint="eastAsia"/>
          <w:sz w:val="32"/>
          <w:szCs w:val="32"/>
        </w:rPr>
        <w:t>．项目质量完成情况</w:t>
      </w:r>
    </w:p>
    <w:p w14:paraId="50873EEF" w14:textId="77777777" w:rsidR="00E243E3" w:rsidRDefault="00000000">
      <w:pPr>
        <w:ind w:firstLineChars="200" w:firstLine="640"/>
        <w:rPr>
          <w:rFonts w:ascii="仿宋" w:eastAsia="仿宋" w:hAnsi="仿宋" w:cs="仿宋"/>
          <w:sz w:val="32"/>
          <w:szCs w:val="32"/>
        </w:rPr>
      </w:pPr>
      <w:r>
        <w:rPr>
          <w:rFonts w:ascii="仿宋" w:eastAsia="仿宋" w:hAnsi="仿宋" w:cs="仿宋" w:hint="eastAsia"/>
          <w:sz w:val="32"/>
          <w:szCs w:val="32"/>
        </w:rPr>
        <w:t>该项目完成了项目全部工作内容，经专家鉴定所征集文物均符合香山革命纪念馆文物收藏范围及入藏标准；经与文物原件比对，复仿制文物符合复仿制文物技术标准。</w:t>
      </w:r>
    </w:p>
    <w:p w14:paraId="6F863C80" w14:textId="77777777" w:rsidR="00E243E3" w:rsidRDefault="00000000">
      <w:pPr>
        <w:ind w:firstLineChars="200" w:firstLine="640"/>
        <w:rPr>
          <w:rFonts w:ascii="仿宋" w:eastAsia="仿宋" w:hAnsi="仿宋" w:cs="Times New Roman"/>
          <w:sz w:val="32"/>
          <w:szCs w:val="32"/>
        </w:rPr>
      </w:pPr>
      <w:r>
        <w:rPr>
          <w:rFonts w:ascii="仿宋" w:eastAsia="仿宋" w:hAnsi="仿宋" w:cs="仿宋" w:hint="eastAsia"/>
          <w:sz w:val="32"/>
          <w:szCs w:val="32"/>
        </w:rPr>
        <w:t>评价分析认为，通过该项目的实施，工作完成质量符合</w:t>
      </w:r>
      <w:r>
        <w:rPr>
          <w:rFonts w:ascii="仿宋" w:eastAsia="仿宋" w:hAnsi="仿宋" w:cs="仿宋" w:hint="eastAsia"/>
          <w:sz w:val="32"/>
          <w:szCs w:val="32"/>
        </w:rPr>
        <w:lastRenderedPageBreak/>
        <w:t>预期要求，完成情况较好。</w:t>
      </w:r>
    </w:p>
    <w:p w14:paraId="0BCBE700" w14:textId="77777777" w:rsidR="00E243E3" w:rsidRDefault="00000000">
      <w:pPr>
        <w:ind w:firstLineChars="200" w:firstLine="640"/>
        <w:rPr>
          <w:rFonts w:ascii="仿宋" w:eastAsia="仿宋" w:hAnsi="仿宋" w:cs="Times New Roman"/>
          <w:sz w:val="32"/>
          <w:szCs w:val="32"/>
        </w:rPr>
      </w:pPr>
      <w:r>
        <w:rPr>
          <w:rFonts w:ascii="仿宋" w:eastAsia="仿宋" w:hAnsi="仿宋" w:cs="仿宋"/>
          <w:sz w:val="32"/>
          <w:szCs w:val="32"/>
        </w:rPr>
        <w:t>3</w:t>
      </w:r>
      <w:r>
        <w:rPr>
          <w:rFonts w:ascii="仿宋" w:eastAsia="仿宋" w:hAnsi="仿宋" w:cs="仿宋" w:hint="eastAsia"/>
          <w:sz w:val="32"/>
          <w:szCs w:val="32"/>
        </w:rPr>
        <w:t>．项目实施进度情况</w:t>
      </w:r>
    </w:p>
    <w:p w14:paraId="28699F14" w14:textId="77777777" w:rsidR="00E243E3" w:rsidRDefault="00000000">
      <w:pPr>
        <w:ind w:firstLineChars="200" w:firstLine="640"/>
        <w:rPr>
          <w:rFonts w:ascii="仿宋" w:eastAsia="仿宋" w:hAnsi="仿宋" w:cs="仿宋"/>
          <w:sz w:val="32"/>
          <w:szCs w:val="32"/>
        </w:rPr>
      </w:pPr>
      <w:r>
        <w:rPr>
          <w:rFonts w:ascii="仿宋_GB2312" w:eastAsia="仿宋_GB2312" w:hAnsi="宋体" w:cs="宋体" w:hint="eastAsia"/>
          <w:kern w:val="0"/>
          <w:sz w:val="32"/>
          <w:szCs w:val="32"/>
        </w:rPr>
        <w:t>该项目2021年开始实施，</w:t>
      </w:r>
      <w:r>
        <w:rPr>
          <w:rFonts w:ascii="仿宋_GB2312" w:eastAsia="仿宋_GB2312" w:hAnsi="宋体" w:cs="仿宋_GB2312" w:hint="eastAsia"/>
          <w:sz w:val="32"/>
          <w:szCs w:val="32"/>
        </w:rPr>
        <w:t>根据项目实施进度计划安排落实，年度工作任务实</w:t>
      </w:r>
      <w:r>
        <w:rPr>
          <w:rFonts w:ascii="仿宋_GB2312" w:eastAsia="仿宋_GB2312" w:hAnsi="宋体" w:cs="宋体" w:hint="eastAsia"/>
          <w:kern w:val="0"/>
          <w:sz w:val="32"/>
          <w:szCs w:val="32"/>
        </w:rPr>
        <w:t>施完毕。</w:t>
      </w:r>
    </w:p>
    <w:p w14:paraId="77087EF4" w14:textId="77777777" w:rsidR="00E243E3" w:rsidRDefault="00000000">
      <w:pPr>
        <w:ind w:firstLineChars="200" w:firstLine="640"/>
        <w:rPr>
          <w:rFonts w:ascii="仿宋" w:eastAsia="仿宋" w:hAnsi="仿宋" w:cs="Times New Roman"/>
          <w:sz w:val="32"/>
          <w:szCs w:val="32"/>
        </w:rPr>
      </w:pPr>
      <w:r>
        <w:rPr>
          <w:rFonts w:ascii="仿宋" w:eastAsia="仿宋" w:hAnsi="仿宋" w:cs="仿宋"/>
          <w:sz w:val="32"/>
          <w:szCs w:val="32"/>
        </w:rPr>
        <w:t>4</w:t>
      </w:r>
      <w:r>
        <w:rPr>
          <w:rFonts w:ascii="仿宋" w:eastAsia="仿宋" w:hAnsi="仿宋" w:cs="仿宋" w:hint="eastAsia"/>
          <w:sz w:val="32"/>
          <w:szCs w:val="32"/>
        </w:rPr>
        <w:t>．项目经济性情况</w:t>
      </w:r>
    </w:p>
    <w:p w14:paraId="1BFB5BCA" w14:textId="77777777" w:rsidR="00E243E3" w:rsidRDefault="00000000">
      <w:pPr>
        <w:ind w:firstLineChars="200" w:firstLine="640"/>
        <w:rPr>
          <w:rFonts w:ascii="仿宋" w:eastAsia="仿宋" w:hAnsi="仿宋" w:cs="Times New Roman"/>
          <w:sz w:val="32"/>
          <w:szCs w:val="32"/>
        </w:rPr>
      </w:pPr>
      <w:r>
        <w:rPr>
          <w:rFonts w:ascii="仿宋" w:eastAsia="仿宋" w:hAnsi="仿宋" w:cs="仿宋" w:hint="eastAsia"/>
          <w:sz w:val="32"/>
          <w:szCs w:val="32"/>
        </w:rPr>
        <w:t>2021年该项目总预算资金361.6万元，截至</w:t>
      </w:r>
      <w:r>
        <w:rPr>
          <w:rFonts w:ascii="仿宋" w:eastAsia="仿宋" w:hAnsi="仿宋" w:cs="仿宋"/>
          <w:sz w:val="32"/>
          <w:szCs w:val="32"/>
        </w:rPr>
        <w:t>202</w:t>
      </w:r>
      <w:r>
        <w:rPr>
          <w:rFonts w:ascii="仿宋" w:eastAsia="仿宋" w:hAnsi="仿宋" w:cs="仿宋" w:hint="eastAsia"/>
          <w:sz w:val="32"/>
          <w:szCs w:val="32"/>
        </w:rPr>
        <w:t>2年</w:t>
      </w:r>
      <w:r>
        <w:rPr>
          <w:rFonts w:ascii="仿宋" w:eastAsia="仿宋" w:hAnsi="仿宋" w:cs="仿宋"/>
          <w:sz w:val="32"/>
          <w:szCs w:val="32"/>
        </w:rPr>
        <w:t>4</w:t>
      </w:r>
      <w:r>
        <w:rPr>
          <w:rFonts w:ascii="仿宋" w:eastAsia="仿宋" w:hAnsi="仿宋" w:cs="仿宋" w:hint="eastAsia"/>
          <w:sz w:val="32"/>
          <w:szCs w:val="32"/>
        </w:rPr>
        <w:t>月底，项目实际支出349.28万元，财政核减项目经费9.775万元，结余资金2.545万元。</w:t>
      </w:r>
    </w:p>
    <w:p w14:paraId="14FD25AF" w14:textId="77777777" w:rsidR="00E243E3" w:rsidRDefault="00000000">
      <w:pPr>
        <w:ind w:firstLineChars="200" w:firstLine="640"/>
        <w:rPr>
          <w:rFonts w:ascii="仿宋" w:eastAsia="仿宋" w:hAnsi="仿宋" w:cs="Times New Roman"/>
          <w:sz w:val="32"/>
          <w:szCs w:val="32"/>
        </w:rPr>
      </w:pPr>
      <w:r>
        <w:rPr>
          <w:rFonts w:ascii="仿宋" w:eastAsia="仿宋" w:hAnsi="仿宋" w:cs="仿宋" w:hint="eastAsia"/>
          <w:sz w:val="32"/>
          <w:szCs w:val="32"/>
        </w:rPr>
        <w:t>评价分析认为，该项目经济性较合理，但实际结算与年初预算调整较大，根据财政预算绩效管理要求，做好年初预算编制，进一步加强成本把控和成本绩效管理，保障财政资金效益最大化。</w:t>
      </w:r>
    </w:p>
    <w:p w14:paraId="4E9B611F" w14:textId="77777777" w:rsidR="00E243E3" w:rsidRDefault="00000000">
      <w:pPr>
        <w:pStyle w:val="2"/>
        <w:spacing w:before="0" w:after="0" w:line="360" w:lineRule="auto"/>
        <w:ind w:firstLineChars="200" w:firstLine="643"/>
        <w:rPr>
          <w:rFonts w:ascii="楷体" w:eastAsia="楷体" w:hAnsi="楷体" w:cs="Times New Roman"/>
          <w:kern w:val="44"/>
        </w:rPr>
      </w:pPr>
      <w:bookmarkStart w:id="32" w:name="_Toc13724"/>
      <w:r>
        <w:rPr>
          <w:rFonts w:ascii="楷体" w:eastAsia="楷体" w:hAnsi="楷体" w:cs="楷体" w:hint="eastAsia"/>
          <w:kern w:val="44"/>
        </w:rPr>
        <w:t>（四）项目效益情况</w:t>
      </w:r>
      <w:bookmarkEnd w:id="32"/>
    </w:p>
    <w:p w14:paraId="39E9C518" w14:textId="77777777" w:rsidR="00E243E3" w:rsidRDefault="00000000">
      <w:pPr>
        <w:ind w:firstLineChars="200" w:firstLine="640"/>
        <w:rPr>
          <w:rFonts w:ascii="仿宋" w:eastAsia="仿宋" w:hAnsi="仿宋" w:cs="Times New Roman"/>
          <w:sz w:val="32"/>
          <w:szCs w:val="32"/>
        </w:rPr>
      </w:pPr>
      <w:r>
        <w:rPr>
          <w:rFonts w:ascii="仿宋" w:eastAsia="仿宋" w:hAnsi="仿宋" w:cs="仿宋"/>
          <w:sz w:val="32"/>
          <w:szCs w:val="32"/>
        </w:rPr>
        <w:t>1</w:t>
      </w:r>
      <w:r>
        <w:rPr>
          <w:rFonts w:ascii="仿宋" w:eastAsia="仿宋" w:hAnsi="仿宋" w:cs="仿宋" w:hint="eastAsia"/>
          <w:sz w:val="32"/>
          <w:szCs w:val="32"/>
        </w:rPr>
        <w:t>．项目实施产生的社会效益及可持续影响</w:t>
      </w:r>
    </w:p>
    <w:p w14:paraId="583AF399" w14:textId="77777777" w:rsidR="00E243E3" w:rsidRDefault="00000000">
      <w:pPr>
        <w:ind w:firstLineChars="200" w:firstLine="640"/>
        <w:rPr>
          <w:rFonts w:ascii="仿宋" w:eastAsia="仿宋" w:hAnsi="仿宋" w:cs="仿宋"/>
          <w:sz w:val="32"/>
          <w:szCs w:val="32"/>
        </w:rPr>
      </w:pPr>
      <w:r>
        <w:rPr>
          <w:rFonts w:ascii="仿宋" w:eastAsia="仿宋" w:hAnsi="仿宋" w:cs="仿宋" w:hint="eastAsia"/>
          <w:sz w:val="32"/>
          <w:szCs w:val="32"/>
        </w:rPr>
        <w:t>针对馆藏文物现状及馆藏缺项文物情况，征集符合香山革命纪念馆入</w:t>
      </w:r>
      <w:proofErr w:type="gramStart"/>
      <w:r>
        <w:rPr>
          <w:rFonts w:ascii="仿宋" w:eastAsia="仿宋" w:hAnsi="仿宋" w:cs="仿宋" w:hint="eastAsia"/>
          <w:sz w:val="32"/>
          <w:szCs w:val="32"/>
        </w:rPr>
        <w:t>藏标准</w:t>
      </w:r>
      <w:proofErr w:type="gramEnd"/>
      <w:r>
        <w:rPr>
          <w:rFonts w:ascii="仿宋" w:eastAsia="仿宋" w:hAnsi="仿宋" w:cs="仿宋" w:hint="eastAsia"/>
          <w:sz w:val="32"/>
          <w:szCs w:val="32"/>
        </w:rPr>
        <w:t>的文物，丰富香山革命纪念馆馆藏。满足“为新中国奠基——中共中央在香山”基本陈列定期更换展</w:t>
      </w:r>
      <w:proofErr w:type="gramStart"/>
      <w:r>
        <w:rPr>
          <w:rFonts w:ascii="仿宋" w:eastAsia="仿宋" w:hAnsi="仿宋" w:cs="仿宋" w:hint="eastAsia"/>
          <w:sz w:val="32"/>
          <w:szCs w:val="32"/>
        </w:rPr>
        <w:t>陈内容</w:t>
      </w:r>
      <w:proofErr w:type="gramEnd"/>
      <w:r>
        <w:rPr>
          <w:rFonts w:ascii="仿宋" w:eastAsia="仿宋" w:hAnsi="仿宋" w:cs="仿宋" w:hint="eastAsia"/>
          <w:sz w:val="32"/>
          <w:szCs w:val="32"/>
        </w:rPr>
        <w:t>及专题展览文物需求；文物史料全部入藏。香山革命纪念馆的认知度、影响力均有不同程度地提升。</w:t>
      </w:r>
    </w:p>
    <w:p w14:paraId="68A0122A" w14:textId="77777777" w:rsidR="00E243E3" w:rsidRDefault="00000000">
      <w:pPr>
        <w:ind w:firstLineChars="200" w:firstLine="640"/>
        <w:rPr>
          <w:rFonts w:ascii="仿宋" w:eastAsia="仿宋" w:hAnsi="仿宋" w:cs="仿宋"/>
          <w:sz w:val="32"/>
          <w:szCs w:val="32"/>
        </w:rPr>
      </w:pPr>
      <w:r>
        <w:rPr>
          <w:rFonts w:ascii="仿宋" w:eastAsia="仿宋" w:hAnsi="仿宋" w:cs="仿宋" w:hint="eastAsia"/>
          <w:sz w:val="32"/>
          <w:szCs w:val="32"/>
        </w:rPr>
        <w:t>本项目中所征集文物丰富了馆藏文物及各类展览文物需求，为充分发挥革命文物以物证史、资政育人的作用打下了坚实基础；为切实做到让文物说话，用史实发言，深化革</w:t>
      </w:r>
      <w:r>
        <w:rPr>
          <w:rFonts w:ascii="仿宋" w:eastAsia="仿宋" w:hAnsi="仿宋" w:cs="仿宋" w:hint="eastAsia"/>
          <w:sz w:val="32"/>
          <w:szCs w:val="32"/>
        </w:rPr>
        <w:lastRenderedPageBreak/>
        <w:t>命历史的研究发掘，加强革命文物活化利用，生动讲好革命文物故事提供了丰富生动的物质载体。</w:t>
      </w:r>
    </w:p>
    <w:p w14:paraId="5FE5D070" w14:textId="77777777" w:rsidR="00E243E3" w:rsidRDefault="00000000">
      <w:pPr>
        <w:ind w:firstLineChars="200" w:firstLine="640"/>
        <w:rPr>
          <w:rFonts w:ascii="仿宋" w:eastAsia="仿宋" w:hAnsi="仿宋" w:cs="Times New Roman"/>
          <w:sz w:val="32"/>
          <w:szCs w:val="32"/>
        </w:rPr>
      </w:pPr>
      <w:r>
        <w:rPr>
          <w:rFonts w:ascii="仿宋" w:eastAsia="仿宋" w:hAnsi="仿宋" w:cs="仿宋" w:hint="eastAsia"/>
          <w:sz w:val="32"/>
          <w:szCs w:val="32"/>
        </w:rPr>
        <w:t>评价分析认为，该项目产生了一定的社会效益及可持续影响。但项目绩效成果的相关佐证资料不够充分，满意度调查工作未开展。</w:t>
      </w:r>
    </w:p>
    <w:p w14:paraId="0E7A4A35" w14:textId="77777777" w:rsidR="00E243E3" w:rsidRDefault="00000000">
      <w:pPr>
        <w:pStyle w:val="1"/>
        <w:spacing w:before="0" w:after="0" w:line="360" w:lineRule="auto"/>
        <w:ind w:firstLineChars="200" w:firstLine="640"/>
        <w:rPr>
          <w:rFonts w:eastAsia="黑体" w:cs="黑体"/>
          <w:b w:val="0"/>
          <w:bCs w:val="0"/>
          <w:snapToGrid w:val="0"/>
          <w:color w:val="000000"/>
          <w:kern w:val="0"/>
          <w:sz w:val="32"/>
          <w:szCs w:val="32"/>
        </w:rPr>
      </w:pPr>
      <w:bookmarkStart w:id="33" w:name="_Toc24013"/>
      <w:r>
        <w:rPr>
          <w:rFonts w:eastAsia="黑体" w:cs="黑体" w:hint="eastAsia"/>
          <w:b w:val="0"/>
          <w:bCs w:val="0"/>
          <w:snapToGrid w:val="0"/>
          <w:color w:val="000000"/>
          <w:kern w:val="0"/>
          <w:sz w:val="32"/>
          <w:szCs w:val="32"/>
        </w:rPr>
        <w:t>五、主要经验及做法、存在问题</w:t>
      </w:r>
      <w:bookmarkEnd w:id="33"/>
    </w:p>
    <w:p w14:paraId="047D8DDA" w14:textId="77777777" w:rsidR="00E243E3" w:rsidRDefault="00000000">
      <w:pPr>
        <w:pStyle w:val="2"/>
        <w:spacing w:before="0" w:after="0" w:line="360" w:lineRule="auto"/>
        <w:ind w:firstLineChars="200" w:firstLine="643"/>
        <w:rPr>
          <w:rFonts w:ascii="楷体" w:eastAsia="楷体" w:hAnsi="楷体" w:cs="楷体"/>
          <w:kern w:val="44"/>
        </w:rPr>
      </w:pPr>
      <w:bookmarkStart w:id="34" w:name="_Toc32508"/>
      <w:r>
        <w:rPr>
          <w:rFonts w:ascii="楷体" w:eastAsia="楷体" w:hAnsi="楷体" w:cs="楷体" w:hint="eastAsia"/>
          <w:kern w:val="44"/>
        </w:rPr>
        <w:t>（一）主要经验及做法</w:t>
      </w:r>
      <w:bookmarkEnd w:id="34"/>
    </w:p>
    <w:p w14:paraId="5FB79951" w14:textId="77777777" w:rsidR="00E243E3" w:rsidRDefault="00000000">
      <w:pPr>
        <w:ind w:firstLineChars="200" w:firstLine="640"/>
        <w:rPr>
          <w:rFonts w:ascii="仿宋" w:eastAsia="仿宋" w:hAnsi="仿宋" w:cs="仿宋"/>
          <w:sz w:val="32"/>
          <w:szCs w:val="32"/>
        </w:rPr>
      </w:pPr>
      <w:r>
        <w:rPr>
          <w:rFonts w:ascii="仿宋" w:eastAsia="仿宋" w:hAnsi="仿宋" w:cs="仿宋" w:hint="eastAsia"/>
          <w:sz w:val="32"/>
          <w:szCs w:val="32"/>
        </w:rPr>
        <w:t>1.文物征集工作是香山革命纪念馆长期延续性工作，应不断拓展无偿捐赠、有偿征购、调拨、借展等多种方式、渠道进行文物征集。</w:t>
      </w:r>
    </w:p>
    <w:p w14:paraId="2181B050" w14:textId="77777777" w:rsidR="00E243E3" w:rsidRDefault="00000000">
      <w:pPr>
        <w:ind w:firstLineChars="200" w:firstLine="640"/>
        <w:rPr>
          <w:rFonts w:ascii="仿宋" w:eastAsia="仿宋" w:hAnsi="仿宋" w:cs="仿宋"/>
          <w:sz w:val="32"/>
          <w:szCs w:val="32"/>
        </w:rPr>
      </w:pPr>
      <w:r>
        <w:rPr>
          <w:rFonts w:ascii="仿宋" w:eastAsia="仿宋" w:hAnsi="仿宋" w:cs="仿宋" w:hint="eastAsia"/>
          <w:sz w:val="32"/>
          <w:szCs w:val="32"/>
        </w:rPr>
        <w:t>2.文物征集过程中需要召开专家鉴定会，邀请专家针对征集文物进行鉴定、评估，保证文物符合馆藏范围及确保为真品原件至关重要。文物征集人员应与专家多联系沟通，提升综合业务能力。</w:t>
      </w:r>
    </w:p>
    <w:p w14:paraId="0755B885" w14:textId="77777777" w:rsidR="00E243E3" w:rsidRDefault="00000000">
      <w:pPr>
        <w:pStyle w:val="2"/>
        <w:spacing w:before="0" w:after="0" w:line="360" w:lineRule="auto"/>
        <w:ind w:firstLineChars="200" w:firstLine="643"/>
        <w:rPr>
          <w:rFonts w:ascii="楷体" w:eastAsia="楷体" w:hAnsi="楷体" w:cs="楷体"/>
          <w:kern w:val="44"/>
        </w:rPr>
      </w:pPr>
      <w:bookmarkStart w:id="35" w:name="_Toc25430"/>
      <w:r>
        <w:rPr>
          <w:rFonts w:ascii="楷体" w:eastAsia="楷体" w:hAnsi="楷体" w:cs="楷体" w:hint="eastAsia"/>
          <w:kern w:val="44"/>
        </w:rPr>
        <w:t>（二）存在的问题</w:t>
      </w:r>
      <w:bookmarkEnd w:id="35"/>
    </w:p>
    <w:p w14:paraId="7E94766B" w14:textId="77777777" w:rsidR="00E243E3" w:rsidRDefault="00000000">
      <w:pPr>
        <w:ind w:firstLineChars="200" w:firstLine="640"/>
        <w:rPr>
          <w:rFonts w:ascii="仿宋" w:eastAsia="仿宋" w:hAnsi="仿宋" w:cs="仿宋"/>
          <w:sz w:val="32"/>
          <w:szCs w:val="32"/>
          <w:lang w:eastAsia="zh-Hans"/>
        </w:rPr>
      </w:pPr>
      <w:r>
        <w:rPr>
          <w:rFonts w:ascii="仿宋" w:eastAsia="仿宋" w:hAnsi="仿宋" w:cs="仿宋" w:hint="eastAsia"/>
          <w:sz w:val="32"/>
          <w:szCs w:val="32"/>
          <w:lang w:eastAsia="zh-Hans"/>
        </w:rPr>
        <w:t>1．项目绩效目标表的填报不够全面</w:t>
      </w:r>
      <w:r>
        <w:rPr>
          <w:rFonts w:ascii="仿宋" w:eastAsia="仿宋" w:hAnsi="仿宋" w:cs="仿宋" w:hint="eastAsia"/>
          <w:sz w:val="32"/>
          <w:szCs w:val="32"/>
        </w:rPr>
        <w:t>、细化、量化</w:t>
      </w:r>
      <w:r>
        <w:rPr>
          <w:rFonts w:ascii="仿宋" w:eastAsia="仿宋" w:hAnsi="仿宋" w:cs="仿宋" w:hint="eastAsia"/>
          <w:sz w:val="32"/>
          <w:szCs w:val="32"/>
          <w:lang w:eastAsia="zh-Hans"/>
        </w:rPr>
        <w:t>。如：</w:t>
      </w:r>
      <w:r>
        <w:rPr>
          <w:rFonts w:ascii="仿宋" w:eastAsia="仿宋" w:hAnsi="仿宋" w:cs="仿宋" w:hint="eastAsia"/>
          <w:sz w:val="32"/>
          <w:szCs w:val="32"/>
        </w:rPr>
        <w:t>数量指标“征集及复仿制文物，完成”、服务满意度指标“符合主题展览及后期临展需求。同时，丰富香山革命纪念馆馆藏</w:t>
      </w:r>
      <w:proofErr w:type="gramStart"/>
      <w:r>
        <w:rPr>
          <w:rFonts w:ascii="仿宋" w:eastAsia="仿宋" w:hAnsi="仿宋" w:cs="仿宋" w:hint="eastAsia"/>
          <w:sz w:val="32"/>
          <w:szCs w:val="32"/>
        </w:rPr>
        <w:t>”</w:t>
      </w:r>
      <w:proofErr w:type="gramEnd"/>
      <w:r>
        <w:rPr>
          <w:rFonts w:ascii="仿宋" w:eastAsia="仿宋" w:hAnsi="仿宋" w:cs="仿宋" w:hint="eastAsia"/>
          <w:sz w:val="32"/>
          <w:szCs w:val="32"/>
        </w:rPr>
        <w:t>，指标未作量化，无法考核；个别指标设置不合理。如：质量指标设置为“符合香山革命纪念馆文物收藏范围及入藏标准”，标准不够细化；进度指标时间设置为“2020年1月至11月完成文物征集及复仿制工作”，时间出现笔误，</w:t>
      </w:r>
      <w:proofErr w:type="gramStart"/>
      <w:r>
        <w:rPr>
          <w:rFonts w:ascii="仿宋" w:eastAsia="仿宋" w:hAnsi="仿宋" w:cs="仿宋" w:hint="eastAsia"/>
          <w:sz w:val="32"/>
          <w:szCs w:val="32"/>
        </w:rPr>
        <w:t>且</w:t>
      </w:r>
      <w:r>
        <w:rPr>
          <w:rFonts w:ascii="仿宋" w:eastAsia="仿宋" w:hAnsi="仿宋" w:cs="仿宋" w:hint="eastAsia"/>
          <w:sz w:val="32"/>
          <w:szCs w:val="32"/>
        </w:rPr>
        <w:lastRenderedPageBreak/>
        <w:t>指标</w:t>
      </w:r>
      <w:proofErr w:type="gramEnd"/>
      <w:r>
        <w:rPr>
          <w:rFonts w:ascii="仿宋" w:eastAsia="仿宋" w:hAnsi="仿宋" w:cs="仿宋" w:hint="eastAsia"/>
          <w:sz w:val="32"/>
          <w:szCs w:val="32"/>
        </w:rPr>
        <w:t>设置过于笼统</w:t>
      </w:r>
      <w:r>
        <w:rPr>
          <w:rFonts w:ascii="仿宋" w:eastAsia="仿宋" w:hAnsi="仿宋" w:cs="仿宋" w:hint="eastAsia"/>
          <w:sz w:val="32"/>
          <w:szCs w:val="32"/>
          <w:lang w:eastAsia="zh-Hans"/>
        </w:rPr>
        <w:t>。</w:t>
      </w:r>
    </w:p>
    <w:p w14:paraId="208FD83D" w14:textId="77777777" w:rsidR="00E243E3" w:rsidRDefault="00000000">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lang w:eastAsia="zh-Hans"/>
        </w:rPr>
        <w:t>．</w:t>
      </w:r>
      <w:r>
        <w:rPr>
          <w:rFonts w:ascii="仿宋" w:eastAsia="仿宋" w:hAnsi="仿宋" w:cs="仿宋" w:hint="eastAsia"/>
          <w:sz w:val="32"/>
          <w:szCs w:val="32"/>
        </w:rPr>
        <w:t>本项目关于每年征集和复仿制文物的范围和数量缺少年度计划和中长期规划。</w:t>
      </w:r>
    </w:p>
    <w:p w14:paraId="49676F41" w14:textId="77777777" w:rsidR="00E243E3" w:rsidRDefault="00000000">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lang w:eastAsia="zh-Hans"/>
        </w:rPr>
        <w:t>．</w:t>
      </w:r>
      <w:r>
        <w:rPr>
          <w:rFonts w:ascii="仿宋" w:eastAsia="仿宋" w:hAnsi="仿宋" w:cs="仿宋" w:hint="eastAsia"/>
          <w:sz w:val="32"/>
          <w:szCs w:val="32"/>
        </w:rPr>
        <w:t>实际结算与年初预算调整较大，根据财政预算绩效管理要求，做好年初预算编制。</w:t>
      </w:r>
    </w:p>
    <w:p w14:paraId="2023FB50" w14:textId="77777777" w:rsidR="00E243E3" w:rsidRDefault="00000000">
      <w:pPr>
        <w:ind w:firstLineChars="200" w:firstLine="640"/>
        <w:rPr>
          <w:rFonts w:ascii="仿宋" w:eastAsia="仿宋" w:hAnsi="仿宋" w:cs="仿宋"/>
          <w:sz w:val="32"/>
          <w:szCs w:val="32"/>
          <w:lang w:eastAsia="zh-Hans"/>
        </w:rPr>
      </w:pPr>
      <w:r>
        <w:rPr>
          <w:rFonts w:ascii="仿宋" w:eastAsia="仿宋" w:hAnsi="仿宋" w:cs="仿宋" w:hint="eastAsia"/>
          <w:sz w:val="32"/>
          <w:szCs w:val="32"/>
        </w:rPr>
        <w:t>4</w:t>
      </w:r>
      <w:r>
        <w:rPr>
          <w:rFonts w:ascii="仿宋" w:eastAsia="仿宋" w:hAnsi="仿宋" w:cs="仿宋" w:hint="eastAsia"/>
          <w:sz w:val="32"/>
          <w:szCs w:val="32"/>
          <w:lang w:eastAsia="zh-Hans"/>
        </w:rPr>
        <w:t>．</w:t>
      </w:r>
      <w:r>
        <w:rPr>
          <w:rFonts w:ascii="仿宋" w:eastAsia="仿宋" w:hAnsi="仿宋" w:cs="仿宋" w:hint="eastAsia"/>
          <w:sz w:val="32"/>
          <w:szCs w:val="32"/>
        </w:rPr>
        <w:t>项目实施方案针对性需要加强，方案对实施进度安排和工作量的呈现可衡量程度和现实指导意义不足。对于制度保障、组织保障、监督管控措施和风险防控措施方面的说明比较欠缺。</w:t>
      </w:r>
    </w:p>
    <w:p w14:paraId="1F6CF8B7" w14:textId="77777777" w:rsidR="00E243E3" w:rsidRDefault="00000000">
      <w:pPr>
        <w:ind w:firstLineChars="200" w:firstLine="640"/>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lang w:eastAsia="zh-Hans"/>
        </w:rPr>
        <w:t>．</w:t>
      </w:r>
      <w:r>
        <w:rPr>
          <w:rFonts w:ascii="仿宋" w:eastAsia="仿宋" w:hAnsi="仿宋" w:cs="仿宋" w:hint="eastAsia"/>
          <w:sz w:val="32"/>
          <w:szCs w:val="32"/>
        </w:rPr>
        <w:t>合同签订需再细化。如与北京京弘科技有限公司签订的合同中，附件未列明每件文物仿制金额，建议与比选文件中金额进行对应。</w:t>
      </w:r>
    </w:p>
    <w:p w14:paraId="328E575A" w14:textId="77777777" w:rsidR="00E243E3" w:rsidRDefault="00000000">
      <w:pPr>
        <w:ind w:firstLineChars="200" w:firstLine="640"/>
        <w:rPr>
          <w:rFonts w:ascii="仿宋" w:eastAsia="仿宋" w:hAnsi="仿宋" w:cs="仿宋"/>
          <w:sz w:val="32"/>
          <w:szCs w:val="32"/>
          <w:lang w:eastAsia="zh-Hans"/>
        </w:rPr>
      </w:pPr>
      <w:r>
        <w:rPr>
          <w:rFonts w:ascii="仿宋" w:eastAsia="仿宋" w:hAnsi="仿宋" w:cs="仿宋" w:hint="eastAsia"/>
          <w:sz w:val="32"/>
          <w:szCs w:val="32"/>
        </w:rPr>
        <w:t>6</w:t>
      </w:r>
      <w:r>
        <w:rPr>
          <w:rFonts w:ascii="仿宋" w:eastAsia="仿宋" w:hAnsi="仿宋" w:cs="仿宋" w:hint="eastAsia"/>
          <w:sz w:val="32"/>
          <w:szCs w:val="32"/>
          <w:lang w:eastAsia="zh-Hans"/>
        </w:rPr>
        <w:t>．项目绩效成果体现不足，需进一步合理归集项目资料。</w:t>
      </w:r>
    </w:p>
    <w:p w14:paraId="19B9ED7E" w14:textId="77777777" w:rsidR="00E243E3" w:rsidRDefault="00000000">
      <w:pPr>
        <w:ind w:firstLineChars="200" w:firstLine="640"/>
        <w:rPr>
          <w:rFonts w:ascii="仿宋" w:eastAsia="仿宋" w:hAnsi="仿宋" w:cs="仿宋"/>
          <w:sz w:val="32"/>
          <w:szCs w:val="32"/>
        </w:rPr>
      </w:pPr>
      <w:r>
        <w:rPr>
          <w:rFonts w:ascii="仿宋" w:eastAsia="仿宋" w:hAnsi="仿宋" w:cs="仿宋" w:hint="eastAsia"/>
          <w:sz w:val="32"/>
          <w:szCs w:val="32"/>
        </w:rPr>
        <w:t>7</w:t>
      </w:r>
      <w:r>
        <w:rPr>
          <w:rFonts w:ascii="仿宋" w:eastAsia="仿宋" w:hAnsi="仿宋" w:cs="仿宋" w:hint="eastAsia"/>
          <w:sz w:val="32"/>
          <w:szCs w:val="32"/>
          <w:lang w:eastAsia="zh-Hans"/>
        </w:rPr>
        <w:t>．项目未做服务对象满意度调查</w:t>
      </w:r>
      <w:r>
        <w:rPr>
          <w:rFonts w:ascii="仿宋" w:eastAsia="仿宋" w:hAnsi="仿宋" w:cs="仿宋" w:hint="eastAsia"/>
          <w:sz w:val="32"/>
          <w:szCs w:val="32"/>
        </w:rPr>
        <w:t>。</w:t>
      </w:r>
    </w:p>
    <w:p w14:paraId="0CD8AD6E" w14:textId="77777777" w:rsidR="00E243E3" w:rsidRDefault="00000000">
      <w:pPr>
        <w:pStyle w:val="1"/>
        <w:spacing w:before="0" w:after="0" w:line="360" w:lineRule="auto"/>
        <w:ind w:firstLineChars="200" w:firstLine="640"/>
        <w:rPr>
          <w:rFonts w:eastAsia="黑体" w:cs="Times New Roman"/>
          <w:b w:val="0"/>
          <w:bCs w:val="0"/>
          <w:snapToGrid w:val="0"/>
          <w:color w:val="000000"/>
          <w:kern w:val="0"/>
          <w:sz w:val="32"/>
          <w:szCs w:val="32"/>
        </w:rPr>
      </w:pPr>
      <w:bookmarkStart w:id="36" w:name="_Toc24329"/>
      <w:r>
        <w:rPr>
          <w:rFonts w:eastAsia="黑体" w:cs="黑体" w:hint="eastAsia"/>
          <w:b w:val="0"/>
          <w:bCs w:val="0"/>
          <w:snapToGrid w:val="0"/>
          <w:color w:val="000000"/>
          <w:kern w:val="0"/>
          <w:sz w:val="32"/>
          <w:szCs w:val="32"/>
        </w:rPr>
        <w:t>六、有关建议</w:t>
      </w:r>
      <w:bookmarkEnd w:id="36"/>
    </w:p>
    <w:p w14:paraId="6F820058" w14:textId="77777777" w:rsidR="00E243E3" w:rsidRDefault="00000000">
      <w:pPr>
        <w:ind w:firstLineChars="200" w:firstLine="640"/>
        <w:rPr>
          <w:rFonts w:ascii="仿宋" w:eastAsia="仿宋" w:hAnsi="仿宋" w:cs="Times New Roman"/>
          <w:sz w:val="32"/>
          <w:szCs w:val="32"/>
        </w:rPr>
      </w:pPr>
      <w:r>
        <w:rPr>
          <w:rFonts w:ascii="仿宋" w:eastAsia="仿宋" w:hAnsi="仿宋" w:cs="仿宋"/>
          <w:sz w:val="32"/>
          <w:szCs w:val="32"/>
        </w:rPr>
        <w:t>1</w:t>
      </w:r>
      <w:r>
        <w:rPr>
          <w:rFonts w:ascii="仿宋" w:eastAsia="仿宋" w:hAnsi="仿宋" w:cs="仿宋" w:hint="eastAsia"/>
          <w:sz w:val="32"/>
          <w:szCs w:val="32"/>
        </w:rPr>
        <w:t>．完善绩效目标申报表，凝练绩效目标，针对项目内容逐一细化量化绩效指标，提升绩效指标的合理性、细化量化可衡量性。</w:t>
      </w:r>
    </w:p>
    <w:p w14:paraId="69541053" w14:textId="77777777" w:rsidR="00E243E3" w:rsidRDefault="00000000">
      <w:pPr>
        <w:ind w:firstLineChars="200" w:firstLine="640"/>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．建议项目单位制定出3-5年规划，并进一步细化每年需要征集的方向以及内容。</w:t>
      </w:r>
    </w:p>
    <w:p w14:paraId="590330C5" w14:textId="77777777" w:rsidR="00E243E3" w:rsidRDefault="00000000">
      <w:pPr>
        <w:ind w:firstLineChars="200" w:firstLine="640"/>
        <w:rPr>
          <w:rFonts w:ascii="仿宋" w:eastAsia="仿宋" w:hAnsi="仿宋" w:cs="Times New Roman"/>
          <w:sz w:val="32"/>
          <w:szCs w:val="32"/>
        </w:rPr>
      </w:pPr>
      <w:r>
        <w:rPr>
          <w:rFonts w:ascii="仿宋" w:eastAsia="仿宋" w:hAnsi="仿宋" w:cs="仿宋" w:hint="eastAsia"/>
          <w:sz w:val="32"/>
          <w:szCs w:val="32"/>
        </w:rPr>
        <w:t>3．预算编制工作应更加科学合理规范，按照项目规模、</w:t>
      </w:r>
      <w:r>
        <w:rPr>
          <w:rFonts w:ascii="仿宋" w:eastAsia="仿宋" w:hAnsi="仿宋" w:cs="仿宋" w:hint="eastAsia"/>
          <w:sz w:val="32"/>
          <w:szCs w:val="32"/>
        </w:rPr>
        <w:lastRenderedPageBreak/>
        <w:t>项目实施进度和绩效目标的实现程度，依据项目实际需求量以及与之匹配的人员工作量编制专项资金预算，使预算更加精准，避免超额支出或者结余较大的情况，进而提高财政资金的使用效率。</w:t>
      </w:r>
    </w:p>
    <w:p w14:paraId="6A72CFA1" w14:textId="77777777" w:rsidR="00E243E3" w:rsidRDefault="00000000">
      <w:pPr>
        <w:ind w:firstLineChars="200" w:firstLine="640"/>
        <w:rPr>
          <w:rFonts w:ascii="仿宋" w:eastAsia="仿宋_GB2312" w:hAnsi="仿宋" w:cs="Times New Roman"/>
          <w:sz w:val="32"/>
          <w:szCs w:val="32"/>
        </w:rPr>
      </w:pPr>
      <w:r>
        <w:rPr>
          <w:rFonts w:ascii="仿宋" w:eastAsia="仿宋" w:hAnsi="仿宋" w:cs="仿宋" w:hint="eastAsia"/>
          <w:sz w:val="32"/>
          <w:szCs w:val="32"/>
        </w:rPr>
        <w:t>4．</w:t>
      </w:r>
      <w:r>
        <w:rPr>
          <w:rFonts w:ascii="仿宋_GB2312" w:eastAsia="仿宋_GB2312" w:hint="eastAsia"/>
          <w:sz w:val="32"/>
          <w:szCs w:val="32"/>
        </w:rPr>
        <w:t>完善项目实施的管理方案，</w:t>
      </w:r>
      <w:r>
        <w:rPr>
          <w:rFonts w:ascii="仿宋_GB2312" w:eastAsia="仿宋_GB2312"/>
          <w:sz w:val="32"/>
          <w:szCs w:val="32"/>
        </w:rPr>
        <w:t>引入预算编制、制度构建与遵循、风险控制及</w:t>
      </w:r>
      <w:proofErr w:type="gramStart"/>
      <w:r>
        <w:rPr>
          <w:rFonts w:ascii="仿宋_GB2312" w:eastAsia="仿宋_GB2312"/>
          <w:sz w:val="32"/>
          <w:szCs w:val="32"/>
        </w:rPr>
        <w:t>应急案</w:t>
      </w:r>
      <w:proofErr w:type="gramEnd"/>
      <w:r>
        <w:rPr>
          <w:rFonts w:ascii="仿宋_GB2312" w:eastAsia="仿宋_GB2312"/>
          <w:sz w:val="32"/>
          <w:szCs w:val="32"/>
        </w:rPr>
        <w:t>等要素，使其具有更加有效的指导意义</w:t>
      </w:r>
      <w:r>
        <w:rPr>
          <w:rFonts w:ascii="仿宋_GB2312" w:eastAsia="仿宋_GB2312" w:hint="eastAsia"/>
          <w:sz w:val="32"/>
          <w:szCs w:val="32"/>
        </w:rPr>
        <w:t>。</w:t>
      </w:r>
    </w:p>
    <w:p w14:paraId="51943A10" w14:textId="77777777" w:rsidR="00E243E3" w:rsidRDefault="00000000">
      <w:pPr>
        <w:ind w:firstLineChars="200" w:firstLine="640"/>
        <w:rPr>
          <w:rFonts w:ascii="仿宋" w:eastAsia="仿宋" w:hAnsi="仿宋" w:cs="Times New Roman"/>
          <w:sz w:val="32"/>
          <w:szCs w:val="32"/>
        </w:rPr>
      </w:pPr>
      <w:r>
        <w:rPr>
          <w:rFonts w:ascii="仿宋" w:eastAsia="仿宋" w:hAnsi="仿宋" w:cs="仿宋" w:hint="eastAsia"/>
          <w:sz w:val="32"/>
          <w:szCs w:val="32"/>
        </w:rPr>
        <w:t>5．建立更有效的项目管理制度，督促项目实施进度，持续跟踪绩效目标实现情况，保障项目执行过程更加顺畅、严谨；加强对项目实施过程中资料的统计和汇集，提高项目绩效目标的支持力度；加强对项目方的监督把控，细化各方面的具体要求，规范项目方的工作成果展现。</w:t>
      </w:r>
    </w:p>
    <w:p w14:paraId="3E846B34" w14:textId="77777777" w:rsidR="00E243E3" w:rsidRDefault="00000000">
      <w:pPr>
        <w:ind w:firstLineChars="200" w:firstLine="640"/>
        <w:rPr>
          <w:rFonts w:ascii="仿宋" w:eastAsia="仿宋_GB2312" w:hAnsi="仿宋" w:cs="Times New Roman"/>
          <w:sz w:val="32"/>
          <w:szCs w:val="32"/>
        </w:rPr>
      </w:pPr>
      <w:r>
        <w:rPr>
          <w:rFonts w:ascii="仿宋" w:eastAsia="仿宋" w:hAnsi="仿宋" w:cs="仿宋" w:hint="eastAsia"/>
          <w:sz w:val="32"/>
          <w:szCs w:val="32"/>
        </w:rPr>
        <w:t>6．</w:t>
      </w:r>
      <w:r>
        <w:rPr>
          <w:rFonts w:ascii="仿宋_GB2312" w:eastAsia="仿宋_GB2312" w:hAnsi="宋体" w:cs="仿宋_GB2312" w:hint="eastAsia"/>
          <w:sz w:val="32"/>
          <w:szCs w:val="32"/>
        </w:rPr>
        <w:t>加强合同管理，细化合同附件内容，保证财政资金的安全有效。</w:t>
      </w:r>
    </w:p>
    <w:p w14:paraId="7911793D" w14:textId="77777777" w:rsidR="00E243E3" w:rsidRDefault="00000000">
      <w:pPr>
        <w:ind w:firstLineChars="200" w:firstLine="640"/>
        <w:rPr>
          <w:rFonts w:ascii="仿宋" w:eastAsia="仿宋" w:hAnsi="仿宋" w:cs="Times New Roman"/>
          <w:sz w:val="32"/>
          <w:szCs w:val="32"/>
        </w:rPr>
      </w:pPr>
      <w:r>
        <w:rPr>
          <w:rFonts w:ascii="仿宋" w:eastAsia="仿宋" w:hAnsi="仿宋" w:cs="仿宋" w:hint="eastAsia"/>
          <w:sz w:val="32"/>
          <w:szCs w:val="32"/>
        </w:rPr>
        <w:t>7．对于公益性比较突出的项目，应进行满意度专项调查，明确满意度调研的主体应为实际受益人群，提升受益人群的服务满意度。满意度调查涉及内容应全面、具体、科学、有效。以便于充分体现该项目的实施效果。</w:t>
      </w:r>
    </w:p>
    <w:p w14:paraId="2E6500B6" w14:textId="77777777" w:rsidR="00E243E3" w:rsidRDefault="00000000">
      <w:pPr>
        <w:pStyle w:val="1"/>
        <w:spacing w:before="0" w:after="0" w:line="360" w:lineRule="auto"/>
        <w:ind w:firstLineChars="200" w:firstLine="640"/>
        <w:rPr>
          <w:rFonts w:eastAsia="黑体" w:cs="Times New Roman"/>
          <w:b w:val="0"/>
          <w:bCs w:val="0"/>
          <w:snapToGrid w:val="0"/>
          <w:color w:val="000000"/>
          <w:kern w:val="0"/>
          <w:sz w:val="32"/>
          <w:szCs w:val="32"/>
        </w:rPr>
      </w:pPr>
      <w:bookmarkStart w:id="37" w:name="_Toc12383"/>
      <w:r>
        <w:rPr>
          <w:rFonts w:eastAsia="黑体" w:cs="黑体" w:hint="eastAsia"/>
          <w:b w:val="0"/>
          <w:bCs w:val="0"/>
          <w:snapToGrid w:val="0"/>
          <w:color w:val="000000"/>
          <w:kern w:val="0"/>
          <w:sz w:val="32"/>
          <w:szCs w:val="32"/>
        </w:rPr>
        <w:t>七、</w:t>
      </w:r>
      <w:bookmarkEnd w:id="37"/>
      <w:r>
        <w:rPr>
          <w:rFonts w:eastAsia="黑体" w:cs="黑体" w:hint="eastAsia"/>
          <w:b w:val="0"/>
          <w:bCs w:val="0"/>
          <w:snapToGrid w:val="0"/>
          <w:color w:val="000000"/>
          <w:kern w:val="0"/>
          <w:sz w:val="32"/>
          <w:szCs w:val="32"/>
        </w:rPr>
        <w:t>其他需要说明的问题</w:t>
      </w:r>
    </w:p>
    <w:p w14:paraId="1D1823A4" w14:textId="245239D9" w:rsidR="00E243E3" w:rsidRDefault="00000000" w:rsidP="00C11BFE">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1．绩效目标表</w:t>
      </w:r>
    </w:p>
    <w:p w14:paraId="018205E3" w14:textId="5FA14859" w:rsidR="00C11BFE" w:rsidRPr="00C11BFE" w:rsidRDefault="00C11BFE" w:rsidP="00C11BFE">
      <w:pPr>
        <w:rPr>
          <w:rFonts w:hint="eastAsia"/>
        </w:rPr>
      </w:pPr>
      <w:r w:rsidRPr="00C11BFE">
        <w:rPr>
          <w:rFonts w:hint="eastAsia"/>
        </w:rPr>
        <w:lastRenderedPageBreak/>
        <w:drawing>
          <wp:inline distT="0" distB="0" distL="0" distR="0" wp14:anchorId="685DDCFD" wp14:editId="4E71DAA5">
            <wp:extent cx="5274310" cy="5583555"/>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5583555"/>
                    </a:xfrm>
                    <a:prstGeom prst="rect">
                      <a:avLst/>
                    </a:prstGeom>
                    <a:noFill/>
                    <a:ln>
                      <a:noFill/>
                    </a:ln>
                  </pic:spPr>
                </pic:pic>
              </a:graphicData>
            </a:graphic>
          </wp:inline>
        </w:drawing>
      </w:r>
    </w:p>
    <w:p w14:paraId="421C0672" w14:textId="54E53276" w:rsidR="00E243E3"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2．指标体系及打分情况表</w:t>
      </w:r>
      <w:r>
        <w:rPr>
          <w:rFonts w:ascii="仿宋" w:eastAsia="仿宋" w:hAnsi="仿宋" w:cs="仿宋" w:hint="eastAsia"/>
          <w:sz w:val="32"/>
          <w:szCs w:val="32"/>
        </w:rPr>
        <w:tab/>
      </w:r>
    </w:p>
    <w:tbl>
      <w:tblPr>
        <w:tblW w:w="5323" w:type="pct"/>
        <w:tblInd w:w="-318" w:type="dxa"/>
        <w:tblLayout w:type="fixed"/>
        <w:tblLook w:val="04A0" w:firstRow="1" w:lastRow="0" w:firstColumn="1" w:lastColumn="0" w:noHBand="0" w:noVBand="1"/>
      </w:tblPr>
      <w:tblGrid>
        <w:gridCol w:w="709"/>
        <w:gridCol w:w="709"/>
        <w:gridCol w:w="708"/>
        <w:gridCol w:w="993"/>
        <w:gridCol w:w="851"/>
        <w:gridCol w:w="3259"/>
        <w:gridCol w:w="853"/>
        <w:gridCol w:w="991"/>
      </w:tblGrid>
      <w:tr w:rsidR="00C11BFE" w14:paraId="463D4BF9" w14:textId="77777777" w:rsidTr="00C11BFE">
        <w:trPr>
          <w:trHeight w:val="600"/>
          <w:tblHeader/>
        </w:trPr>
        <w:tc>
          <w:tcPr>
            <w:tcW w:w="5000" w:type="pct"/>
            <w:gridSpan w:val="8"/>
            <w:tcBorders>
              <w:top w:val="nil"/>
              <w:left w:val="nil"/>
              <w:bottom w:val="single" w:sz="4" w:space="0" w:color="auto"/>
              <w:right w:val="nil"/>
            </w:tcBorders>
            <w:shd w:val="clear" w:color="auto" w:fill="auto"/>
            <w:vAlign w:val="center"/>
          </w:tcPr>
          <w:p w14:paraId="29128321" w14:textId="77777777" w:rsidR="00C11BFE" w:rsidRDefault="00C11BFE" w:rsidP="00DD5A26">
            <w:pPr>
              <w:widowControl/>
              <w:jc w:val="center"/>
              <w:rPr>
                <w:rFonts w:ascii="宋体" w:hAnsi="宋体" w:cs="宋体"/>
                <w:b/>
                <w:bCs/>
                <w:color w:val="000000"/>
                <w:kern w:val="0"/>
                <w:sz w:val="32"/>
                <w:szCs w:val="32"/>
              </w:rPr>
            </w:pPr>
            <w:r>
              <w:rPr>
                <w:rFonts w:ascii="宋体" w:hAnsi="宋体" w:cs="宋体" w:hint="eastAsia"/>
                <w:b/>
                <w:bCs/>
                <w:color w:val="000000"/>
                <w:kern w:val="0"/>
                <w:sz w:val="32"/>
                <w:szCs w:val="32"/>
              </w:rPr>
              <w:t>2021年香山革命纪念馆文物征集及复仿制项目支出绩效评价</w:t>
            </w:r>
            <w:proofErr w:type="gramStart"/>
            <w:r>
              <w:rPr>
                <w:rFonts w:ascii="宋体" w:hAnsi="宋体" w:cs="宋体" w:hint="eastAsia"/>
                <w:b/>
                <w:bCs/>
                <w:color w:val="000000"/>
                <w:kern w:val="0"/>
                <w:sz w:val="32"/>
                <w:szCs w:val="32"/>
              </w:rPr>
              <w:t>打分表</w:t>
            </w:r>
            <w:proofErr w:type="gramEnd"/>
          </w:p>
        </w:tc>
      </w:tr>
      <w:tr w:rsidR="00C11BFE" w14:paraId="4602D957" w14:textId="77777777" w:rsidTr="000F1325">
        <w:trPr>
          <w:trHeight w:val="600"/>
          <w:tblHeader/>
        </w:trPr>
        <w:tc>
          <w:tcPr>
            <w:tcW w:w="391" w:type="pct"/>
            <w:tcBorders>
              <w:top w:val="nil"/>
              <w:left w:val="single" w:sz="4" w:space="0" w:color="auto"/>
              <w:bottom w:val="single" w:sz="4" w:space="0" w:color="auto"/>
              <w:right w:val="single" w:sz="4" w:space="0" w:color="auto"/>
            </w:tcBorders>
            <w:shd w:val="clear" w:color="auto" w:fill="auto"/>
            <w:vAlign w:val="center"/>
          </w:tcPr>
          <w:p w14:paraId="38987822" w14:textId="77777777" w:rsidR="00C11BFE" w:rsidRDefault="00C11BFE" w:rsidP="00DD5A26">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一级指标</w:t>
            </w:r>
          </w:p>
        </w:tc>
        <w:tc>
          <w:tcPr>
            <w:tcW w:w="391" w:type="pct"/>
            <w:tcBorders>
              <w:top w:val="nil"/>
              <w:left w:val="nil"/>
              <w:bottom w:val="single" w:sz="4" w:space="0" w:color="auto"/>
              <w:right w:val="single" w:sz="4" w:space="0" w:color="auto"/>
            </w:tcBorders>
            <w:shd w:val="clear" w:color="auto" w:fill="auto"/>
            <w:vAlign w:val="center"/>
          </w:tcPr>
          <w:p w14:paraId="4C4580AD" w14:textId="77777777" w:rsidR="00C11BFE" w:rsidRDefault="00C11BFE" w:rsidP="00DD5A26">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二级指标</w:t>
            </w:r>
          </w:p>
        </w:tc>
        <w:tc>
          <w:tcPr>
            <w:tcW w:w="390" w:type="pct"/>
            <w:tcBorders>
              <w:top w:val="nil"/>
              <w:left w:val="nil"/>
              <w:bottom w:val="single" w:sz="4" w:space="0" w:color="auto"/>
              <w:right w:val="single" w:sz="4" w:space="0" w:color="auto"/>
            </w:tcBorders>
            <w:shd w:val="clear" w:color="auto" w:fill="auto"/>
            <w:vAlign w:val="center"/>
          </w:tcPr>
          <w:p w14:paraId="21663BE6" w14:textId="77777777" w:rsidR="00C11BFE" w:rsidRDefault="00C11BFE" w:rsidP="00DD5A26">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三级指标</w:t>
            </w:r>
          </w:p>
        </w:tc>
        <w:tc>
          <w:tcPr>
            <w:tcW w:w="547" w:type="pct"/>
            <w:tcBorders>
              <w:top w:val="nil"/>
              <w:left w:val="nil"/>
              <w:bottom w:val="single" w:sz="4" w:space="0" w:color="auto"/>
              <w:right w:val="single" w:sz="4" w:space="0" w:color="auto"/>
            </w:tcBorders>
            <w:shd w:val="clear" w:color="auto" w:fill="auto"/>
            <w:vAlign w:val="center"/>
          </w:tcPr>
          <w:p w14:paraId="6A14B23B" w14:textId="77777777" w:rsidR="00C11BFE" w:rsidRDefault="00C11BFE" w:rsidP="00DD5A26">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四级指标</w:t>
            </w:r>
          </w:p>
        </w:tc>
        <w:tc>
          <w:tcPr>
            <w:tcW w:w="469" w:type="pct"/>
            <w:tcBorders>
              <w:top w:val="nil"/>
              <w:left w:val="nil"/>
              <w:bottom w:val="single" w:sz="4" w:space="0" w:color="auto"/>
              <w:right w:val="single" w:sz="4" w:space="0" w:color="auto"/>
            </w:tcBorders>
            <w:shd w:val="clear" w:color="auto" w:fill="auto"/>
            <w:vAlign w:val="center"/>
          </w:tcPr>
          <w:p w14:paraId="37066CCF" w14:textId="77777777" w:rsidR="00C11BFE" w:rsidRDefault="00C11BFE" w:rsidP="00DD5A26">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分值</w:t>
            </w:r>
          </w:p>
        </w:tc>
        <w:tc>
          <w:tcPr>
            <w:tcW w:w="1796" w:type="pct"/>
            <w:tcBorders>
              <w:top w:val="nil"/>
              <w:left w:val="nil"/>
              <w:bottom w:val="single" w:sz="4" w:space="0" w:color="auto"/>
              <w:right w:val="single" w:sz="4" w:space="0" w:color="auto"/>
            </w:tcBorders>
            <w:shd w:val="clear" w:color="auto" w:fill="auto"/>
            <w:vAlign w:val="center"/>
          </w:tcPr>
          <w:p w14:paraId="0C88FFD8" w14:textId="77777777" w:rsidR="00C11BFE" w:rsidRDefault="00C11BFE" w:rsidP="00DD5A26">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评分标准</w:t>
            </w:r>
          </w:p>
        </w:tc>
        <w:tc>
          <w:tcPr>
            <w:tcW w:w="470" w:type="pct"/>
            <w:tcBorders>
              <w:top w:val="nil"/>
              <w:left w:val="nil"/>
              <w:bottom w:val="single" w:sz="4" w:space="0" w:color="auto"/>
              <w:right w:val="single" w:sz="4" w:space="0" w:color="auto"/>
            </w:tcBorders>
            <w:shd w:val="clear" w:color="auto" w:fill="auto"/>
            <w:vAlign w:val="center"/>
          </w:tcPr>
          <w:p w14:paraId="7ECBAF3F" w14:textId="77777777" w:rsidR="00C11BFE" w:rsidRDefault="00C11BFE" w:rsidP="00DD5A26">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得分</w:t>
            </w:r>
          </w:p>
        </w:tc>
        <w:tc>
          <w:tcPr>
            <w:tcW w:w="547" w:type="pct"/>
            <w:tcBorders>
              <w:top w:val="nil"/>
              <w:left w:val="nil"/>
              <w:bottom w:val="single" w:sz="4" w:space="0" w:color="auto"/>
              <w:right w:val="single" w:sz="4" w:space="0" w:color="auto"/>
            </w:tcBorders>
            <w:shd w:val="clear" w:color="auto" w:fill="auto"/>
            <w:vAlign w:val="center"/>
          </w:tcPr>
          <w:p w14:paraId="670F036A" w14:textId="77777777" w:rsidR="00C11BFE" w:rsidRDefault="00C11BFE" w:rsidP="00DD5A26">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扣分原因</w:t>
            </w:r>
          </w:p>
        </w:tc>
      </w:tr>
      <w:tr w:rsidR="00C11BFE" w14:paraId="26A060FD" w14:textId="77777777" w:rsidTr="000F1325">
        <w:trPr>
          <w:trHeight w:val="1361"/>
        </w:trPr>
        <w:tc>
          <w:tcPr>
            <w:tcW w:w="391" w:type="pct"/>
            <w:vMerge w:val="restart"/>
            <w:tcBorders>
              <w:top w:val="nil"/>
              <w:left w:val="single" w:sz="4" w:space="0" w:color="auto"/>
              <w:bottom w:val="single" w:sz="4" w:space="0" w:color="auto"/>
              <w:right w:val="single" w:sz="4" w:space="0" w:color="auto"/>
            </w:tcBorders>
            <w:shd w:val="clear" w:color="auto" w:fill="auto"/>
            <w:vAlign w:val="center"/>
          </w:tcPr>
          <w:p w14:paraId="7658C4A8"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项目决策（15分）</w:t>
            </w:r>
          </w:p>
        </w:tc>
        <w:tc>
          <w:tcPr>
            <w:tcW w:w="391" w:type="pct"/>
            <w:vMerge w:val="restart"/>
            <w:tcBorders>
              <w:top w:val="nil"/>
              <w:left w:val="single" w:sz="4" w:space="0" w:color="auto"/>
              <w:bottom w:val="single" w:sz="4" w:space="0" w:color="auto"/>
              <w:right w:val="single" w:sz="4" w:space="0" w:color="auto"/>
            </w:tcBorders>
            <w:shd w:val="clear" w:color="auto" w:fill="auto"/>
            <w:vAlign w:val="center"/>
          </w:tcPr>
          <w:p w14:paraId="467D4A01"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项目立项（6分）</w:t>
            </w:r>
          </w:p>
        </w:tc>
        <w:tc>
          <w:tcPr>
            <w:tcW w:w="390" w:type="pct"/>
            <w:tcBorders>
              <w:top w:val="nil"/>
              <w:left w:val="nil"/>
              <w:bottom w:val="single" w:sz="4" w:space="0" w:color="auto"/>
              <w:right w:val="single" w:sz="4" w:space="0" w:color="auto"/>
            </w:tcBorders>
            <w:shd w:val="clear" w:color="auto" w:fill="auto"/>
            <w:vAlign w:val="center"/>
          </w:tcPr>
          <w:p w14:paraId="4F8CF4A2"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决策依据（3分）</w:t>
            </w:r>
          </w:p>
        </w:tc>
        <w:tc>
          <w:tcPr>
            <w:tcW w:w="547" w:type="pct"/>
            <w:tcBorders>
              <w:top w:val="nil"/>
              <w:left w:val="nil"/>
              <w:bottom w:val="single" w:sz="4" w:space="0" w:color="auto"/>
              <w:right w:val="single" w:sz="4" w:space="0" w:color="auto"/>
            </w:tcBorders>
            <w:shd w:val="clear" w:color="auto" w:fill="auto"/>
            <w:vAlign w:val="center"/>
          </w:tcPr>
          <w:p w14:paraId="6D91D6BF"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立项依据充分性</w:t>
            </w:r>
          </w:p>
        </w:tc>
        <w:tc>
          <w:tcPr>
            <w:tcW w:w="469" w:type="pct"/>
            <w:tcBorders>
              <w:top w:val="nil"/>
              <w:left w:val="nil"/>
              <w:bottom w:val="single" w:sz="4" w:space="0" w:color="auto"/>
              <w:right w:val="single" w:sz="4" w:space="0" w:color="auto"/>
            </w:tcBorders>
            <w:shd w:val="clear" w:color="auto" w:fill="auto"/>
            <w:vAlign w:val="center"/>
          </w:tcPr>
          <w:p w14:paraId="0EE84CCF"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3.00</w:t>
            </w:r>
          </w:p>
        </w:tc>
        <w:tc>
          <w:tcPr>
            <w:tcW w:w="1796" w:type="pct"/>
            <w:tcBorders>
              <w:top w:val="nil"/>
              <w:left w:val="nil"/>
              <w:bottom w:val="single" w:sz="4" w:space="0" w:color="auto"/>
              <w:right w:val="single" w:sz="4" w:space="0" w:color="auto"/>
            </w:tcBorders>
            <w:shd w:val="clear" w:color="auto" w:fill="auto"/>
            <w:vAlign w:val="center"/>
          </w:tcPr>
          <w:p w14:paraId="00D75893"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项目决策依据充分（2.7[含]-3分）；</w:t>
            </w:r>
            <w:r>
              <w:rPr>
                <w:rFonts w:ascii="宋体" w:hAnsi="宋体" w:cs="宋体" w:hint="eastAsia"/>
                <w:color w:val="000000"/>
                <w:kern w:val="0"/>
                <w:sz w:val="20"/>
                <w:szCs w:val="20"/>
              </w:rPr>
              <w:br/>
              <w:t>项目决策依据比较充分（2.25[含]-2.7分）；</w:t>
            </w:r>
            <w:r>
              <w:rPr>
                <w:rFonts w:ascii="宋体" w:hAnsi="宋体" w:cs="宋体" w:hint="eastAsia"/>
                <w:color w:val="000000"/>
                <w:kern w:val="0"/>
                <w:sz w:val="20"/>
                <w:szCs w:val="20"/>
              </w:rPr>
              <w:br/>
              <w:t>项目决策依据基本充分（1.8[含]-2.25分）；</w:t>
            </w:r>
            <w:r>
              <w:rPr>
                <w:rFonts w:ascii="宋体" w:hAnsi="宋体" w:cs="宋体" w:hint="eastAsia"/>
                <w:color w:val="000000"/>
                <w:kern w:val="0"/>
                <w:sz w:val="20"/>
                <w:szCs w:val="20"/>
              </w:rPr>
              <w:br/>
              <w:t>项目决策依据不够充分（0-1.8分）。</w:t>
            </w:r>
          </w:p>
        </w:tc>
        <w:tc>
          <w:tcPr>
            <w:tcW w:w="470" w:type="pct"/>
            <w:tcBorders>
              <w:top w:val="nil"/>
              <w:left w:val="nil"/>
              <w:bottom w:val="single" w:sz="4" w:space="0" w:color="auto"/>
              <w:right w:val="single" w:sz="4" w:space="0" w:color="auto"/>
            </w:tcBorders>
            <w:shd w:val="clear" w:color="auto" w:fill="auto"/>
            <w:vAlign w:val="center"/>
          </w:tcPr>
          <w:p w14:paraId="606DBBCB"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2.81</w:t>
            </w:r>
          </w:p>
        </w:tc>
        <w:tc>
          <w:tcPr>
            <w:tcW w:w="547" w:type="pct"/>
            <w:tcBorders>
              <w:top w:val="nil"/>
              <w:left w:val="nil"/>
              <w:bottom w:val="single" w:sz="4" w:space="0" w:color="auto"/>
              <w:right w:val="single" w:sz="4" w:space="0" w:color="auto"/>
            </w:tcBorders>
            <w:shd w:val="clear" w:color="auto" w:fill="auto"/>
            <w:vAlign w:val="center"/>
          </w:tcPr>
          <w:p w14:paraId="6CCA4405"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应制定发展规划</w:t>
            </w:r>
          </w:p>
        </w:tc>
      </w:tr>
      <w:tr w:rsidR="00C11BFE" w14:paraId="7DDAA6E5" w14:textId="77777777" w:rsidTr="000F1325">
        <w:trPr>
          <w:trHeight w:val="1361"/>
        </w:trPr>
        <w:tc>
          <w:tcPr>
            <w:tcW w:w="391" w:type="pct"/>
            <w:vMerge/>
            <w:tcBorders>
              <w:top w:val="nil"/>
              <w:left w:val="single" w:sz="4" w:space="0" w:color="auto"/>
              <w:bottom w:val="single" w:sz="4" w:space="0" w:color="auto"/>
              <w:right w:val="single" w:sz="4" w:space="0" w:color="auto"/>
            </w:tcBorders>
            <w:vAlign w:val="center"/>
          </w:tcPr>
          <w:p w14:paraId="71B59669" w14:textId="77777777" w:rsidR="00C11BFE" w:rsidRDefault="00C11BFE" w:rsidP="00DD5A26">
            <w:pPr>
              <w:widowControl/>
              <w:jc w:val="left"/>
              <w:rPr>
                <w:rFonts w:ascii="宋体" w:hAnsi="宋体" w:cs="宋体"/>
                <w:color w:val="000000"/>
                <w:kern w:val="0"/>
                <w:sz w:val="20"/>
                <w:szCs w:val="20"/>
              </w:rPr>
            </w:pPr>
          </w:p>
        </w:tc>
        <w:tc>
          <w:tcPr>
            <w:tcW w:w="391" w:type="pct"/>
            <w:vMerge/>
            <w:tcBorders>
              <w:top w:val="nil"/>
              <w:left w:val="single" w:sz="4" w:space="0" w:color="auto"/>
              <w:bottom w:val="single" w:sz="4" w:space="0" w:color="auto"/>
              <w:right w:val="single" w:sz="4" w:space="0" w:color="auto"/>
            </w:tcBorders>
            <w:vAlign w:val="center"/>
          </w:tcPr>
          <w:p w14:paraId="5E582571" w14:textId="77777777" w:rsidR="00C11BFE" w:rsidRDefault="00C11BFE" w:rsidP="00DD5A26">
            <w:pPr>
              <w:widowControl/>
              <w:jc w:val="left"/>
              <w:rPr>
                <w:rFonts w:ascii="宋体" w:hAnsi="宋体" w:cs="宋体"/>
                <w:color w:val="000000"/>
                <w:kern w:val="0"/>
                <w:sz w:val="20"/>
                <w:szCs w:val="20"/>
              </w:rPr>
            </w:pPr>
          </w:p>
        </w:tc>
        <w:tc>
          <w:tcPr>
            <w:tcW w:w="390" w:type="pct"/>
            <w:tcBorders>
              <w:top w:val="nil"/>
              <w:left w:val="nil"/>
              <w:bottom w:val="single" w:sz="4" w:space="0" w:color="auto"/>
              <w:right w:val="single" w:sz="4" w:space="0" w:color="auto"/>
            </w:tcBorders>
            <w:shd w:val="clear" w:color="auto" w:fill="auto"/>
            <w:vAlign w:val="center"/>
          </w:tcPr>
          <w:p w14:paraId="76A13E15"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决策程序（3分）</w:t>
            </w:r>
          </w:p>
        </w:tc>
        <w:tc>
          <w:tcPr>
            <w:tcW w:w="547" w:type="pct"/>
            <w:tcBorders>
              <w:top w:val="nil"/>
              <w:left w:val="nil"/>
              <w:bottom w:val="single" w:sz="4" w:space="0" w:color="auto"/>
              <w:right w:val="single" w:sz="4" w:space="0" w:color="auto"/>
            </w:tcBorders>
            <w:shd w:val="clear" w:color="auto" w:fill="auto"/>
            <w:vAlign w:val="center"/>
          </w:tcPr>
          <w:p w14:paraId="22D7AA43"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立项程序规范性</w:t>
            </w:r>
          </w:p>
        </w:tc>
        <w:tc>
          <w:tcPr>
            <w:tcW w:w="469" w:type="pct"/>
            <w:tcBorders>
              <w:top w:val="nil"/>
              <w:left w:val="nil"/>
              <w:bottom w:val="single" w:sz="4" w:space="0" w:color="auto"/>
              <w:right w:val="single" w:sz="4" w:space="0" w:color="auto"/>
            </w:tcBorders>
            <w:shd w:val="clear" w:color="auto" w:fill="auto"/>
            <w:vAlign w:val="center"/>
          </w:tcPr>
          <w:p w14:paraId="46AB7EEB"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3.00</w:t>
            </w:r>
          </w:p>
        </w:tc>
        <w:tc>
          <w:tcPr>
            <w:tcW w:w="1796" w:type="pct"/>
            <w:tcBorders>
              <w:top w:val="nil"/>
              <w:left w:val="nil"/>
              <w:bottom w:val="single" w:sz="4" w:space="0" w:color="auto"/>
              <w:right w:val="single" w:sz="4" w:space="0" w:color="auto"/>
            </w:tcBorders>
            <w:shd w:val="clear" w:color="auto" w:fill="auto"/>
            <w:vAlign w:val="center"/>
          </w:tcPr>
          <w:p w14:paraId="3C30C826"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项目申报及审批程序科学、规范（2.7[含]-3分）；</w:t>
            </w:r>
            <w:r>
              <w:rPr>
                <w:rFonts w:ascii="宋体" w:hAnsi="宋体" w:cs="宋体" w:hint="eastAsia"/>
                <w:color w:val="000000"/>
                <w:kern w:val="0"/>
                <w:sz w:val="20"/>
                <w:szCs w:val="20"/>
              </w:rPr>
              <w:br/>
              <w:t>项目申报及审批程序比较科学、规范（2.25[含]-2.7分）；</w:t>
            </w:r>
            <w:r>
              <w:rPr>
                <w:rFonts w:ascii="宋体" w:hAnsi="宋体" w:cs="宋体" w:hint="eastAsia"/>
                <w:color w:val="000000"/>
                <w:kern w:val="0"/>
                <w:sz w:val="20"/>
                <w:szCs w:val="20"/>
              </w:rPr>
              <w:br/>
              <w:t>项目申报及审批程序基本规范（1.8[含]-2.25分）；</w:t>
            </w:r>
            <w:r>
              <w:rPr>
                <w:rFonts w:ascii="宋体" w:hAnsi="宋体" w:cs="宋体" w:hint="eastAsia"/>
                <w:color w:val="000000"/>
                <w:kern w:val="0"/>
                <w:sz w:val="20"/>
                <w:szCs w:val="20"/>
              </w:rPr>
              <w:br/>
              <w:t>项目申报及审批程序不够科学、规范（0-1.8分）。</w:t>
            </w:r>
          </w:p>
        </w:tc>
        <w:tc>
          <w:tcPr>
            <w:tcW w:w="470" w:type="pct"/>
            <w:tcBorders>
              <w:top w:val="nil"/>
              <w:left w:val="nil"/>
              <w:bottom w:val="single" w:sz="4" w:space="0" w:color="auto"/>
              <w:right w:val="single" w:sz="4" w:space="0" w:color="auto"/>
            </w:tcBorders>
            <w:shd w:val="clear" w:color="auto" w:fill="auto"/>
            <w:vAlign w:val="center"/>
          </w:tcPr>
          <w:p w14:paraId="367B3E49"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3.00</w:t>
            </w:r>
          </w:p>
        </w:tc>
        <w:tc>
          <w:tcPr>
            <w:tcW w:w="547" w:type="pct"/>
            <w:tcBorders>
              <w:top w:val="nil"/>
              <w:left w:val="nil"/>
              <w:bottom w:val="single" w:sz="4" w:space="0" w:color="auto"/>
              <w:right w:val="single" w:sz="4" w:space="0" w:color="auto"/>
            </w:tcBorders>
            <w:shd w:val="clear" w:color="auto" w:fill="auto"/>
            <w:vAlign w:val="center"/>
          </w:tcPr>
          <w:p w14:paraId="31114040"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C11BFE" w14:paraId="17450579" w14:textId="77777777" w:rsidTr="000F1325">
        <w:trPr>
          <w:trHeight w:val="1361"/>
        </w:trPr>
        <w:tc>
          <w:tcPr>
            <w:tcW w:w="391" w:type="pct"/>
            <w:vMerge/>
            <w:tcBorders>
              <w:top w:val="nil"/>
              <w:left w:val="single" w:sz="4" w:space="0" w:color="auto"/>
              <w:bottom w:val="single" w:sz="4" w:space="0" w:color="auto"/>
              <w:right w:val="single" w:sz="4" w:space="0" w:color="auto"/>
            </w:tcBorders>
            <w:vAlign w:val="center"/>
          </w:tcPr>
          <w:p w14:paraId="4841A29E" w14:textId="77777777" w:rsidR="00C11BFE" w:rsidRDefault="00C11BFE" w:rsidP="00DD5A26">
            <w:pPr>
              <w:widowControl/>
              <w:jc w:val="left"/>
              <w:rPr>
                <w:rFonts w:ascii="宋体" w:hAnsi="宋体" w:cs="宋体"/>
                <w:color w:val="000000"/>
                <w:kern w:val="0"/>
                <w:sz w:val="20"/>
                <w:szCs w:val="20"/>
              </w:rPr>
            </w:pPr>
          </w:p>
        </w:tc>
        <w:tc>
          <w:tcPr>
            <w:tcW w:w="391" w:type="pct"/>
            <w:vMerge w:val="restart"/>
            <w:tcBorders>
              <w:top w:val="nil"/>
              <w:left w:val="single" w:sz="4" w:space="0" w:color="auto"/>
              <w:bottom w:val="single" w:sz="4" w:space="0" w:color="auto"/>
              <w:right w:val="single" w:sz="4" w:space="0" w:color="auto"/>
            </w:tcBorders>
            <w:shd w:val="clear" w:color="auto" w:fill="auto"/>
            <w:vAlign w:val="center"/>
          </w:tcPr>
          <w:p w14:paraId="190851F4"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绩效目标（6分）</w:t>
            </w:r>
          </w:p>
        </w:tc>
        <w:tc>
          <w:tcPr>
            <w:tcW w:w="390" w:type="pct"/>
            <w:tcBorders>
              <w:top w:val="nil"/>
              <w:left w:val="nil"/>
              <w:bottom w:val="single" w:sz="4" w:space="0" w:color="auto"/>
              <w:right w:val="single" w:sz="4" w:space="0" w:color="auto"/>
            </w:tcBorders>
            <w:shd w:val="clear" w:color="auto" w:fill="auto"/>
            <w:vAlign w:val="center"/>
          </w:tcPr>
          <w:p w14:paraId="6F3CCD36"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绩效目标合理性                  （3分）</w:t>
            </w:r>
          </w:p>
        </w:tc>
        <w:tc>
          <w:tcPr>
            <w:tcW w:w="547" w:type="pct"/>
            <w:tcBorders>
              <w:top w:val="nil"/>
              <w:left w:val="nil"/>
              <w:bottom w:val="single" w:sz="4" w:space="0" w:color="auto"/>
              <w:right w:val="single" w:sz="4" w:space="0" w:color="auto"/>
            </w:tcBorders>
            <w:shd w:val="clear" w:color="auto" w:fill="auto"/>
            <w:vAlign w:val="center"/>
          </w:tcPr>
          <w:p w14:paraId="0A998D14"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目标明确、主题突出</w:t>
            </w:r>
          </w:p>
        </w:tc>
        <w:tc>
          <w:tcPr>
            <w:tcW w:w="469" w:type="pct"/>
            <w:tcBorders>
              <w:top w:val="nil"/>
              <w:left w:val="nil"/>
              <w:bottom w:val="single" w:sz="4" w:space="0" w:color="auto"/>
              <w:right w:val="single" w:sz="4" w:space="0" w:color="auto"/>
            </w:tcBorders>
            <w:shd w:val="clear" w:color="auto" w:fill="auto"/>
            <w:vAlign w:val="center"/>
          </w:tcPr>
          <w:p w14:paraId="3FC5E081"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3.00</w:t>
            </w:r>
          </w:p>
        </w:tc>
        <w:tc>
          <w:tcPr>
            <w:tcW w:w="1796" w:type="pct"/>
            <w:tcBorders>
              <w:top w:val="nil"/>
              <w:left w:val="nil"/>
              <w:bottom w:val="single" w:sz="4" w:space="0" w:color="auto"/>
              <w:right w:val="single" w:sz="4" w:space="0" w:color="auto"/>
            </w:tcBorders>
            <w:shd w:val="clear" w:color="auto" w:fill="auto"/>
            <w:vAlign w:val="center"/>
          </w:tcPr>
          <w:p w14:paraId="25427D19"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整体目标明确、有效（2.7[含]-3分）；</w:t>
            </w:r>
            <w:r>
              <w:rPr>
                <w:rFonts w:ascii="宋体" w:hAnsi="宋体" w:cs="宋体" w:hint="eastAsia"/>
                <w:color w:val="000000"/>
                <w:kern w:val="0"/>
                <w:sz w:val="20"/>
                <w:szCs w:val="20"/>
              </w:rPr>
              <w:br/>
              <w:t>整体目标比较明确、有效（2.25[含]-2.7分）；</w:t>
            </w:r>
            <w:r>
              <w:rPr>
                <w:rFonts w:ascii="宋体" w:hAnsi="宋体" w:cs="宋体" w:hint="eastAsia"/>
                <w:color w:val="000000"/>
                <w:kern w:val="0"/>
                <w:sz w:val="20"/>
                <w:szCs w:val="20"/>
              </w:rPr>
              <w:br/>
              <w:t>整体目标基本明确、有效（1.8[含]-2.25分）；</w:t>
            </w:r>
            <w:r>
              <w:rPr>
                <w:rFonts w:ascii="宋体" w:hAnsi="宋体" w:cs="宋体" w:hint="eastAsia"/>
                <w:color w:val="000000"/>
                <w:kern w:val="0"/>
                <w:sz w:val="20"/>
                <w:szCs w:val="20"/>
              </w:rPr>
              <w:br/>
              <w:t>整体目标不够明确、有效（0-1.8分）。</w:t>
            </w:r>
          </w:p>
        </w:tc>
        <w:tc>
          <w:tcPr>
            <w:tcW w:w="470" w:type="pct"/>
            <w:tcBorders>
              <w:top w:val="nil"/>
              <w:left w:val="nil"/>
              <w:bottom w:val="single" w:sz="4" w:space="0" w:color="auto"/>
              <w:right w:val="single" w:sz="4" w:space="0" w:color="auto"/>
            </w:tcBorders>
            <w:shd w:val="clear" w:color="auto" w:fill="auto"/>
            <w:vAlign w:val="center"/>
          </w:tcPr>
          <w:p w14:paraId="02C5DF75"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2.75</w:t>
            </w:r>
          </w:p>
        </w:tc>
        <w:tc>
          <w:tcPr>
            <w:tcW w:w="547" w:type="pct"/>
            <w:tcBorders>
              <w:top w:val="nil"/>
              <w:left w:val="nil"/>
              <w:bottom w:val="single" w:sz="4" w:space="0" w:color="auto"/>
              <w:right w:val="single" w:sz="4" w:space="0" w:color="auto"/>
            </w:tcBorders>
            <w:shd w:val="clear" w:color="auto" w:fill="auto"/>
            <w:vAlign w:val="center"/>
          </w:tcPr>
          <w:p w14:paraId="7C1A47E5"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目标比较明确，但需要进一步细化</w:t>
            </w:r>
          </w:p>
        </w:tc>
      </w:tr>
      <w:tr w:rsidR="00C11BFE" w14:paraId="37E95719" w14:textId="77777777" w:rsidTr="000F1325">
        <w:trPr>
          <w:trHeight w:val="1361"/>
        </w:trPr>
        <w:tc>
          <w:tcPr>
            <w:tcW w:w="391" w:type="pct"/>
            <w:vMerge/>
            <w:tcBorders>
              <w:top w:val="nil"/>
              <w:left w:val="single" w:sz="4" w:space="0" w:color="auto"/>
              <w:bottom w:val="single" w:sz="4" w:space="0" w:color="auto"/>
              <w:right w:val="single" w:sz="4" w:space="0" w:color="auto"/>
            </w:tcBorders>
            <w:vAlign w:val="center"/>
          </w:tcPr>
          <w:p w14:paraId="4DEF9EF0" w14:textId="77777777" w:rsidR="00C11BFE" w:rsidRDefault="00C11BFE" w:rsidP="00DD5A26">
            <w:pPr>
              <w:widowControl/>
              <w:jc w:val="left"/>
              <w:rPr>
                <w:rFonts w:ascii="宋体" w:hAnsi="宋体" w:cs="宋体"/>
                <w:color w:val="000000"/>
                <w:kern w:val="0"/>
                <w:sz w:val="20"/>
                <w:szCs w:val="20"/>
              </w:rPr>
            </w:pPr>
          </w:p>
        </w:tc>
        <w:tc>
          <w:tcPr>
            <w:tcW w:w="391" w:type="pct"/>
            <w:vMerge/>
            <w:tcBorders>
              <w:top w:val="nil"/>
              <w:left w:val="single" w:sz="4" w:space="0" w:color="auto"/>
              <w:bottom w:val="single" w:sz="4" w:space="0" w:color="auto"/>
              <w:right w:val="single" w:sz="4" w:space="0" w:color="auto"/>
            </w:tcBorders>
            <w:vAlign w:val="center"/>
          </w:tcPr>
          <w:p w14:paraId="7CB14EED" w14:textId="77777777" w:rsidR="00C11BFE" w:rsidRDefault="00C11BFE" w:rsidP="00DD5A26">
            <w:pPr>
              <w:widowControl/>
              <w:jc w:val="left"/>
              <w:rPr>
                <w:rFonts w:ascii="宋体" w:hAnsi="宋体" w:cs="宋体"/>
                <w:color w:val="000000"/>
                <w:kern w:val="0"/>
                <w:sz w:val="20"/>
                <w:szCs w:val="20"/>
              </w:rPr>
            </w:pPr>
          </w:p>
        </w:tc>
        <w:tc>
          <w:tcPr>
            <w:tcW w:w="390" w:type="pct"/>
            <w:tcBorders>
              <w:top w:val="nil"/>
              <w:left w:val="nil"/>
              <w:bottom w:val="single" w:sz="4" w:space="0" w:color="auto"/>
              <w:right w:val="single" w:sz="4" w:space="0" w:color="auto"/>
            </w:tcBorders>
            <w:shd w:val="clear" w:color="auto" w:fill="auto"/>
            <w:vAlign w:val="center"/>
          </w:tcPr>
          <w:p w14:paraId="392DCFF6"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绩效指标明确性                 （3分）</w:t>
            </w:r>
          </w:p>
        </w:tc>
        <w:tc>
          <w:tcPr>
            <w:tcW w:w="547" w:type="pct"/>
            <w:tcBorders>
              <w:top w:val="nil"/>
              <w:left w:val="nil"/>
              <w:bottom w:val="single" w:sz="4" w:space="0" w:color="auto"/>
              <w:right w:val="single" w:sz="4" w:space="0" w:color="auto"/>
            </w:tcBorders>
            <w:shd w:val="clear" w:color="auto" w:fill="auto"/>
            <w:vAlign w:val="center"/>
          </w:tcPr>
          <w:p w14:paraId="2D8FDF91"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绩效指标细化、量化</w:t>
            </w:r>
          </w:p>
        </w:tc>
        <w:tc>
          <w:tcPr>
            <w:tcW w:w="469" w:type="pct"/>
            <w:tcBorders>
              <w:top w:val="nil"/>
              <w:left w:val="nil"/>
              <w:bottom w:val="single" w:sz="4" w:space="0" w:color="auto"/>
              <w:right w:val="single" w:sz="4" w:space="0" w:color="auto"/>
            </w:tcBorders>
            <w:shd w:val="clear" w:color="auto" w:fill="auto"/>
            <w:vAlign w:val="center"/>
          </w:tcPr>
          <w:p w14:paraId="0380974B"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3.00</w:t>
            </w:r>
          </w:p>
        </w:tc>
        <w:tc>
          <w:tcPr>
            <w:tcW w:w="1796" w:type="pct"/>
            <w:tcBorders>
              <w:top w:val="nil"/>
              <w:left w:val="nil"/>
              <w:bottom w:val="single" w:sz="4" w:space="0" w:color="auto"/>
              <w:right w:val="single" w:sz="4" w:space="0" w:color="auto"/>
            </w:tcBorders>
            <w:shd w:val="clear" w:color="auto" w:fill="auto"/>
            <w:vAlign w:val="center"/>
          </w:tcPr>
          <w:p w14:paraId="7738D503"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绩效指标明确、全面（2.7[含]-3分）；</w:t>
            </w:r>
            <w:r>
              <w:rPr>
                <w:rFonts w:ascii="宋体" w:hAnsi="宋体" w:cs="宋体" w:hint="eastAsia"/>
                <w:color w:val="000000"/>
                <w:kern w:val="0"/>
                <w:sz w:val="20"/>
                <w:szCs w:val="20"/>
              </w:rPr>
              <w:br/>
              <w:t>绩效指标比较明确、全面（2.25[含]-2.7分）；</w:t>
            </w:r>
            <w:r>
              <w:rPr>
                <w:rFonts w:ascii="宋体" w:hAnsi="宋体" w:cs="宋体" w:hint="eastAsia"/>
                <w:color w:val="000000"/>
                <w:kern w:val="0"/>
                <w:sz w:val="20"/>
                <w:szCs w:val="20"/>
              </w:rPr>
              <w:br/>
              <w:t>绩效指标基本明确、全面（1.8[含]-2.25分）；</w:t>
            </w:r>
            <w:r>
              <w:rPr>
                <w:rFonts w:ascii="宋体" w:hAnsi="宋体" w:cs="宋体" w:hint="eastAsia"/>
                <w:color w:val="000000"/>
                <w:kern w:val="0"/>
                <w:sz w:val="20"/>
                <w:szCs w:val="20"/>
              </w:rPr>
              <w:br/>
              <w:t>绩效指标不够明确、全面（0-1.8分）。</w:t>
            </w:r>
          </w:p>
        </w:tc>
        <w:tc>
          <w:tcPr>
            <w:tcW w:w="470" w:type="pct"/>
            <w:tcBorders>
              <w:top w:val="nil"/>
              <w:left w:val="nil"/>
              <w:bottom w:val="single" w:sz="4" w:space="0" w:color="auto"/>
              <w:right w:val="single" w:sz="4" w:space="0" w:color="auto"/>
            </w:tcBorders>
            <w:shd w:val="clear" w:color="auto" w:fill="auto"/>
            <w:vAlign w:val="center"/>
          </w:tcPr>
          <w:p w14:paraId="5A50B9D7"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2.67</w:t>
            </w:r>
          </w:p>
        </w:tc>
        <w:tc>
          <w:tcPr>
            <w:tcW w:w="547" w:type="pct"/>
            <w:tcBorders>
              <w:top w:val="nil"/>
              <w:left w:val="nil"/>
              <w:bottom w:val="single" w:sz="4" w:space="0" w:color="auto"/>
              <w:right w:val="single" w:sz="4" w:space="0" w:color="auto"/>
            </w:tcBorders>
            <w:shd w:val="clear" w:color="auto" w:fill="auto"/>
            <w:vAlign w:val="center"/>
          </w:tcPr>
          <w:p w14:paraId="65F660B8"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C11BFE" w14:paraId="0713F71E" w14:textId="77777777" w:rsidTr="000F1325">
        <w:trPr>
          <w:trHeight w:val="1361"/>
        </w:trPr>
        <w:tc>
          <w:tcPr>
            <w:tcW w:w="391" w:type="pct"/>
            <w:vMerge/>
            <w:tcBorders>
              <w:top w:val="nil"/>
              <w:left w:val="single" w:sz="4" w:space="0" w:color="auto"/>
              <w:bottom w:val="single" w:sz="4" w:space="0" w:color="auto"/>
              <w:right w:val="single" w:sz="4" w:space="0" w:color="auto"/>
            </w:tcBorders>
            <w:vAlign w:val="center"/>
          </w:tcPr>
          <w:p w14:paraId="0DBF3546" w14:textId="77777777" w:rsidR="00C11BFE" w:rsidRDefault="00C11BFE" w:rsidP="00DD5A26">
            <w:pPr>
              <w:widowControl/>
              <w:jc w:val="left"/>
              <w:rPr>
                <w:rFonts w:ascii="宋体" w:hAnsi="宋体" w:cs="宋体"/>
                <w:color w:val="000000"/>
                <w:kern w:val="0"/>
                <w:sz w:val="20"/>
                <w:szCs w:val="20"/>
              </w:rPr>
            </w:pPr>
          </w:p>
        </w:tc>
        <w:tc>
          <w:tcPr>
            <w:tcW w:w="391" w:type="pct"/>
            <w:vMerge w:val="restart"/>
            <w:tcBorders>
              <w:top w:val="nil"/>
              <w:left w:val="single" w:sz="4" w:space="0" w:color="auto"/>
              <w:bottom w:val="single" w:sz="4" w:space="0" w:color="auto"/>
              <w:right w:val="single" w:sz="4" w:space="0" w:color="auto"/>
            </w:tcBorders>
            <w:shd w:val="clear" w:color="auto" w:fill="auto"/>
            <w:vAlign w:val="center"/>
          </w:tcPr>
          <w:p w14:paraId="7B6B7413"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资金投入（3分）</w:t>
            </w:r>
          </w:p>
        </w:tc>
        <w:tc>
          <w:tcPr>
            <w:tcW w:w="390" w:type="pct"/>
            <w:vMerge w:val="restart"/>
            <w:tcBorders>
              <w:top w:val="nil"/>
              <w:left w:val="single" w:sz="4" w:space="0" w:color="auto"/>
              <w:bottom w:val="single" w:sz="4" w:space="0" w:color="auto"/>
              <w:right w:val="single" w:sz="4" w:space="0" w:color="auto"/>
            </w:tcBorders>
            <w:shd w:val="clear" w:color="auto" w:fill="auto"/>
            <w:vAlign w:val="center"/>
          </w:tcPr>
          <w:p w14:paraId="6450FF33"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预算管理（3分）</w:t>
            </w:r>
          </w:p>
        </w:tc>
        <w:tc>
          <w:tcPr>
            <w:tcW w:w="547" w:type="pct"/>
            <w:tcBorders>
              <w:top w:val="nil"/>
              <w:left w:val="nil"/>
              <w:bottom w:val="single" w:sz="4" w:space="0" w:color="auto"/>
              <w:right w:val="single" w:sz="4" w:space="0" w:color="auto"/>
            </w:tcBorders>
            <w:shd w:val="clear" w:color="auto" w:fill="auto"/>
            <w:vAlign w:val="center"/>
          </w:tcPr>
          <w:p w14:paraId="125B42F0"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预算编制科学性</w:t>
            </w:r>
          </w:p>
        </w:tc>
        <w:tc>
          <w:tcPr>
            <w:tcW w:w="469" w:type="pct"/>
            <w:tcBorders>
              <w:top w:val="nil"/>
              <w:left w:val="nil"/>
              <w:bottom w:val="single" w:sz="4" w:space="0" w:color="auto"/>
              <w:right w:val="single" w:sz="4" w:space="0" w:color="auto"/>
            </w:tcBorders>
            <w:shd w:val="clear" w:color="auto" w:fill="auto"/>
            <w:vAlign w:val="center"/>
          </w:tcPr>
          <w:p w14:paraId="5223AAE2"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2.00</w:t>
            </w:r>
          </w:p>
        </w:tc>
        <w:tc>
          <w:tcPr>
            <w:tcW w:w="1796" w:type="pct"/>
            <w:tcBorders>
              <w:top w:val="nil"/>
              <w:left w:val="nil"/>
              <w:bottom w:val="single" w:sz="4" w:space="0" w:color="auto"/>
              <w:right w:val="single" w:sz="4" w:space="0" w:color="auto"/>
            </w:tcBorders>
            <w:shd w:val="clear" w:color="auto" w:fill="auto"/>
            <w:vAlign w:val="center"/>
          </w:tcPr>
          <w:p w14:paraId="3D5F74B2"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预算编制科学合理 （1.8[含]-2分)；</w:t>
            </w:r>
            <w:r>
              <w:rPr>
                <w:rFonts w:ascii="宋体" w:hAnsi="宋体" w:cs="宋体" w:hint="eastAsia"/>
                <w:color w:val="000000"/>
                <w:kern w:val="0"/>
                <w:sz w:val="20"/>
                <w:szCs w:val="20"/>
              </w:rPr>
              <w:br/>
              <w:t>预算编制比较科学合理（1.5[含]-1.8分）；</w:t>
            </w:r>
            <w:r>
              <w:rPr>
                <w:rFonts w:ascii="宋体" w:hAnsi="宋体" w:cs="宋体" w:hint="eastAsia"/>
                <w:color w:val="000000"/>
                <w:kern w:val="0"/>
                <w:sz w:val="20"/>
                <w:szCs w:val="20"/>
              </w:rPr>
              <w:br/>
              <w:t>预算编制基本科学合理（1.2[含]-1.5分）；</w:t>
            </w:r>
            <w:r>
              <w:rPr>
                <w:rFonts w:ascii="宋体" w:hAnsi="宋体" w:cs="宋体" w:hint="eastAsia"/>
                <w:color w:val="000000"/>
                <w:kern w:val="0"/>
                <w:sz w:val="20"/>
                <w:szCs w:val="20"/>
              </w:rPr>
              <w:br/>
              <w:t>预算编制不够科学合理（0-1.2分） 。</w:t>
            </w:r>
          </w:p>
        </w:tc>
        <w:tc>
          <w:tcPr>
            <w:tcW w:w="470" w:type="pct"/>
            <w:tcBorders>
              <w:top w:val="nil"/>
              <w:left w:val="nil"/>
              <w:bottom w:val="single" w:sz="4" w:space="0" w:color="auto"/>
              <w:right w:val="single" w:sz="4" w:space="0" w:color="auto"/>
            </w:tcBorders>
            <w:shd w:val="clear" w:color="auto" w:fill="auto"/>
            <w:vAlign w:val="center"/>
          </w:tcPr>
          <w:p w14:paraId="120CAD47"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1.77</w:t>
            </w:r>
          </w:p>
        </w:tc>
        <w:tc>
          <w:tcPr>
            <w:tcW w:w="547" w:type="pct"/>
            <w:tcBorders>
              <w:top w:val="nil"/>
              <w:left w:val="nil"/>
              <w:bottom w:val="single" w:sz="4" w:space="0" w:color="auto"/>
              <w:right w:val="single" w:sz="4" w:space="0" w:color="auto"/>
            </w:tcBorders>
            <w:shd w:val="clear" w:color="auto" w:fill="auto"/>
            <w:vAlign w:val="center"/>
          </w:tcPr>
          <w:p w14:paraId="0B6043C1"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预算编制基本合理，但后期有追加</w:t>
            </w:r>
          </w:p>
        </w:tc>
      </w:tr>
      <w:tr w:rsidR="00C11BFE" w14:paraId="307091A5" w14:textId="77777777" w:rsidTr="000F1325">
        <w:trPr>
          <w:trHeight w:val="1361"/>
        </w:trPr>
        <w:tc>
          <w:tcPr>
            <w:tcW w:w="391" w:type="pct"/>
            <w:vMerge/>
            <w:tcBorders>
              <w:top w:val="nil"/>
              <w:left w:val="single" w:sz="4" w:space="0" w:color="auto"/>
              <w:bottom w:val="single" w:sz="4" w:space="0" w:color="auto"/>
              <w:right w:val="single" w:sz="4" w:space="0" w:color="auto"/>
            </w:tcBorders>
            <w:vAlign w:val="center"/>
          </w:tcPr>
          <w:p w14:paraId="23FBEFA0" w14:textId="77777777" w:rsidR="00C11BFE" w:rsidRDefault="00C11BFE" w:rsidP="00DD5A26">
            <w:pPr>
              <w:widowControl/>
              <w:jc w:val="left"/>
              <w:rPr>
                <w:rFonts w:ascii="宋体" w:hAnsi="宋体" w:cs="宋体"/>
                <w:color w:val="000000"/>
                <w:kern w:val="0"/>
                <w:sz w:val="20"/>
                <w:szCs w:val="20"/>
              </w:rPr>
            </w:pPr>
          </w:p>
        </w:tc>
        <w:tc>
          <w:tcPr>
            <w:tcW w:w="391" w:type="pct"/>
            <w:vMerge/>
            <w:tcBorders>
              <w:top w:val="nil"/>
              <w:left w:val="single" w:sz="4" w:space="0" w:color="auto"/>
              <w:bottom w:val="single" w:sz="4" w:space="0" w:color="auto"/>
              <w:right w:val="single" w:sz="4" w:space="0" w:color="auto"/>
            </w:tcBorders>
            <w:vAlign w:val="center"/>
          </w:tcPr>
          <w:p w14:paraId="132489AC" w14:textId="77777777" w:rsidR="00C11BFE" w:rsidRDefault="00C11BFE" w:rsidP="00DD5A26">
            <w:pPr>
              <w:widowControl/>
              <w:jc w:val="left"/>
              <w:rPr>
                <w:rFonts w:ascii="宋体" w:hAnsi="宋体" w:cs="宋体"/>
                <w:color w:val="000000"/>
                <w:kern w:val="0"/>
                <w:sz w:val="20"/>
                <w:szCs w:val="20"/>
              </w:rPr>
            </w:pPr>
          </w:p>
        </w:tc>
        <w:tc>
          <w:tcPr>
            <w:tcW w:w="390" w:type="pct"/>
            <w:vMerge/>
            <w:tcBorders>
              <w:top w:val="nil"/>
              <w:left w:val="single" w:sz="4" w:space="0" w:color="auto"/>
              <w:bottom w:val="single" w:sz="4" w:space="0" w:color="auto"/>
              <w:right w:val="single" w:sz="4" w:space="0" w:color="auto"/>
            </w:tcBorders>
            <w:vAlign w:val="center"/>
          </w:tcPr>
          <w:p w14:paraId="7BC235F7" w14:textId="77777777" w:rsidR="00C11BFE" w:rsidRDefault="00C11BFE" w:rsidP="00DD5A26">
            <w:pPr>
              <w:widowControl/>
              <w:jc w:val="left"/>
              <w:rPr>
                <w:rFonts w:ascii="宋体" w:hAnsi="宋体" w:cs="宋体"/>
                <w:color w:val="000000"/>
                <w:kern w:val="0"/>
                <w:sz w:val="20"/>
                <w:szCs w:val="20"/>
              </w:rPr>
            </w:pPr>
          </w:p>
        </w:tc>
        <w:tc>
          <w:tcPr>
            <w:tcW w:w="547" w:type="pct"/>
            <w:tcBorders>
              <w:top w:val="nil"/>
              <w:left w:val="nil"/>
              <w:bottom w:val="single" w:sz="4" w:space="0" w:color="auto"/>
              <w:right w:val="single" w:sz="4" w:space="0" w:color="auto"/>
            </w:tcBorders>
            <w:shd w:val="clear" w:color="auto" w:fill="auto"/>
            <w:vAlign w:val="center"/>
          </w:tcPr>
          <w:p w14:paraId="649D448E"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预算编制的准确、细化</w:t>
            </w:r>
          </w:p>
        </w:tc>
        <w:tc>
          <w:tcPr>
            <w:tcW w:w="469" w:type="pct"/>
            <w:tcBorders>
              <w:top w:val="nil"/>
              <w:left w:val="nil"/>
              <w:bottom w:val="single" w:sz="4" w:space="0" w:color="auto"/>
              <w:right w:val="single" w:sz="4" w:space="0" w:color="auto"/>
            </w:tcBorders>
            <w:shd w:val="clear" w:color="auto" w:fill="auto"/>
            <w:vAlign w:val="center"/>
          </w:tcPr>
          <w:p w14:paraId="005BF74C"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1796" w:type="pct"/>
            <w:tcBorders>
              <w:top w:val="nil"/>
              <w:left w:val="nil"/>
              <w:bottom w:val="single" w:sz="4" w:space="0" w:color="auto"/>
              <w:right w:val="single" w:sz="4" w:space="0" w:color="auto"/>
            </w:tcBorders>
            <w:shd w:val="clear" w:color="auto" w:fill="auto"/>
            <w:vAlign w:val="center"/>
          </w:tcPr>
          <w:p w14:paraId="632ACDD0"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预算编制准确、细化 （0.9[含]-1分)；</w:t>
            </w:r>
            <w:r>
              <w:rPr>
                <w:rFonts w:ascii="宋体" w:hAnsi="宋体" w:cs="宋体" w:hint="eastAsia"/>
                <w:color w:val="000000"/>
                <w:kern w:val="0"/>
                <w:sz w:val="20"/>
                <w:szCs w:val="20"/>
              </w:rPr>
              <w:br/>
              <w:t>预算编制比较准确、细化（0.75[含]-0.9分）；</w:t>
            </w:r>
            <w:r>
              <w:rPr>
                <w:rFonts w:ascii="宋体" w:hAnsi="宋体" w:cs="宋体" w:hint="eastAsia"/>
                <w:color w:val="000000"/>
                <w:kern w:val="0"/>
                <w:sz w:val="20"/>
                <w:szCs w:val="20"/>
              </w:rPr>
              <w:br/>
              <w:t>预算编制基本准确、细化（0.6[含]-0.75分）；</w:t>
            </w:r>
            <w:r>
              <w:rPr>
                <w:rFonts w:ascii="宋体" w:hAnsi="宋体" w:cs="宋体" w:hint="eastAsia"/>
                <w:color w:val="000000"/>
                <w:kern w:val="0"/>
                <w:sz w:val="20"/>
                <w:szCs w:val="20"/>
              </w:rPr>
              <w:br/>
            </w:r>
            <w:r>
              <w:rPr>
                <w:rFonts w:ascii="宋体" w:hAnsi="宋体" w:cs="宋体" w:hint="eastAsia"/>
                <w:color w:val="000000"/>
                <w:kern w:val="0"/>
                <w:sz w:val="20"/>
                <w:szCs w:val="20"/>
              </w:rPr>
              <w:lastRenderedPageBreak/>
              <w:t>预算编制不够准确、细化（0-0.6分）。</w:t>
            </w:r>
          </w:p>
        </w:tc>
        <w:tc>
          <w:tcPr>
            <w:tcW w:w="470" w:type="pct"/>
            <w:tcBorders>
              <w:top w:val="nil"/>
              <w:left w:val="nil"/>
              <w:bottom w:val="single" w:sz="4" w:space="0" w:color="auto"/>
              <w:right w:val="single" w:sz="4" w:space="0" w:color="auto"/>
            </w:tcBorders>
            <w:shd w:val="clear" w:color="auto" w:fill="auto"/>
            <w:vAlign w:val="center"/>
          </w:tcPr>
          <w:p w14:paraId="7C268F09"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lastRenderedPageBreak/>
              <w:t>0.90</w:t>
            </w:r>
          </w:p>
        </w:tc>
        <w:tc>
          <w:tcPr>
            <w:tcW w:w="547" w:type="pct"/>
            <w:tcBorders>
              <w:top w:val="nil"/>
              <w:left w:val="nil"/>
              <w:bottom w:val="single" w:sz="4" w:space="0" w:color="auto"/>
              <w:right w:val="single" w:sz="4" w:space="0" w:color="auto"/>
            </w:tcBorders>
            <w:shd w:val="clear" w:color="auto" w:fill="auto"/>
            <w:vAlign w:val="center"/>
          </w:tcPr>
          <w:p w14:paraId="6E4A38C3"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有少许结余</w:t>
            </w:r>
          </w:p>
        </w:tc>
      </w:tr>
      <w:tr w:rsidR="00C11BFE" w14:paraId="5927F8A6" w14:textId="77777777" w:rsidTr="000F1325">
        <w:trPr>
          <w:trHeight w:val="1361"/>
        </w:trPr>
        <w:tc>
          <w:tcPr>
            <w:tcW w:w="391" w:type="pct"/>
            <w:vMerge w:val="restart"/>
            <w:tcBorders>
              <w:top w:val="nil"/>
              <w:left w:val="single" w:sz="4" w:space="0" w:color="auto"/>
              <w:bottom w:val="single" w:sz="4" w:space="0" w:color="auto"/>
              <w:right w:val="single" w:sz="4" w:space="0" w:color="auto"/>
            </w:tcBorders>
            <w:shd w:val="clear" w:color="auto" w:fill="auto"/>
            <w:vAlign w:val="center"/>
          </w:tcPr>
          <w:p w14:paraId="699023B5"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项目管理（25分）</w:t>
            </w:r>
          </w:p>
        </w:tc>
        <w:tc>
          <w:tcPr>
            <w:tcW w:w="391" w:type="pct"/>
            <w:vMerge w:val="restart"/>
            <w:tcBorders>
              <w:top w:val="nil"/>
              <w:left w:val="single" w:sz="4" w:space="0" w:color="auto"/>
              <w:bottom w:val="single" w:sz="4" w:space="0" w:color="auto"/>
              <w:right w:val="single" w:sz="4" w:space="0" w:color="auto"/>
            </w:tcBorders>
            <w:shd w:val="clear" w:color="auto" w:fill="auto"/>
            <w:vAlign w:val="center"/>
          </w:tcPr>
          <w:p w14:paraId="59B6BC81"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资金管理（6分）</w:t>
            </w:r>
          </w:p>
        </w:tc>
        <w:tc>
          <w:tcPr>
            <w:tcW w:w="390" w:type="pct"/>
            <w:tcBorders>
              <w:top w:val="nil"/>
              <w:left w:val="nil"/>
              <w:bottom w:val="single" w:sz="4" w:space="0" w:color="auto"/>
              <w:right w:val="single" w:sz="4" w:space="0" w:color="auto"/>
            </w:tcBorders>
            <w:shd w:val="clear" w:color="auto" w:fill="auto"/>
            <w:vAlign w:val="center"/>
          </w:tcPr>
          <w:p w14:paraId="526A9454"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资金到位（2分）</w:t>
            </w:r>
          </w:p>
        </w:tc>
        <w:tc>
          <w:tcPr>
            <w:tcW w:w="547" w:type="pct"/>
            <w:tcBorders>
              <w:top w:val="nil"/>
              <w:left w:val="nil"/>
              <w:bottom w:val="single" w:sz="4" w:space="0" w:color="auto"/>
              <w:right w:val="single" w:sz="4" w:space="0" w:color="auto"/>
            </w:tcBorders>
            <w:shd w:val="clear" w:color="auto" w:fill="auto"/>
            <w:vAlign w:val="center"/>
          </w:tcPr>
          <w:p w14:paraId="5DC930D5"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资金到位率</w:t>
            </w:r>
          </w:p>
        </w:tc>
        <w:tc>
          <w:tcPr>
            <w:tcW w:w="469" w:type="pct"/>
            <w:tcBorders>
              <w:top w:val="nil"/>
              <w:left w:val="nil"/>
              <w:bottom w:val="single" w:sz="4" w:space="0" w:color="auto"/>
              <w:right w:val="single" w:sz="4" w:space="0" w:color="auto"/>
            </w:tcBorders>
            <w:shd w:val="clear" w:color="auto" w:fill="auto"/>
            <w:vAlign w:val="center"/>
          </w:tcPr>
          <w:p w14:paraId="0A633ED0"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2.00</w:t>
            </w:r>
          </w:p>
        </w:tc>
        <w:tc>
          <w:tcPr>
            <w:tcW w:w="1796" w:type="pct"/>
            <w:tcBorders>
              <w:top w:val="nil"/>
              <w:left w:val="nil"/>
              <w:bottom w:val="single" w:sz="4" w:space="0" w:color="auto"/>
              <w:right w:val="single" w:sz="4" w:space="0" w:color="auto"/>
            </w:tcBorders>
            <w:shd w:val="clear" w:color="auto" w:fill="auto"/>
            <w:vAlign w:val="center"/>
          </w:tcPr>
          <w:p w14:paraId="1C6D6677"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资金到位率90%[含]以上（1.8[含]-2分）；</w:t>
            </w:r>
            <w:r>
              <w:rPr>
                <w:rFonts w:ascii="宋体" w:hAnsi="宋体" w:cs="宋体" w:hint="eastAsia"/>
                <w:color w:val="000000"/>
                <w:kern w:val="0"/>
                <w:sz w:val="20"/>
                <w:szCs w:val="20"/>
              </w:rPr>
              <w:br/>
              <w:t>资金到位率75%[含]以上（1.5[含]-1.8分）；</w:t>
            </w:r>
            <w:r>
              <w:rPr>
                <w:rFonts w:ascii="宋体" w:hAnsi="宋体" w:cs="宋体" w:hint="eastAsia"/>
                <w:color w:val="000000"/>
                <w:kern w:val="0"/>
                <w:sz w:val="20"/>
                <w:szCs w:val="20"/>
              </w:rPr>
              <w:br/>
              <w:t>资金到位率60%[含]以上（1.2[含]-1.5分）；</w:t>
            </w:r>
            <w:r>
              <w:rPr>
                <w:rFonts w:ascii="宋体" w:hAnsi="宋体" w:cs="宋体" w:hint="eastAsia"/>
                <w:color w:val="000000"/>
                <w:kern w:val="0"/>
                <w:sz w:val="20"/>
                <w:szCs w:val="20"/>
              </w:rPr>
              <w:br/>
              <w:t>资金到位率60%以下（0-1.2分）。</w:t>
            </w:r>
          </w:p>
        </w:tc>
        <w:tc>
          <w:tcPr>
            <w:tcW w:w="470" w:type="pct"/>
            <w:tcBorders>
              <w:top w:val="nil"/>
              <w:left w:val="nil"/>
              <w:bottom w:val="single" w:sz="4" w:space="0" w:color="auto"/>
              <w:right w:val="single" w:sz="4" w:space="0" w:color="auto"/>
            </w:tcBorders>
            <w:shd w:val="clear" w:color="auto" w:fill="auto"/>
            <w:vAlign w:val="center"/>
          </w:tcPr>
          <w:p w14:paraId="2C009FD9"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1.98</w:t>
            </w:r>
          </w:p>
        </w:tc>
        <w:tc>
          <w:tcPr>
            <w:tcW w:w="547" w:type="pct"/>
            <w:tcBorders>
              <w:top w:val="nil"/>
              <w:left w:val="nil"/>
              <w:bottom w:val="single" w:sz="4" w:space="0" w:color="auto"/>
              <w:right w:val="single" w:sz="4" w:space="0" w:color="auto"/>
            </w:tcBorders>
            <w:shd w:val="clear" w:color="auto" w:fill="auto"/>
            <w:vAlign w:val="center"/>
          </w:tcPr>
          <w:p w14:paraId="2F011FA6"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C11BFE" w14:paraId="01DABB60" w14:textId="77777777" w:rsidTr="000F1325">
        <w:trPr>
          <w:trHeight w:val="1361"/>
        </w:trPr>
        <w:tc>
          <w:tcPr>
            <w:tcW w:w="391" w:type="pct"/>
            <w:vMerge/>
            <w:tcBorders>
              <w:top w:val="nil"/>
              <w:left w:val="single" w:sz="4" w:space="0" w:color="auto"/>
              <w:bottom w:val="single" w:sz="4" w:space="0" w:color="auto"/>
              <w:right w:val="single" w:sz="4" w:space="0" w:color="auto"/>
            </w:tcBorders>
            <w:vAlign w:val="center"/>
          </w:tcPr>
          <w:p w14:paraId="6D7ACDDF" w14:textId="77777777" w:rsidR="00C11BFE" w:rsidRDefault="00C11BFE" w:rsidP="00DD5A26">
            <w:pPr>
              <w:widowControl/>
              <w:jc w:val="left"/>
              <w:rPr>
                <w:rFonts w:ascii="宋体" w:hAnsi="宋体" w:cs="宋体"/>
                <w:color w:val="000000"/>
                <w:kern w:val="0"/>
                <w:sz w:val="20"/>
                <w:szCs w:val="20"/>
              </w:rPr>
            </w:pPr>
          </w:p>
        </w:tc>
        <w:tc>
          <w:tcPr>
            <w:tcW w:w="391" w:type="pct"/>
            <w:vMerge/>
            <w:tcBorders>
              <w:top w:val="nil"/>
              <w:left w:val="single" w:sz="4" w:space="0" w:color="auto"/>
              <w:bottom w:val="single" w:sz="4" w:space="0" w:color="auto"/>
              <w:right w:val="single" w:sz="4" w:space="0" w:color="auto"/>
            </w:tcBorders>
            <w:vAlign w:val="center"/>
          </w:tcPr>
          <w:p w14:paraId="1B38CE7D" w14:textId="77777777" w:rsidR="00C11BFE" w:rsidRDefault="00C11BFE" w:rsidP="00DD5A26">
            <w:pPr>
              <w:widowControl/>
              <w:jc w:val="left"/>
              <w:rPr>
                <w:rFonts w:ascii="宋体" w:hAnsi="宋体" w:cs="宋体"/>
                <w:color w:val="000000"/>
                <w:kern w:val="0"/>
                <w:sz w:val="20"/>
                <w:szCs w:val="20"/>
              </w:rPr>
            </w:pPr>
          </w:p>
        </w:tc>
        <w:tc>
          <w:tcPr>
            <w:tcW w:w="390" w:type="pct"/>
            <w:tcBorders>
              <w:top w:val="nil"/>
              <w:left w:val="nil"/>
              <w:bottom w:val="single" w:sz="4" w:space="0" w:color="auto"/>
              <w:right w:val="single" w:sz="4" w:space="0" w:color="auto"/>
            </w:tcBorders>
            <w:shd w:val="clear" w:color="auto" w:fill="auto"/>
            <w:vAlign w:val="center"/>
          </w:tcPr>
          <w:p w14:paraId="6D56493B"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预算执行（2分）</w:t>
            </w:r>
          </w:p>
        </w:tc>
        <w:tc>
          <w:tcPr>
            <w:tcW w:w="547" w:type="pct"/>
            <w:tcBorders>
              <w:top w:val="nil"/>
              <w:left w:val="nil"/>
              <w:bottom w:val="single" w:sz="4" w:space="0" w:color="auto"/>
              <w:right w:val="single" w:sz="4" w:space="0" w:color="auto"/>
            </w:tcBorders>
            <w:shd w:val="clear" w:color="auto" w:fill="auto"/>
            <w:vAlign w:val="center"/>
          </w:tcPr>
          <w:p w14:paraId="224442A3"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预算执行率</w:t>
            </w:r>
          </w:p>
        </w:tc>
        <w:tc>
          <w:tcPr>
            <w:tcW w:w="469" w:type="pct"/>
            <w:tcBorders>
              <w:top w:val="nil"/>
              <w:left w:val="nil"/>
              <w:bottom w:val="single" w:sz="4" w:space="0" w:color="auto"/>
              <w:right w:val="single" w:sz="4" w:space="0" w:color="auto"/>
            </w:tcBorders>
            <w:shd w:val="clear" w:color="auto" w:fill="auto"/>
            <w:vAlign w:val="center"/>
          </w:tcPr>
          <w:p w14:paraId="2FBD37C4"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2.00</w:t>
            </w:r>
          </w:p>
        </w:tc>
        <w:tc>
          <w:tcPr>
            <w:tcW w:w="1796" w:type="pct"/>
            <w:tcBorders>
              <w:top w:val="nil"/>
              <w:left w:val="nil"/>
              <w:bottom w:val="single" w:sz="4" w:space="0" w:color="auto"/>
              <w:right w:val="single" w:sz="4" w:space="0" w:color="auto"/>
            </w:tcBorders>
            <w:shd w:val="clear" w:color="auto" w:fill="auto"/>
            <w:vAlign w:val="center"/>
          </w:tcPr>
          <w:p w14:paraId="091117CC"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预算执行与批复一致（1.8[含]-2分）；</w:t>
            </w:r>
            <w:r>
              <w:rPr>
                <w:rFonts w:ascii="宋体" w:hAnsi="宋体" w:cs="宋体" w:hint="eastAsia"/>
                <w:color w:val="000000"/>
                <w:kern w:val="0"/>
                <w:sz w:val="20"/>
                <w:szCs w:val="20"/>
              </w:rPr>
              <w:br/>
              <w:t>预算执行与批复比较一致（1.5[含]-1.8分）；</w:t>
            </w:r>
            <w:r>
              <w:rPr>
                <w:rFonts w:ascii="宋体" w:hAnsi="宋体" w:cs="宋体" w:hint="eastAsia"/>
                <w:color w:val="000000"/>
                <w:kern w:val="0"/>
                <w:sz w:val="20"/>
                <w:szCs w:val="20"/>
              </w:rPr>
              <w:br/>
              <w:t>预算执行与批复基本一致（1.2[含]-1.5分）；</w:t>
            </w:r>
            <w:r>
              <w:rPr>
                <w:rFonts w:ascii="宋体" w:hAnsi="宋体" w:cs="宋体" w:hint="eastAsia"/>
                <w:color w:val="000000"/>
                <w:kern w:val="0"/>
                <w:sz w:val="20"/>
                <w:szCs w:val="20"/>
              </w:rPr>
              <w:br/>
              <w:t>预算执行与批复不一致（0-1.2分）。</w:t>
            </w:r>
          </w:p>
        </w:tc>
        <w:tc>
          <w:tcPr>
            <w:tcW w:w="470" w:type="pct"/>
            <w:tcBorders>
              <w:top w:val="nil"/>
              <w:left w:val="nil"/>
              <w:bottom w:val="single" w:sz="4" w:space="0" w:color="auto"/>
              <w:right w:val="single" w:sz="4" w:space="0" w:color="auto"/>
            </w:tcBorders>
            <w:shd w:val="clear" w:color="auto" w:fill="auto"/>
            <w:vAlign w:val="center"/>
          </w:tcPr>
          <w:p w14:paraId="6FCAAC6C"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2.00</w:t>
            </w:r>
          </w:p>
        </w:tc>
        <w:tc>
          <w:tcPr>
            <w:tcW w:w="547" w:type="pct"/>
            <w:tcBorders>
              <w:top w:val="nil"/>
              <w:left w:val="nil"/>
              <w:bottom w:val="single" w:sz="4" w:space="0" w:color="auto"/>
              <w:right w:val="single" w:sz="4" w:space="0" w:color="auto"/>
            </w:tcBorders>
            <w:shd w:val="clear" w:color="auto" w:fill="auto"/>
            <w:vAlign w:val="center"/>
          </w:tcPr>
          <w:p w14:paraId="4D4597BB"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C11BFE" w14:paraId="15409761" w14:textId="77777777" w:rsidTr="000F1325">
        <w:trPr>
          <w:trHeight w:val="1638"/>
        </w:trPr>
        <w:tc>
          <w:tcPr>
            <w:tcW w:w="391" w:type="pct"/>
            <w:vMerge/>
            <w:tcBorders>
              <w:top w:val="nil"/>
              <w:left w:val="single" w:sz="4" w:space="0" w:color="auto"/>
              <w:bottom w:val="single" w:sz="4" w:space="0" w:color="auto"/>
              <w:right w:val="single" w:sz="4" w:space="0" w:color="auto"/>
            </w:tcBorders>
            <w:vAlign w:val="center"/>
          </w:tcPr>
          <w:p w14:paraId="3F530E91" w14:textId="77777777" w:rsidR="00C11BFE" w:rsidRDefault="00C11BFE" w:rsidP="00DD5A26">
            <w:pPr>
              <w:widowControl/>
              <w:jc w:val="left"/>
              <w:rPr>
                <w:rFonts w:ascii="宋体" w:hAnsi="宋体" w:cs="宋体"/>
                <w:color w:val="000000"/>
                <w:kern w:val="0"/>
                <w:sz w:val="20"/>
                <w:szCs w:val="20"/>
              </w:rPr>
            </w:pPr>
          </w:p>
        </w:tc>
        <w:tc>
          <w:tcPr>
            <w:tcW w:w="391" w:type="pct"/>
            <w:vMerge/>
            <w:tcBorders>
              <w:top w:val="nil"/>
              <w:left w:val="single" w:sz="4" w:space="0" w:color="auto"/>
              <w:bottom w:val="single" w:sz="4" w:space="0" w:color="auto"/>
              <w:right w:val="single" w:sz="4" w:space="0" w:color="auto"/>
            </w:tcBorders>
            <w:vAlign w:val="center"/>
          </w:tcPr>
          <w:p w14:paraId="7062AF76" w14:textId="77777777" w:rsidR="00C11BFE" w:rsidRDefault="00C11BFE" w:rsidP="00DD5A26">
            <w:pPr>
              <w:widowControl/>
              <w:jc w:val="left"/>
              <w:rPr>
                <w:rFonts w:ascii="宋体" w:hAnsi="宋体" w:cs="宋体"/>
                <w:color w:val="000000"/>
                <w:kern w:val="0"/>
                <w:sz w:val="20"/>
                <w:szCs w:val="20"/>
              </w:rPr>
            </w:pPr>
          </w:p>
        </w:tc>
        <w:tc>
          <w:tcPr>
            <w:tcW w:w="390" w:type="pct"/>
            <w:tcBorders>
              <w:top w:val="nil"/>
              <w:left w:val="nil"/>
              <w:bottom w:val="single" w:sz="4" w:space="0" w:color="auto"/>
              <w:right w:val="single" w:sz="4" w:space="0" w:color="auto"/>
            </w:tcBorders>
            <w:shd w:val="clear" w:color="auto" w:fill="auto"/>
            <w:vAlign w:val="center"/>
          </w:tcPr>
          <w:p w14:paraId="14F22A18"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资金使用（2分）</w:t>
            </w:r>
          </w:p>
        </w:tc>
        <w:tc>
          <w:tcPr>
            <w:tcW w:w="547" w:type="pct"/>
            <w:tcBorders>
              <w:top w:val="nil"/>
              <w:left w:val="nil"/>
              <w:bottom w:val="single" w:sz="4" w:space="0" w:color="auto"/>
              <w:right w:val="single" w:sz="4" w:space="0" w:color="auto"/>
            </w:tcBorders>
            <w:shd w:val="clear" w:color="auto" w:fill="auto"/>
            <w:vAlign w:val="center"/>
          </w:tcPr>
          <w:p w14:paraId="2945A7AC"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性</w:t>
            </w:r>
          </w:p>
        </w:tc>
        <w:tc>
          <w:tcPr>
            <w:tcW w:w="469" w:type="pct"/>
            <w:tcBorders>
              <w:top w:val="nil"/>
              <w:left w:val="nil"/>
              <w:bottom w:val="single" w:sz="4" w:space="0" w:color="auto"/>
              <w:right w:val="single" w:sz="4" w:space="0" w:color="auto"/>
            </w:tcBorders>
            <w:shd w:val="clear" w:color="auto" w:fill="auto"/>
            <w:vAlign w:val="center"/>
          </w:tcPr>
          <w:p w14:paraId="703E39DD"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2.00</w:t>
            </w:r>
          </w:p>
        </w:tc>
        <w:tc>
          <w:tcPr>
            <w:tcW w:w="1796" w:type="pct"/>
            <w:tcBorders>
              <w:top w:val="nil"/>
              <w:left w:val="nil"/>
              <w:bottom w:val="single" w:sz="4" w:space="0" w:color="auto"/>
              <w:right w:val="single" w:sz="4" w:space="0" w:color="auto"/>
            </w:tcBorders>
            <w:shd w:val="clear" w:color="auto" w:fill="auto"/>
            <w:vAlign w:val="center"/>
          </w:tcPr>
          <w:p w14:paraId="1E3EBEF6"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严格执行财务制度，会计核算规范（1.8[含]-2分）；</w:t>
            </w:r>
            <w:r>
              <w:rPr>
                <w:rFonts w:ascii="宋体" w:hAnsi="宋体" w:cs="宋体" w:hint="eastAsia"/>
                <w:color w:val="000000"/>
                <w:kern w:val="0"/>
                <w:sz w:val="20"/>
                <w:szCs w:val="20"/>
              </w:rPr>
              <w:br/>
              <w:t>执行财务制度，会计核算比较规范（1.5[含]-1.8分）；</w:t>
            </w:r>
            <w:r>
              <w:rPr>
                <w:rFonts w:ascii="宋体" w:hAnsi="宋体" w:cs="宋体" w:hint="eastAsia"/>
                <w:color w:val="000000"/>
                <w:kern w:val="0"/>
                <w:sz w:val="20"/>
                <w:szCs w:val="20"/>
              </w:rPr>
              <w:br/>
              <w:t>能够执行财务制度，会计核算基本规范（1.2[含]-1.5分）；</w:t>
            </w:r>
            <w:r>
              <w:rPr>
                <w:rFonts w:ascii="宋体" w:hAnsi="宋体" w:cs="宋体" w:hint="eastAsia"/>
                <w:color w:val="000000"/>
                <w:kern w:val="0"/>
                <w:sz w:val="20"/>
                <w:szCs w:val="20"/>
              </w:rPr>
              <w:br/>
              <w:t>不执行财务制度，会计核算不规范（0-1.2分）。</w:t>
            </w:r>
          </w:p>
        </w:tc>
        <w:tc>
          <w:tcPr>
            <w:tcW w:w="470" w:type="pct"/>
            <w:tcBorders>
              <w:top w:val="nil"/>
              <w:left w:val="nil"/>
              <w:bottom w:val="single" w:sz="4" w:space="0" w:color="auto"/>
              <w:right w:val="single" w:sz="4" w:space="0" w:color="auto"/>
            </w:tcBorders>
            <w:shd w:val="clear" w:color="auto" w:fill="auto"/>
            <w:vAlign w:val="center"/>
          </w:tcPr>
          <w:p w14:paraId="68309797"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1.69</w:t>
            </w:r>
          </w:p>
        </w:tc>
        <w:tc>
          <w:tcPr>
            <w:tcW w:w="547" w:type="pct"/>
            <w:tcBorders>
              <w:top w:val="nil"/>
              <w:left w:val="nil"/>
              <w:bottom w:val="single" w:sz="4" w:space="0" w:color="auto"/>
              <w:right w:val="single" w:sz="4" w:space="0" w:color="auto"/>
            </w:tcBorders>
            <w:shd w:val="clear" w:color="auto" w:fill="auto"/>
            <w:vAlign w:val="center"/>
          </w:tcPr>
          <w:p w14:paraId="2B346CD9"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C11BFE" w14:paraId="331CE13E" w14:textId="77777777" w:rsidTr="000F1325">
        <w:trPr>
          <w:trHeight w:val="1415"/>
        </w:trPr>
        <w:tc>
          <w:tcPr>
            <w:tcW w:w="391" w:type="pct"/>
            <w:vMerge/>
            <w:tcBorders>
              <w:top w:val="nil"/>
              <w:left w:val="single" w:sz="4" w:space="0" w:color="auto"/>
              <w:bottom w:val="single" w:sz="4" w:space="0" w:color="auto"/>
              <w:right w:val="single" w:sz="4" w:space="0" w:color="auto"/>
            </w:tcBorders>
            <w:vAlign w:val="center"/>
          </w:tcPr>
          <w:p w14:paraId="69FC0FD8" w14:textId="77777777" w:rsidR="00C11BFE" w:rsidRDefault="00C11BFE" w:rsidP="00DD5A26">
            <w:pPr>
              <w:widowControl/>
              <w:jc w:val="left"/>
              <w:rPr>
                <w:rFonts w:ascii="宋体" w:hAnsi="宋体" w:cs="宋体"/>
                <w:color w:val="000000"/>
                <w:kern w:val="0"/>
                <w:sz w:val="20"/>
                <w:szCs w:val="20"/>
              </w:rPr>
            </w:pPr>
          </w:p>
        </w:tc>
        <w:tc>
          <w:tcPr>
            <w:tcW w:w="391" w:type="pct"/>
            <w:vMerge w:val="restart"/>
            <w:tcBorders>
              <w:top w:val="nil"/>
              <w:left w:val="single" w:sz="4" w:space="0" w:color="auto"/>
              <w:bottom w:val="single" w:sz="4" w:space="0" w:color="auto"/>
              <w:right w:val="single" w:sz="4" w:space="0" w:color="auto"/>
            </w:tcBorders>
            <w:shd w:val="clear" w:color="auto" w:fill="auto"/>
            <w:vAlign w:val="center"/>
          </w:tcPr>
          <w:p w14:paraId="05F8C6BC"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组织实施（19分）</w:t>
            </w:r>
          </w:p>
        </w:tc>
        <w:tc>
          <w:tcPr>
            <w:tcW w:w="390" w:type="pct"/>
            <w:vMerge w:val="restart"/>
            <w:tcBorders>
              <w:top w:val="nil"/>
              <w:left w:val="single" w:sz="4" w:space="0" w:color="auto"/>
              <w:bottom w:val="single" w:sz="4" w:space="0" w:color="auto"/>
              <w:right w:val="single" w:sz="4" w:space="0" w:color="auto"/>
            </w:tcBorders>
            <w:shd w:val="clear" w:color="auto" w:fill="auto"/>
            <w:vAlign w:val="center"/>
          </w:tcPr>
          <w:p w14:paraId="33ECD80A"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组织机构（5分）</w:t>
            </w:r>
          </w:p>
        </w:tc>
        <w:tc>
          <w:tcPr>
            <w:tcW w:w="547" w:type="pct"/>
            <w:tcBorders>
              <w:top w:val="nil"/>
              <w:left w:val="nil"/>
              <w:bottom w:val="single" w:sz="4" w:space="0" w:color="auto"/>
              <w:right w:val="single" w:sz="4" w:space="0" w:color="auto"/>
            </w:tcBorders>
            <w:shd w:val="clear" w:color="auto" w:fill="auto"/>
            <w:vAlign w:val="center"/>
          </w:tcPr>
          <w:p w14:paraId="2028C4E3"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组织建设</w:t>
            </w:r>
          </w:p>
        </w:tc>
        <w:tc>
          <w:tcPr>
            <w:tcW w:w="469" w:type="pct"/>
            <w:tcBorders>
              <w:top w:val="nil"/>
              <w:left w:val="nil"/>
              <w:bottom w:val="single" w:sz="4" w:space="0" w:color="auto"/>
              <w:right w:val="single" w:sz="4" w:space="0" w:color="auto"/>
            </w:tcBorders>
            <w:shd w:val="clear" w:color="auto" w:fill="auto"/>
            <w:vAlign w:val="center"/>
          </w:tcPr>
          <w:p w14:paraId="5715F65B"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3.00</w:t>
            </w:r>
          </w:p>
        </w:tc>
        <w:tc>
          <w:tcPr>
            <w:tcW w:w="1796" w:type="pct"/>
            <w:tcBorders>
              <w:top w:val="nil"/>
              <w:left w:val="nil"/>
              <w:bottom w:val="single" w:sz="4" w:space="0" w:color="auto"/>
              <w:right w:val="single" w:sz="4" w:space="0" w:color="auto"/>
            </w:tcBorders>
            <w:shd w:val="clear" w:color="auto" w:fill="auto"/>
            <w:vAlign w:val="center"/>
          </w:tcPr>
          <w:p w14:paraId="0098DC40"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组织管理机构健全，责任明确（2.7[含]-3分）；</w:t>
            </w:r>
            <w:r>
              <w:rPr>
                <w:rFonts w:ascii="宋体" w:hAnsi="宋体" w:cs="宋体" w:hint="eastAsia"/>
                <w:color w:val="000000"/>
                <w:kern w:val="0"/>
                <w:sz w:val="20"/>
                <w:szCs w:val="20"/>
              </w:rPr>
              <w:br/>
              <w:t>组织管理机构比较健全，责任比较明确（2.25[含]-2.7分）；</w:t>
            </w:r>
            <w:r>
              <w:rPr>
                <w:rFonts w:ascii="宋体" w:hAnsi="宋体" w:cs="宋体" w:hint="eastAsia"/>
                <w:color w:val="000000"/>
                <w:kern w:val="0"/>
                <w:sz w:val="20"/>
                <w:szCs w:val="20"/>
              </w:rPr>
              <w:br/>
              <w:t>组织管理机构基本健全，责任基本明确（1.8[含]-2.25分）；</w:t>
            </w:r>
            <w:r>
              <w:rPr>
                <w:rFonts w:ascii="宋体" w:hAnsi="宋体" w:cs="宋体" w:hint="eastAsia"/>
                <w:color w:val="000000"/>
                <w:kern w:val="0"/>
                <w:sz w:val="20"/>
                <w:szCs w:val="20"/>
              </w:rPr>
              <w:br/>
              <w:t>组织管理机构不够健全，责任不够明确（0-1.8分）。</w:t>
            </w:r>
          </w:p>
        </w:tc>
        <w:tc>
          <w:tcPr>
            <w:tcW w:w="470" w:type="pct"/>
            <w:tcBorders>
              <w:top w:val="nil"/>
              <w:left w:val="nil"/>
              <w:bottom w:val="single" w:sz="4" w:space="0" w:color="auto"/>
              <w:right w:val="single" w:sz="4" w:space="0" w:color="auto"/>
            </w:tcBorders>
            <w:shd w:val="clear" w:color="auto" w:fill="auto"/>
            <w:vAlign w:val="center"/>
          </w:tcPr>
          <w:p w14:paraId="034638E7"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2.77</w:t>
            </w:r>
          </w:p>
        </w:tc>
        <w:tc>
          <w:tcPr>
            <w:tcW w:w="547" w:type="pct"/>
            <w:tcBorders>
              <w:top w:val="nil"/>
              <w:left w:val="nil"/>
              <w:bottom w:val="single" w:sz="4" w:space="0" w:color="auto"/>
              <w:right w:val="single" w:sz="4" w:space="0" w:color="auto"/>
            </w:tcBorders>
            <w:shd w:val="clear" w:color="auto" w:fill="auto"/>
            <w:vAlign w:val="center"/>
          </w:tcPr>
          <w:p w14:paraId="3801AB7E"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资料反映不够充分</w:t>
            </w:r>
          </w:p>
        </w:tc>
      </w:tr>
      <w:tr w:rsidR="00C11BFE" w14:paraId="09D91A89" w14:textId="77777777" w:rsidTr="000F1325">
        <w:trPr>
          <w:trHeight w:val="1160"/>
        </w:trPr>
        <w:tc>
          <w:tcPr>
            <w:tcW w:w="391" w:type="pct"/>
            <w:vMerge/>
            <w:tcBorders>
              <w:top w:val="nil"/>
              <w:left w:val="single" w:sz="4" w:space="0" w:color="auto"/>
              <w:bottom w:val="single" w:sz="4" w:space="0" w:color="auto"/>
              <w:right w:val="single" w:sz="4" w:space="0" w:color="auto"/>
            </w:tcBorders>
            <w:vAlign w:val="center"/>
          </w:tcPr>
          <w:p w14:paraId="75F9D84B" w14:textId="77777777" w:rsidR="00C11BFE" w:rsidRDefault="00C11BFE" w:rsidP="00DD5A26">
            <w:pPr>
              <w:widowControl/>
              <w:jc w:val="left"/>
              <w:rPr>
                <w:rFonts w:ascii="宋体" w:hAnsi="宋体" w:cs="宋体"/>
                <w:color w:val="000000"/>
                <w:kern w:val="0"/>
                <w:sz w:val="20"/>
                <w:szCs w:val="20"/>
              </w:rPr>
            </w:pPr>
          </w:p>
        </w:tc>
        <w:tc>
          <w:tcPr>
            <w:tcW w:w="391" w:type="pct"/>
            <w:vMerge/>
            <w:tcBorders>
              <w:top w:val="nil"/>
              <w:left w:val="single" w:sz="4" w:space="0" w:color="auto"/>
              <w:bottom w:val="single" w:sz="4" w:space="0" w:color="auto"/>
              <w:right w:val="single" w:sz="4" w:space="0" w:color="auto"/>
            </w:tcBorders>
            <w:vAlign w:val="center"/>
          </w:tcPr>
          <w:p w14:paraId="0CEBAE1C" w14:textId="77777777" w:rsidR="00C11BFE" w:rsidRDefault="00C11BFE" w:rsidP="00DD5A26">
            <w:pPr>
              <w:widowControl/>
              <w:jc w:val="left"/>
              <w:rPr>
                <w:rFonts w:ascii="宋体" w:hAnsi="宋体" w:cs="宋体"/>
                <w:color w:val="000000"/>
                <w:kern w:val="0"/>
                <w:sz w:val="20"/>
                <w:szCs w:val="20"/>
              </w:rPr>
            </w:pPr>
          </w:p>
        </w:tc>
        <w:tc>
          <w:tcPr>
            <w:tcW w:w="390" w:type="pct"/>
            <w:vMerge/>
            <w:tcBorders>
              <w:top w:val="nil"/>
              <w:left w:val="single" w:sz="4" w:space="0" w:color="auto"/>
              <w:bottom w:val="single" w:sz="4" w:space="0" w:color="auto"/>
              <w:right w:val="single" w:sz="4" w:space="0" w:color="auto"/>
            </w:tcBorders>
            <w:vAlign w:val="center"/>
          </w:tcPr>
          <w:p w14:paraId="48831B33" w14:textId="77777777" w:rsidR="00C11BFE" w:rsidRDefault="00C11BFE" w:rsidP="00DD5A26">
            <w:pPr>
              <w:widowControl/>
              <w:jc w:val="left"/>
              <w:rPr>
                <w:rFonts w:ascii="宋体" w:hAnsi="宋体" w:cs="宋体"/>
                <w:color w:val="000000"/>
                <w:kern w:val="0"/>
                <w:sz w:val="20"/>
                <w:szCs w:val="20"/>
              </w:rPr>
            </w:pPr>
          </w:p>
        </w:tc>
        <w:tc>
          <w:tcPr>
            <w:tcW w:w="547" w:type="pct"/>
            <w:tcBorders>
              <w:top w:val="nil"/>
              <w:left w:val="nil"/>
              <w:bottom w:val="single" w:sz="4" w:space="0" w:color="auto"/>
              <w:right w:val="single" w:sz="4" w:space="0" w:color="auto"/>
            </w:tcBorders>
            <w:shd w:val="clear" w:color="auto" w:fill="auto"/>
            <w:vAlign w:val="center"/>
          </w:tcPr>
          <w:p w14:paraId="68B741C0"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组织分工、职责</w:t>
            </w:r>
          </w:p>
        </w:tc>
        <w:tc>
          <w:tcPr>
            <w:tcW w:w="469" w:type="pct"/>
            <w:tcBorders>
              <w:top w:val="nil"/>
              <w:left w:val="nil"/>
              <w:bottom w:val="single" w:sz="4" w:space="0" w:color="auto"/>
              <w:right w:val="single" w:sz="4" w:space="0" w:color="auto"/>
            </w:tcBorders>
            <w:shd w:val="clear" w:color="auto" w:fill="auto"/>
            <w:vAlign w:val="center"/>
          </w:tcPr>
          <w:p w14:paraId="596254DD"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2.00</w:t>
            </w:r>
          </w:p>
        </w:tc>
        <w:tc>
          <w:tcPr>
            <w:tcW w:w="1796" w:type="pct"/>
            <w:tcBorders>
              <w:top w:val="nil"/>
              <w:left w:val="nil"/>
              <w:bottom w:val="single" w:sz="4" w:space="0" w:color="auto"/>
              <w:right w:val="single" w:sz="4" w:space="0" w:color="auto"/>
            </w:tcBorders>
            <w:shd w:val="clear" w:color="auto" w:fill="auto"/>
            <w:vAlign w:val="center"/>
          </w:tcPr>
          <w:p w14:paraId="2C5E94A1"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组织分工、职责明确（1.8[含]-2分）；</w:t>
            </w:r>
            <w:r>
              <w:rPr>
                <w:rFonts w:ascii="宋体" w:hAnsi="宋体" w:cs="宋体" w:hint="eastAsia"/>
                <w:color w:val="000000"/>
                <w:kern w:val="0"/>
                <w:sz w:val="20"/>
                <w:szCs w:val="20"/>
              </w:rPr>
              <w:br/>
              <w:t>组织分工、职责比较明确</w:t>
            </w:r>
            <w:r>
              <w:rPr>
                <w:rFonts w:ascii="宋体" w:hAnsi="宋体" w:cs="宋体" w:hint="eastAsia"/>
                <w:color w:val="000000"/>
                <w:kern w:val="0"/>
                <w:sz w:val="20"/>
                <w:szCs w:val="20"/>
              </w:rPr>
              <w:lastRenderedPageBreak/>
              <w:t>（1.5[含]-1.8分）；</w:t>
            </w:r>
            <w:r>
              <w:rPr>
                <w:rFonts w:ascii="宋体" w:hAnsi="宋体" w:cs="宋体" w:hint="eastAsia"/>
                <w:color w:val="000000"/>
                <w:kern w:val="0"/>
                <w:sz w:val="20"/>
                <w:szCs w:val="20"/>
              </w:rPr>
              <w:br/>
              <w:t>组织分工、职责基本明确（1.2[含]-1.5分）；</w:t>
            </w:r>
            <w:r>
              <w:rPr>
                <w:rFonts w:ascii="宋体" w:hAnsi="宋体" w:cs="宋体" w:hint="eastAsia"/>
                <w:color w:val="000000"/>
                <w:kern w:val="0"/>
                <w:sz w:val="20"/>
                <w:szCs w:val="20"/>
              </w:rPr>
              <w:br/>
              <w:t>组织分工、职责不够明确（0-1.2分）。</w:t>
            </w:r>
          </w:p>
        </w:tc>
        <w:tc>
          <w:tcPr>
            <w:tcW w:w="470" w:type="pct"/>
            <w:tcBorders>
              <w:top w:val="nil"/>
              <w:left w:val="nil"/>
              <w:bottom w:val="single" w:sz="4" w:space="0" w:color="auto"/>
              <w:right w:val="single" w:sz="4" w:space="0" w:color="auto"/>
            </w:tcBorders>
            <w:shd w:val="clear" w:color="auto" w:fill="auto"/>
            <w:vAlign w:val="center"/>
          </w:tcPr>
          <w:p w14:paraId="43789F02"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lastRenderedPageBreak/>
              <w:t>1.79</w:t>
            </w:r>
          </w:p>
        </w:tc>
        <w:tc>
          <w:tcPr>
            <w:tcW w:w="547" w:type="pct"/>
            <w:tcBorders>
              <w:top w:val="nil"/>
              <w:left w:val="nil"/>
              <w:bottom w:val="single" w:sz="4" w:space="0" w:color="auto"/>
              <w:right w:val="single" w:sz="4" w:space="0" w:color="auto"/>
            </w:tcBorders>
            <w:shd w:val="clear" w:color="auto" w:fill="auto"/>
            <w:vAlign w:val="center"/>
          </w:tcPr>
          <w:p w14:paraId="0578E440"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资料反映不够充分</w:t>
            </w:r>
          </w:p>
        </w:tc>
      </w:tr>
      <w:tr w:rsidR="00C11BFE" w14:paraId="5D6AE23E" w14:textId="77777777" w:rsidTr="000F1325">
        <w:trPr>
          <w:trHeight w:val="1160"/>
        </w:trPr>
        <w:tc>
          <w:tcPr>
            <w:tcW w:w="391" w:type="pct"/>
            <w:vMerge/>
            <w:tcBorders>
              <w:top w:val="nil"/>
              <w:left w:val="single" w:sz="4" w:space="0" w:color="auto"/>
              <w:bottom w:val="single" w:sz="4" w:space="0" w:color="auto"/>
              <w:right w:val="single" w:sz="4" w:space="0" w:color="auto"/>
            </w:tcBorders>
            <w:vAlign w:val="center"/>
          </w:tcPr>
          <w:p w14:paraId="68DB9E7B" w14:textId="77777777" w:rsidR="00C11BFE" w:rsidRDefault="00C11BFE" w:rsidP="00DD5A26">
            <w:pPr>
              <w:widowControl/>
              <w:jc w:val="left"/>
              <w:rPr>
                <w:rFonts w:ascii="宋体" w:hAnsi="宋体" w:cs="宋体"/>
                <w:color w:val="000000"/>
                <w:kern w:val="0"/>
                <w:sz w:val="20"/>
                <w:szCs w:val="20"/>
              </w:rPr>
            </w:pPr>
          </w:p>
        </w:tc>
        <w:tc>
          <w:tcPr>
            <w:tcW w:w="391" w:type="pct"/>
            <w:vMerge/>
            <w:tcBorders>
              <w:top w:val="nil"/>
              <w:left w:val="single" w:sz="4" w:space="0" w:color="auto"/>
              <w:bottom w:val="single" w:sz="4" w:space="0" w:color="auto"/>
              <w:right w:val="single" w:sz="4" w:space="0" w:color="auto"/>
            </w:tcBorders>
            <w:vAlign w:val="center"/>
          </w:tcPr>
          <w:p w14:paraId="4C5BD509" w14:textId="77777777" w:rsidR="00C11BFE" w:rsidRDefault="00C11BFE" w:rsidP="00DD5A26">
            <w:pPr>
              <w:widowControl/>
              <w:jc w:val="left"/>
              <w:rPr>
                <w:rFonts w:ascii="宋体" w:hAnsi="宋体" w:cs="宋体"/>
                <w:color w:val="000000"/>
                <w:kern w:val="0"/>
                <w:sz w:val="20"/>
                <w:szCs w:val="20"/>
              </w:rPr>
            </w:pPr>
          </w:p>
        </w:tc>
        <w:tc>
          <w:tcPr>
            <w:tcW w:w="390" w:type="pct"/>
            <w:vMerge w:val="restart"/>
            <w:tcBorders>
              <w:top w:val="nil"/>
              <w:left w:val="single" w:sz="4" w:space="0" w:color="auto"/>
              <w:bottom w:val="single" w:sz="4" w:space="0" w:color="auto"/>
              <w:right w:val="single" w:sz="4" w:space="0" w:color="auto"/>
            </w:tcBorders>
            <w:shd w:val="clear" w:color="auto" w:fill="auto"/>
            <w:vAlign w:val="center"/>
          </w:tcPr>
          <w:p w14:paraId="7A0899E0"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制度建设（5分）</w:t>
            </w:r>
          </w:p>
        </w:tc>
        <w:tc>
          <w:tcPr>
            <w:tcW w:w="547" w:type="pct"/>
            <w:tcBorders>
              <w:top w:val="nil"/>
              <w:left w:val="nil"/>
              <w:bottom w:val="single" w:sz="4" w:space="0" w:color="auto"/>
              <w:right w:val="single" w:sz="4" w:space="0" w:color="auto"/>
            </w:tcBorders>
            <w:shd w:val="clear" w:color="auto" w:fill="auto"/>
            <w:vAlign w:val="center"/>
          </w:tcPr>
          <w:p w14:paraId="37041DE3"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管理制度建设</w:t>
            </w:r>
          </w:p>
        </w:tc>
        <w:tc>
          <w:tcPr>
            <w:tcW w:w="469" w:type="pct"/>
            <w:tcBorders>
              <w:top w:val="nil"/>
              <w:left w:val="nil"/>
              <w:bottom w:val="single" w:sz="4" w:space="0" w:color="auto"/>
              <w:right w:val="single" w:sz="4" w:space="0" w:color="auto"/>
            </w:tcBorders>
            <w:shd w:val="clear" w:color="auto" w:fill="auto"/>
            <w:vAlign w:val="center"/>
          </w:tcPr>
          <w:p w14:paraId="33FB5C84"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3.00</w:t>
            </w:r>
          </w:p>
        </w:tc>
        <w:tc>
          <w:tcPr>
            <w:tcW w:w="1796" w:type="pct"/>
            <w:tcBorders>
              <w:top w:val="nil"/>
              <w:left w:val="nil"/>
              <w:bottom w:val="single" w:sz="4" w:space="0" w:color="auto"/>
              <w:right w:val="single" w:sz="4" w:space="0" w:color="auto"/>
            </w:tcBorders>
            <w:shd w:val="clear" w:color="auto" w:fill="auto"/>
            <w:vAlign w:val="center"/>
          </w:tcPr>
          <w:p w14:paraId="4D18FFA1"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管理制度健全、有效（2.7[含]-3分）；</w:t>
            </w:r>
            <w:r>
              <w:rPr>
                <w:rFonts w:ascii="宋体" w:hAnsi="宋体" w:cs="宋体" w:hint="eastAsia"/>
                <w:color w:val="000000"/>
                <w:kern w:val="0"/>
                <w:sz w:val="20"/>
                <w:szCs w:val="20"/>
              </w:rPr>
              <w:br/>
              <w:t>管理制度比较健全、有效（2.25[含]-2.7分）；</w:t>
            </w:r>
            <w:r>
              <w:rPr>
                <w:rFonts w:ascii="宋体" w:hAnsi="宋体" w:cs="宋体" w:hint="eastAsia"/>
                <w:color w:val="000000"/>
                <w:kern w:val="0"/>
                <w:sz w:val="20"/>
                <w:szCs w:val="20"/>
              </w:rPr>
              <w:br/>
              <w:t>管理制度基本健全、基本有效（1.8[含]-2.25分）；</w:t>
            </w:r>
            <w:r>
              <w:rPr>
                <w:rFonts w:ascii="宋体" w:hAnsi="宋体" w:cs="宋体" w:hint="eastAsia"/>
                <w:color w:val="000000"/>
                <w:kern w:val="0"/>
                <w:sz w:val="20"/>
                <w:szCs w:val="20"/>
              </w:rPr>
              <w:br/>
              <w:t xml:space="preserve">管理制度不健全，基本无效（0-1.8分）。 </w:t>
            </w:r>
          </w:p>
        </w:tc>
        <w:tc>
          <w:tcPr>
            <w:tcW w:w="470" w:type="pct"/>
            <w:tcBorders>
              <w:top w:val="nil"/>
              <w:left w:val="nil"/>
              <w:bottom w:val="single" w:sz="4" w:space="0" w:color="auto"/>
              <w:right w:val="single" w:sz="4" w:space="0" w:color="auto"/>
            </w:tcBorders>
            <w:shd w:val="clear" w:color="auto" w:fill="auto"/>
            <w:vAlign w:val="center"/>
          </w:tcPr>
          <w:p w14:paraId="5313AEDC"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2.24</w:t>
            </w:r>
          </w:p>
        </w:tc>
        <w:tc>
          <w:tcPr>
            <w:tcW w:w="547" w:type="pct"/>
            <w:tcBorders>
              <w:top w:val="nil"/>
              <w:left w:val="nil"/>
              <w:bottom w:val="single" w:sz="4" w:space="0" w:color="auto"/>
              <w:right w:val="single" w:sz="4" w:space="0" w:color="auto"/>
            </w:tcBorders>
            <w:shd w:val="clear" w:color="auto" w:fill="auto"/>
            <w:vAlign w:val="center"/>
          </w:tcPr>
          <w:p w14:paraId="352812ED"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反映不够充分</w:t>
            </w:r>
          </w:p>
        </w:tc>
      </w:tr>
      <w:tr w:rsidR="00C11BFE" w14:paraId="695DCA9F" w14:textId="77777777" w:rsidTr="000F1325">
        <w:trPr>
          <w:trHeight w:val="2055"/>
        </w:trPr>
        <w:tc>
          <w:tcPr>
            <w:tcW w:w="391" w:type="pct"/>
            <w:vMerge/>
            <w:tcBorders>
              <w:top w:val="nil"/>
              <w:left w:val="single" w:sz="4" w:space="0" w:color="auto"/>
              <w:bottom w:val="single" w:sz="4" w:space="0" w:color="auto"/>
              <w:right w:val="single" w:sz="4" w:space="0" w:color="auto"/>
            </w:tcBorders>
            <w:vAlign w:val="center"/>
          </w:tcPr>
          <w:p w14:paraId="68763DB0" w14:textId="77777777" w:rsidR="00C11BFE" w:rsidRDefault="00C11BFE" w:rsidP="00DD5A26">
            <w:pPr>
              <w:widowControl/>
              <w:jc w:val="left"/>
              <w:rPr>
                <w:rFonts w:ascii="宋体" w:hAnsi="宋体" w:cs="宋体"/>
                <w:color w:val="000000"/>
                <w:kern w:val="0"/>
                <w:sz w:val="20"/>
                <w:szCs w:val="20"/>
              </w:rPr>
            </w:pPr>
          </w:p>
        </w:tc>
        <w:tc>
          <w:tcPr>
            <w:tcW w:w="391" w:type="pct"/>
            <w:vMerge/>
            <w:tcBorders>
              <w:top w:val="nil"/>
              <w:left w:val="single" w:sz="4" w:space="0" w:color="auto"/>
              <w:bottom w:val="single" w:sz="4" w:space="0" w:color="auto"/>
              <w:right w:val="single" w:sz="4" w:space="0" w:color="auto"/>
            </w:tcBorders>
            <w:vAlign w:val="center"/>
          </w:tcPr>
          <w:p w14:paraId="1B2968A0" w14:textId="77777777" w:rsidR="00C11BFE" w:rsidRDefault="00C11BFE" w:rsidP="00DD5A26">
            <w:pPr>
              <w:widowControl/>
              <w:jc w:val="left"/>
              <w:rPr>
                <w:rFonts w:ascii="宋体" w:hAnsi="宋体" w:cs="宋体"/>
                <w:color w:val="000000"/>
                <w:kern w:val="0"/>
                <w:sz w:val="20"/>
                <w:szCs w:val="20"/>
              </w:rPr>
            </w:pPr>
          </w:p>
        </w:tc>
        <w:tc>
          <w:tcPr>
            <w:tcW w:w="390" w:type="pct"/>
            <w:vMerge/>
            <w:tcBorders>
              <w:top w:val="nil"/>
              <w:left w:val="single" w:sz="4" w:space="0" w:color="auto"/>
              <w:bottom w:val="single" w:sz="4" w:space="0" w:color="auto"/>
              <w:right w:val="single" w:sz="4" w:space="0" w:color="auto"/>
            </w:tcBorders>
            <w:vAlign w:val="center"/>
          </w:tcPr>
          <w:p w14:paraId="1E9F73E1" w14:textId="77777777" w:rsidR="00C11BFE" w:rsidRDefault="00C11BFE" w:rsidP="00DD5A26">
            <w:pPr>
              <w:widowControl/>
              <w:jc w:val="left"/>
              <w:rPr>
                <w:rFonts w:ascii="宋体" w:hAnsi="宋体" w:cs="宋体"/>
                <w:color w:val="000000"/>
                <w:kern w:val="0"/>
                <w:sz w:val="20"/>
                <w:szCs w:val="20"/>
              </w:rPr>
            </w:pPr>
          </w:p>
        </w:tc>
        <w:tc>
          <w:tcPr>
            <w:tcW w:w="547" w:type="pct"/>
            <w:tcBorders>
              <w:top w:val="nil"/>
              <w:left w:val="nil"/>
              <w:bottom w:val="single" w:sz="4" w:space="0" w:color="auto"/>
              <w:right w:val="single" w:sz="4" w:space="0" w:color="auto"/>
            </w:tcBorders>
            <w:shd w:val="clear" w:color="auto" w:fill="auto"/>
            <w:vAlign w:val="center"/>
          </w:tcPr>
          <w:p w14:paraId="662D4997"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方案编制</w:t>
            </w:r>
          </w:p>
        </w:tc>
        <w:tc>
          <w:tcPr>
            <w:tcW w:w="469" w:type="pct"/>
            <w:tcBorders>
              <w:top w:val="nil"/>
              <w:left w:val="nil"/>
              <w:bottom w:val="single" w:sz="4" w:space="0" w:color="auto"/>
              <w:right w:val="single" w:sz="4" w:space="0" w:color="auto"/>
            </w:tcBorders>
            <w:shd w:val="clear" w:color="auto" w:fill="auto"/>
            <w:vAlign w:val="center"/>
          </w:tcPr>
          <w:p w14:paraId="726D114D"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2.00</w:t>
            </w:r>
          </w:p>
        </w:tc>
        <w:tc>
          <w:tcPr>
            <w:tcW w:w="1796" w:type="pct"/>
            <w:tcBorders>
              <w:top w:val="nil"/>
              <w:left w:val="nil"/>
              <w:bottom w:val="single" w:sz="4" w:space="0" w:color="auto"/>
              <w:right w:val="single" w:sz="4" w:space="0" w:color="auto"/>
            </w:tcBorders>
            <w:shd w:val="clear" w:color="auto" w:fill="auto"/>
            <w:vAlign w:val="center"/>
          </w:tcPr>
          <w:p w14:paraId="5D3DA2F1"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项目实施方案或计划编制合理、具体（1.8[含]-2分）；</w:t>
            </w:r>
            <w:r>
              <w:rPr>
                <w:rFonts w:ascii="宋体" w:hAnsi="宋体" w:cs="宋体" w:hint="eastAsia"/>
                <w:color w:val="000000"/>
                <w:kern w:val="0"/>
                <w:sz w:val="20"/>
                <w:szCs w:val="20"/>
              </w:rPr>
              <w:br/>
              <w:t>项目实施方案或计划编制比较合理，比较具体（1.5[含]-1.8分）；</w:t>
            </w:r>
            <w:r>
              <w:rPr>
                <w:rFonts w:ascii="宋体" w:hAnsi="宋体" w:cs="宋体" w:hint="eastAsia"/>
                <w:color w:val="000000"/>
                <w:kern w:val="0"/>
                <w:sz w:val="20"/>
                <w:szCs w:val="20"/>
              </w:rPr>
              <w:br/>
              <w:t>项目实施方案或计划编制基本合理（1.2[含]-1.5分）；</w:t>
            </w:r>
            <w:r>
              <w:rPr>
                <w:rFonts w:ascii="宋体" w:hAnsi="宋体" w:cs="宋体" w:hint="eastAsia"/>
                <w:color w:val="000000"/>
                <w:kern w:val="0"/>
                <w:sz w:val="20"/>
                <w:szCs w:val="20"/>
              </w:rPr>
              <w:br/>
              <w:t xml:space="preserve">项目实施方案或计划编制不合理（0-1.2分）。 </w:t>
            </w:r>
          </w:p>
        </w:tc>
        <w:tc>
          <w:tcPr>
            <w:tcW w:w="470" w:type="pct"/>
            <w:tcBorders>
              <w:top w:val="nil"/>
              <w:left w:val="nil"/>
              <w:bottom w:val="single" w:sz="4" w:space="0" w:color="auto"/>
              <w:right w:val="single" w:sz="4" w:space="0" w:color="auto"/>
            </w:tcBorders>
            <w:shd w:val="clear" w:color="auto" w:fill="auto"/>
            <w:vAlign w:val="center"/>
          </w:tcPr>
          <w:p w14:paraId="20A0EE04"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1.65</w:t>
            </w:r>
          </w:p>
        </w:tc>
        <w:tc>
          <w:tcPr>
            <w:tcW w:w="547" w:type="pct"/>
            <w:tcBorders>
              <w:top w:val="nil"/>
              <w:left w:val="nil"/>
              <w:bottom w:val="single" w:sz="4" w:space="0" w:color="auto"/>
              <w:right w:val="single" w:sz="4" w:space="0" w:color="auto"/>
            </w:tcBorders>
            <w:shd w:val="clear" w:color="auto" w:fill="auto"/>
            <w:vAlign w:val="center"/>
          </w:tcPr>
          <w:p w14:paraId="58D7C999"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不够完善</w:t>
            </w:r>
          </w:p>
        </w:tc>
      </w:tr>
      <w:tr w:rsidR="00C11BFE" w14:paraId="1B541A01" w14:textId="77777777" w:rsidTr="000F1325">
        <w:trPr>
          <w:trHeight w:val="1340"/>
        </w:trPr>
        <w:tc>
          <w:tcPr>
            <w:tcW w:w="391" w:type="pct"/>
            <w:vMerge/>
            <w:tcBorders>
              <w:top w:val="nil"/>
              <w:left w:val="single" w:sz="4" w:space="0" w:color="auto"/>
              <w:bottom w:val="single" w:sz="4" w:space="0" w:color="auto"/>
              <w:right w:val="single" w:sz="4" w:space="0" w:color="auto"/>
            </w:tcBorders>
            <w:vAlign w:val="center"/>
          </w:tcPr>
          <w:p w14:paraId="4E332002" w14:textId="77777777" w:rsidR="00C11BFE" w:rsidRDefault="00C11BFE" w:rsidP="00DD5A26">
            <w:pPr>
              <w:widowControl/>
              <w:jc w:val="left"/>
              <w:rPr>
                <w:rFonts w:ascii="宋体" w:hAnsi="宋体" w:cs="宋体"/>
                <w:color w:val="000000"/>
                <w:kern w:val="0"/>
                <w:sz w:val="20"/>
                <w:szCs w:val="20"/>
              </w:rPr>
            </w:pPr>
          </w:p>
        </w:tc>
        <w:tc>
          <w:tcPr>
            <w:tcW w:w="391" w:type="pct"/>
            <w:vMerge/>
            <w:tcBorders>
              <w:top w:val="nil"/>
              <w:left w:val="single" w:sz="4" w:space="0" w:color="auto"/>
              <w:bottom w:val="single" w:sz="4" w:space="0" w:color="auto"/>
              <w:right w:val="single" w:sz="4" w:space="0" w:color="auto"/>
            </w:tcBorders>
            <w:vAlign w:val="center"/>
          </w:tcPr>
          <w:p w14:paraId="1A5FDC4C" w14:textId="77777777" w:rsidR="00C11BFE" w:rsidRDefault="00C11BFE" w:rsidP="00DD5A26">
            <w:pPr>
              <w:widowControl/>
              <w:jc w:val="left"/>
              <w:rPr>
                <w:rFonts w:ascii="宋体" w:hAnsi="宋体" w:cs="宋体"/>
                <w:color w:val="000000"/>
                <w:kern w:val="0"/>
                <w:sz w:val="20"/>
                <w:szCs w:val="20"/>
              </w:rPr>
            </w:pPr>
          </w:p>
        </w:tc>
        <w:tc>
          <w:tcPr>
            <w:tcW w:w="390" w:type="pct"/>
            <w:vMerge w:val="restart"/>
            <w:tcBorders>
              <w:top w:val="nil"/>
              <w:left w:val="single" w:sz="4" w:space="0" w:color="auto"/>
              <w:bottom w:val="single" w:sz="4" w:space="0" w:color="auto"/>
              <w:right w:val="single" w:sz="4" w:space="0" w:color="auto"/>
            </w:tcBorders>
            <w:shd w:val="clear" w:color="auto" w:fill="auto"/>
            <w:vAlign w:val="center"/>
          </w:tcPr>
          <w:p w14:paraId="6A9314D7"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过程控制（9分）</w:t>
            </w:r>
          </w:p>
        </w:tc>
        <w:tc>
          <w:tcPr>
            <w:tcW w:w="547" w:type="pct"/>
            <w:tcBorders>
              <w:top w:val="nil"/>
              <w:left w:val="nil"/>
              <w:bottom w:val="single" w:sz="4" w:space="0" w:color="auto"/>
              <w:right w:val="single" w:sz="4" w:space="0" w:color="auto"/>
            </w:tcBorders>
            <w:shd w:val="clear" w:color="auto" w:fill="auto"/>
            <w:vAlign w:val="center"/>
          </w:tcPr>
          <w:p w14:paraId="27937604"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制度执行有效性</w:t>
            </w:r>
          </w:p>
        </w:tc>
        <w:tc>
          <w:tcPr>
            <w:tcW w:w="469" w:type="pct"/>
            <w:tcBorders>
              <w:top w:val="nil"/>
              <w:left w:val="nil"/>
              <w:bottom w:val="single" w:sz="4" w:space="0" w:color="auto"/>
              <w:right w:val="single" w:sz="4" w:space="0" w:color="auto"/>
            </w:tcBorders>
            <w:shd w:val="clear" w:color="auto" w:fill="auto"/>
            <w:vAlign w:val="center"/>
          </w:tcPr>
          <w:p w14:paraId="5F233F3C"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3.00</w:t>
            </w:r>
          </w:p>
        </w:tc>
        <w:tc>
          <w:tcPr>
            <w:tcW w:w="1796" w:type="pct"/>
            <w:tcBorders>
              <w:top w:val="nil"/>
              <w:left w:val="nil"/>
              <w:bottom w:val="single" w:sz="4" w:space="0" w:color="auto"/>
              <w:right w:val="single" w:sz="4" w:space="0" w:color="auto"/>
            </w:tcBorders>
            <w:shd w:val="clear" w:color="auto" w:fill="auto"/>
            <w:vAlign w:val="center"/>
          </w:tcPr>
          <w:p w14:paraId="663DBB15"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严格按项目管理制度组织实施（2.7[含]-3分）；</w:t>
            </w:r>
            <w:r>
              <w:rPr>
                <w:rFonts w:ascii="宋体" w:hAnsi="宋体" w:cs="宋体" w:hint="eastAsia"/>
                <w:color w:val="000000"/>
                <w:kern w:val="0"/>
                <w:sz w:val="20"/>
                <w:szCs w:val="20"/>
              </w:rPr>
              <w:br/>
              <w:t>按项目管理制度组织实施（2.25[含]-2.7分）；</w:t>
            </w:r>
            <w:r>
              <w:rPr>
                <w:rFonts w:ascii="宋体" w:hAnsi="宋体" w:cs="宋体" w:hint="eastAsia"/>
                <w:color w:val="000000"/>
                <w:kern w:val="0"/>
                <w:sz w:val="20"/>
                <w:szCs w:val="20"/>
              </w:rPr>
              <w:br/>
              <w:t>基本按项目管理制度组织实施（1.8[含]-2.25分）；</w:t>
            </w:r>
            <w:r>
              <w:rPr>
                <w:rFonts w:ascii="宋体" w:hAnsi="宋体" w:cs="宋体" w:hint="eastAsia"/>
                <w:color w:val="000000"/>
                <w:kern w:val="0"/>
                <w:sz w:val="20"/>
                <w:szCs w:val="20"/>
              </w:rPr>
              <w:br/>
              <w:t>不按项目管理制度组织实施（0-1.8分）。</w:t>
            </w:r>
          </w:p>
        </w:tc>
        <w:tc>
          <w:tcPr>
            <w:tcW w:w="470" w:type="pct"/>
            <w:tcBorders>
              <w:top w:val="nil"/>
              <w:left w:val="nil"/>
              <w:bottom w:val="single" w:sz="4" w:space="0" w:color="auto"/>
              <w:right w:val="single" w:sz="4" w:space="0" w:color="auto"/>
            </w:tcBorders>
            <w:shd w:val="clear" w:color="auto" w:fill="auto"/>
            <w:vAlign w:val="center"/>
          </w:tcPr>
          <w:p w14:paraId="693F101C"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2.60</w:t>
            </w:r>
          </w:p>
        </w:tc>
        <w:tc>
          <w:tcPr>
            <w:tcW w:w="547" w:type="pct"/>
            <w:tcBorders>
              <w:top w:val="nil"/>
              <w:left w:val="nil"/>
              <w:bottom w:val="single" w:sz="4" w:space="0" w:color="auto"/>
              <w:right w:val="single" w:sz="4" w:space="0" w:color="auto"/>
            </w:tcBorders>
            <w:shd w:val="clear" w:color="auto" w:fill="auto"/>
            <w:vAlign w:val="center"/>
          </w:tcPr>
          <w:p w14:paraId="3359E933"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反映不够充分</w:t>
            </w:r>
          </w:p>
        </w:tc>
      </w:tr>
      <w:tr w:rsidR="00C11BFE" w14:paraId="79295AA5" w14:textId="77777777" w:rsidTr="000F1325">
        <w:trPr>
          <w:trHeight w:val="1520"/>
        </w:trPr>
        <w:tc>
          <w:tcPr>
            <w:tcW w:w="391" w:type="pct"/>
            <w:vMerge/>
            <w:tcBorders>
              <w:top w:val="nil"/>
              <w:left w:val="single" w:sz="4" w:space="0" w:color="auto"/>
              <w:bottom w:val="single" w:sz="4" w:space="0" w:color="auto"/>
              <w:right w:val="single" w:sz="4" w:space="0" w:color="auto"/>
            </w:tcBorders>
            <w:vAlign w:val="center"/>
          </w:tcPr>
          <w:p w14:paraId="04764EFD" w14:textId="77777777" w:rsidR="00C11BFE" w:rsidRDefault="00C11BFE" w:rsidP="00DD5A26">
            <w:pPr>
              <w:widowControl/>
              <w:jc w:val="left"/>
              <w:rPr>
                <w:rFonts w:ascii="宋体" w:hAnsi="宋体" w:cs="宋体"/>
                <w:color w:val="000000"/>
                <w:kern w:val="0"/>
                <w:sz w:val="20"/>
                <w:szCs w:val="20"/>
              </w:rPr>
            </w:pPr>
          </w:p>
        </w:tc>
        <w:tc>
          <w:tcPr>
            <w:tcW w:w="391" w:type="pct"/>
            <w:vMerge/>
            <w:tcBorders>
              <w:top w:val="nil"/>
              <w:left w:val="single" w:sz="4" w:space="0" w:color="auto"/>
              <w:bottom w:val="single" w:sz="4" w:space="0" w:color="auto"/>
              <w:right w:val="single" w:sz="4" w:space="0" w:color="auto"/>
            </w:tcBorders>
            <w:vAlign w:val="center"/>
          </w:tcPr>
          <w:p w14:paraId="49C10358" w14:textId="77777777" w:rsidR="00C11BFE" w:rsidRDefault="00C11BFE" w:rsidP="00DD5A26">
            <w:pPr>
              <w:widowControl/>
              <w:jc w:val="left"/>
              <w:rPr>
                <w:rFonts w:ascii="宋体" w:hAnsi="宋体" w:cs="宋体"/>
                <w:color w:val="000000"/>
                <w:kern w:val="0"/>
                <w:sz w:val="20"/>
                <w:szCs w:val="20"/>
              </w:rPr>
            </w:pPr>
          </w:p>
        </w:tc>
        <w:tc>
          <w:tcPr>
            <w:tcW w:w="390" w:type="pct"/>
            <w:vMerge/>
            <w:tcBorders>
              <w:top w:val="nil"/>
              <w:left w:val="single" w:sz="4" w:space="0" w:color="auto"/>
              <w:bottom w:val="single" w:sz="4" w:space="0" w:color="auto"/>
              <w:right w:val="single" w:sz="4" w:space="0" w:color="auto"/>
            </w:tcBorders>
            <w:vAlign w:val="center"/>
          </w:tcPr>
          <w:p w14:paraId="0CAA3318" w14:textId="77777777" w:rsidR="00C11BFE" w:rsidRDefault="00C11BFE" w:rsidP="00DD5A26">
            <w:pPr>
              <w:widowControl/>
              <w:jc w:val="left"/>
              <w:rPr>
                <w:rFonts w:ascii="宋体" w:hAnsi="宋体" w:cs="宋体"/>
                <w:color w:val="000000"/>
                <w:kern w:val="0"/>
                <w:sz w:val="20"/>
                <w:szCs w:val="20"/>
              </w:rPr>
            </w:pPr>
          </w:p>
        </w:tc>
        <w:tc>
          <w:tcPr>
            <w:tcW w:w="547" w:type="pct"/>
            <w:tcBorders>
              <w:top w:val="nil"/>
              <w:left w:val="nil"/>
              <w:bottom w:val="single" w:sz="4" w:space="0" w:color="auto"/>
              <w:right w:val="single" w:sz="4" w:space="0" w:color="auto"/>
            </w:tcBorders>
            <w:shd w:val="clear" w:color="auto" w:fill="auto"/>
            <w:vAlign w:val="center"/>
          </w:tcPr>
          <w:p w14:paraId="7876D750"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方案实施</w:t>
            </w:r>
          </w:p>
        </w:tc>
        <w:tc>
          <w:tcPr>
            <w:tcW w:w="469" w:type="pct"/>
            <w:tcBorders>
              <w:top w:val="nil"/>
              <w:left w:val="nil"/>
              <w:bottom w:val="single" w:sz="4" w:space="0" w:color="auto"/>
              <w:right w:val="single" w:sz="4" w:space="0" w:color="auto"/>
            </w:tcBorders>
            <w:shd w:val="clear" w:color="auto" w:fill="auto"/>
            <w:vAlign w:val="center"/>
          </w:tcPr>
          <w:p w14:paraId="022F0FBA"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3.00</w:t>
            </w:r>
          </w:p>
        </w:tc>
        <w:tc>
          <w:tcPr>
            <w:tcW w:w="1796" w:type="pct"/>
            <w:tcBorders>
              <w:top w:val="nil"/>
              <w:left w:val="nil"/>
              <w:bottom w:val="single" w:sz="4" w:space="0" w:color="auto"/>
              <w:right w:val="single" w:sz="4" w:space="0" w:color="auto"/>
            </w:tcBorders>
            <w:shd w:val="clear" w:color="auto" w:fill="auto"/>
            <w:vAlign w:val="center"/>
          </w:tcPr>
          <w:p w14:paraId="627B0931"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严格按项目实施方案计划组织实施（2.7[含]-3分）；</w:t>
            </w:r>
            <w:r>
              <w:rPr>
                <w:rFonts w:ascii="宋体" w:hAnsi="宋体" w:cs="宋体" w:hint="eastAsia"/>
                <w:color w:val="000000"/>
                <w:kern w:val="0"/>
                <w:sz w:val="20"/>
                <w:szCs w:val="20"/>
              </w:rPr>
              <w:br/>
              <w:t>按项目实施方案计划组织实施（2.25[含]-2.7分）；</w:t>
            </w:r>
            <w:r>
              <w:rPr>
                <w:rFonts w:ascii="宋体" w:hAnsi="宋体" w:cs="宋体" w:hint="eastAsia"/>
                <w:color w:val="000000"/>
                <w:kern w:val="0"/>
                <w:sz w:val="20"/>
                <w:szCs w:val="20"/>
              </w:rPr>
              <w:br/>
              <w:t>基本按项目实施方案计划组织实施（1.8[含]-2.25分）；</w:t>
            </w:r>
            <w:r>
              <w:rPr>
                <w:rFonts w:ascii="宋体" w:hAnsi="宋体" w:cs="宋体" w:hint="eastAsia"/>
                <w:color w:val="000000"/>
                <w:kern w:val="0"/>
                <w:sz w:val="20"/>
                <w:szCs w:val="20"/>
              </w:rPr>
              <w:br/>
              <w:t>不按项目实施方案会计划组织实施（0-1.8分）。</w:t>
            </w:r>
          </w:p>
        </w:tc>
        <w:tc>
          <w:tcPr>
            <w:tcW w:w="470" w:type="pct"/>
            <w:tcBorders>
              <w:top w:val="nil"/>
              <w:left w:val="nil"/>
              <w:bottom w:val="single" w:sz="4" w:space="0" w:color="auto"/>
              <w:right w:val="single" w:sz="4" w:space="0" w:color="auto"/>
            </w:tcBorders>
            <w:shd w:val="clear" w:color="auto" w:fill="auto"/>
            <w:vAlign w:val="center"/>
          </w:tcPr>
          <w:p w14:paraId="251C869B"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2.70</w:t>
            </w:r>
          </w:p>
        </w:tc>
        <w:tc>
          <w:tcPr>
            <w:tcW w:w="547" w:type="pct"/>
            <w:tcBorders>
              <w:top w:val="nil"/>
              <w:left w:val="nil"/>
              <w:bottom w:val="single" w:sz="4" w:space="0" w:color="auto"/>
              <w:right w:val="single" w:sz="4" w:space="0" w:color="auto"/>
            </w:tcBorders>
            <w:shd w:val="clear" w:color="auto" w:fill="auto"/>
            <w:vAlign w:val="center"/>
          </w:tcPr>
          <w:p w14:paraId="52649EB5"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反映不够充分</w:t>
            </w:r>
          </w:p>
        </w:tc>
      </w:tr>
      <w:tr w:rsidR="00C11BFE" w14:paraId="4EF18A84" w14:textId="77777777" w:rsidTr="000F1325">
        <w:trPr>
          <w:trHeight w:val="1548"/>
        </w:trPr>
        <w:tc>
          <w:tcPr>
            <w:tcW w:w="391" w:type="pct"/>
            <w:vMerge/>
            <w:tcBorders>
              <w:top w:val="nil"/>
              <w:left w:val="single" w:sz="4" w:space="0" w:color="auto"/>
              <w:bottom w:val="single" w:sz="4" w:space="0" w:color="auto"/>
              <w:right w:val="single" w:sz="4" w:space="0" w:color="auto"/>
            </w:tcBorders>
            <w:vAlign w:val="center"/>
          </w:tcPr>
          <w:p w14:paraId="4287646D" w14:textId="77777777" w:rsidR="00C11BFE" w:rsidRDefault="00C11BFE" w:rsidP="00DD5A26">
            <w:pPr>
              <w:widowControl/>
              <w:jc w:val="left"/>
              <w:rPr>
                <w:rFonts w:ascii="宋体" w:hAnsi="宋体" w:cs="宋体"/>
                <w:color w:val="000000"/>
                <w:kern w:val="0"/>
                <w:sz w:val="20"/>
                <w:szCs w:val="20"/>
              </w:rPr>
            </w:pPr>
          </w:p>
        </w:tc>
        <w:tc>
          <w:tcPr>
            <w:tcW w:w="391" w:type="pct"/>
            <w:vMerge/>
            <w:tcBorders>
              <w:top w:val="nil"/>
              <w:left w:val="single" w:sz="4" w:space="0" w:color="auto"/>
              <w:bottom w:val="single" w:sz="4" w:space="0" w:color="auto"/>
              <w:right w:val="single" w:sz="4" w:space="0" w:color="auto"/>
            </w:tcBorders>
            <w:vAlign w:val="center"/>
          </w:tcPr>
          <w:p w14:paraId="5F24866F" w14:textId="77777777" w:rsidR="00C11BFE" w:rsidRDefault="00C11BFE" w:rsidP="00DD5A26">
            <w:pPr>
              <w:widowControl/>
              <w:jc w:val="left"/>
              <w:rPr>
                <w:rFonts w:ascii="宋体" w:hAnsi="宋体" w:cs="宋体"/>
                <w:color w:val="000000"/>
                <w:kern w:val="0"/>
                <w:sz w:val="20"/>
                <w:szCs w:val="20"/>
              </w:rPr>
            </w:pPr>
          </w:p>
        </w:tc>
        <w:tc>
          <w:tcPr>
            <w:tcW w:w="390" w:type="pct"/>
            <w:vMerge/>
            <w:tcBorders>
              <w:top w:val="nil"/>
              <w:left w:val="single" w:sz="4" w:space="0" w:color="auto"/>
              <w:bottom w:val="single" w:sz="4" w:space="0" w:color="auto"/>
              <w:right w:val="single" w:sz="4" w:space="0" w:color="auto"/>
            </w:tcBorders>
            <w:vAlign w:val="center"/>
          </w:tcPr>
          <w:p w14:paraId="17462C30" w14:textId="77777777" w:rsidR="00C11BFE" w:rsidRDefault="00C11BFE" w:rsidP="00DD5A26">
            <w:pPr>
              <w:widowControl/>
              <w:jc w:val="left"/>
              <w:rPr>
                <w:rFonts w:ascii="宋体" w:hAnsi="宋体" w:cs="宋体"/>
                <w:color w:val="000000"/>
                <w:kern w:val="0"/>
                <w:sz w:val="20"/>
                <w:szCs w:val="20"/>
              </w:rPr>
            </w:pPr>
          </w:p>
        </w:tc>
        <w:tc>
          <w:tcPr>
            <w:tcW w:w="547" w:type="pct"/>
            <w:tcBorders>
              <w:top w:val="nil"/>
              <w:left w:val="nil"/>
              <w:bottom w:val="single" w:sz="4" w:space="0" w:color="auto"/>
              <w:right w:val="single" w:sz="4" w:space="0" w:color="auto"/>
            </w:tcBorders>
            <w:shd w:val="clear" w:color="auto" w:fill="auto"/>
            <w:vAlign w:val="center"/>
          </w:tcPr>
          <w:p w14:paraId="7A19FB6F"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项目验收</w:t>
            </w:r>
          </w:p>
        </w:tc>
        <w:tc>
          <w:tcPr>
            <w:tcW w:w="469" w:type="pct"/>
            <w:tcBorders>
              <w:top w:val="nil"/>
              <w:left w:val="nil"/>
              <w:bottom w:val="single" w:sz="4" w:space="0" w:color="auto"/>
              <w:right w:val="single" w:sz="4" w:space="0" w:color="auto"/>
            </w:tcBorders>
            <w:shd w:val="clear" w:color="auto" w:fill="auto"/>
            <w:vAlign w:val="center"/>
          </w:tcPr>
          <w:p w14:paraId="51CFD4E6"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3.00</w:t>
            </w:r>
          </w:p>
        </w:tc>
        <w:tc>
          <w:tcPr>
            <w:tcW w:w="1796" w:type="pct"/>
            <w:tcBorders>
              <w:top w:val="nil"/>
              <w:left w:val="nil"/>
              <w:bottom w:val="single" w:sz="4" w:space="0" w:color="auto"/>
              <w:right w:val="single" w:sz="4" w:space="0" w:color="auto"/>
            </w:tcBorders>
            <w:shd w:val="clear" w:color="auto" w:fill="auto"/>
            <w:vAlign w:val="center"/>
          </w:tcPr>
          <w:p w14:paraId="2D2753E6"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项目验收完整（2.7[含]-3分）；</w:t>
            </w:r>
            <w:r>
              <w:rPr>
                <w:rFonts w:ascii="宋体" w:hAnsi="宋体" w:cs="宋体" w:hint="eastAsia"/>
                <w:color w:val="000000"/>
                <w:kern w:val="0"/>
                <w:sz w:val="20"/>
                <w:szCs w:val="20"/>
              </w:rPr>
              <w:br/>
              <w:t>项目验收比较完整（2.25[含]-2.7分）；</w:t>
            </w:r>
            <w:r>
              <w:rPr>
                <w:rFonts w:ascii="宋体" w:hAnsi="宋体" w:cs="宋体" w:hint="eastAsia"/>
                <w:color w:val="000000"/>
                <w:kern w:val="0"/>
                <w:sz w:val="20"/>
                <w:szCs w:val="20"/>
              </w:rPr>
              <w:br/>
              <w:t>项目验收基本完整（1.8[含]-2.25分）；</w:t>
            </w:r>
            <w:r>
              <w:rPr>
                <w:rFonts w:ascii="宋体" w:hAnsi="宋体" w:cs="宋体" w:hint="eastAsia"/>
                <w:color w:val="000000"/>
                <w:kern w:val="0"/>
                <w:sz w:val="20"/>
                <w:szCs w:val="20"/>
              </w:rPr>
              <w:br/>
              <w:t>未进行项目验收（0-1.8分）。</w:t>
            </w:r>
          </w:p>
        </w:tc>
        <w:tc>
          <w:tcPr>
            <w:tcW w:w="470" w:type="pct"/>
            <w:tcBorders>
              <w:top w:val="nil"/>
              <w:left w:val="nil"/>
              <w:bottom w:val="single" w:sz="4" w:space="0" w:color="auto"/>
              <w:right w:val="single" w:sz="4" w:space="0" w:color="auto"/>
            </w:tcBorders>
            <w:shd w:val="clear" w:color="auto" w:fill="auto"/>
            <w:vAlign w:val="center"/>
          </w:tcPr>
          <w:p w14:paraId="58CA57F3"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2.60</w:t>
            </w:r>
          </w:p>
        </w:tc>
        <w:tc>
          <w:tcPr>
            <w:tcW w:w="547" w:type="pct"/>
            <w:tcBorders>
              <w:top w:val="nil"/>
              <w:left w:val="nil"/>
              <w:bottom w:val="single" w:sz="4" w:space="0" w:color="auto"/>
              <w:right w:val="single" w:sz="4" w:space="0" w:color="auto"/>
            </w:tcBorders>
            <w:shd w:val="clear" w:color="auto" w:fill="auto"/>
            <w:vAlign w:val="center"/>
          </w:tcPr>
          <w:p w14:paraId="659CE45C"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C11BFE" w14:paraId="15A17E72" w14:textId="77777777" w:rsidTr="000F1325">
        <w:trPr>
          <w:trHeight w:val="1160"/>
        </w:trPr>
        <w:tc>
          <w:tcPr>
            <w:tcW w:w="391" w:type="pct"/>
            <w:vMerge w:val="restart"/>
            <w:tcBorders>
              <w:top w:val="nil"/>
              <w:left w:val="single" w:sz="4" w:space="0" w:color="auto"/>
              <w:bottom w:val="single" w:sz="4" w:space="0" w:color="auto"/>
              <w:right w:val="single" w:sz="4" w:space="0" w:color="auto"/>
            </w:tcBorders>
            <w:shd w:val="clear" w:color="auto" w:fill="auto"/>
            <w:vAlign w:val="center"/>
          </w:tcPr>
          <w:p w14:paraId="235BD5C7"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项目产出（30分）</w:t>
            </w:r>
          </w:p>
        </w:tc>
        <w:tc>
          <w:tcPr>
            <w:tcW w:w="391" w:type="pct"/>
            <w:tcBorders>
              <w:top w:val="nil"/>
              <w:left w:val="nil"/>
              <w:bottom w:val="single" w:sz="4" w:space="0" w:color="auto"/>
              <w:right w:val="single" w:sz="4" w:space="0" w:color="auto"/>
            </w:tcBorders>
            <w:shd w:val="clear" w:color="auto" w:fill="auto"/>
            <w:vAlign w:val="center"/>
          </w:tcPr>
          <w:p w14:paraId="1524F562"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产出数量（10分）</w:t>
            </w:r>
          </w:p>
        </w:tc>
        <w:tc>
          <w:tcPr>
            <w:tcW w:w="390" w:type="pct"/>
            <w:tcBorders>
              <w:top w:val="nil"/>
              <w:left w:val="nil"/>
              <w:bottom w:val="single" w:sz="4" w:space="0" w:color="auto"/>
              <w:right w:val="single" w:sz="4" w:space="0" w:color="auto"/>
            </w:tcBorders>
            <w:shd w:val="clear" w:color="auto" w:fill="auto"/>
            <w:vAlign w:val="center"/>
          </w:tcPr>
          <w:p w14:paraId="45E66C05"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产出数量（10分）</w:t>
            </w:r>
          </w:p>
        </w:tc>
        <w:tc>
          <w:tcPr>
            <w:tcW w:w="547" w:type="pct"/>
            <w:tcBorders>
              <w:top w:val="nil"/>
              <w:left w:val="nil"/>
              <w:bottom w:val="single" w:sz="4" w:space="0" w:color="auto"/>
              <w:right w:val="single" w:sz="4" w:space="0" w:color="auto"/>
            </w:tcBorders>
            <w:shd w:val="clear" w:color="auto" w:fill="auto"/>
            <w:vAlign w:val="center"/>
          </w:tcPr>
          <w:p w14:paraId="33CAD73B"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项目产出数量是否达到项目申报产出数量指标</w:t>
            </w:r>
          </w:p>
        </w:tc>
        <w:tc>
          <w:tcPr>
            <w:tcW w:w="469" w:type="pct"/>
            <w:tcBorders>
              <w:top w:val="nil"/>
              <w:left w:val="nil"/>
              <w:bottom w:val="single" w:sz="4" w:space="0" w:color="auto"/>
              <w:right w:val="single" w:sz="4" w:space="0" w:color="auto"/>
            </w:tcBorders>
            <w:shd w:val="clear" w:color="auto" w:fill="auto"/>
            <w:vAlign w:val="center"/>
          </w:tcPr>
          <w:p w14:paraId="07AFBCFE"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10.00</w:t>
            </w:r>
          </w:p>
        </w:tc>
        <w:tc>
          <w:tcPr>
            <w:tcW w:w="1796" w:type="pct"/>
            <w:tcBorders>
              <w:top w:val="nil"/>
              <w:left w:val="nil"/>
              <w:bottom w:val="single" w:sz="4" w:space="0" w:color="auto"/>
              <w:right w:val="single" w:sz="4" w:space="0" w:color="auto"/>
            </w:tcBorders>
            <w:shd w:val="clear" w:color="auto" w:fill="auto"/>
            <w:vAlign w:val="center"/>
          </w:tcPr>
          <w:p w14:paraId="7BF2057B"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项目产出数量完全达到绩效目标（9[含]-10分）；</w:t>
            </w:r>
            <w:r>
              <w:rPr>
                <w:rFonts w:ascii="宋体" w:hAnsi="宋体" w:cs="宋体" w:hint="eastAsia"/>
                <w:color w:val="000000"/>
                <w:kern w:val="0"/>
                <w:sz w:val="20"/>
                <w:szCs w:val="20"/>
              </w:rPr>
              <w:br/>
              <w:t>项目产出数量达到绩效目标（7.5[含]-9分）；</w:t>
            </w:r>
            <w:r>
              <w:rPr>
                <w:rFonts w:ascii="宋体" w:hAnsi="宋体" w:cs="宋体" w:hint="eastAsia"/>
                <w:color w:val="000000"/>
                <w:kern w:val="0"/>
                <w:sz w:val="20"/>
                <w:szCs w:val="20"/>
              </w:rPr>
              <w:br/>
              <w:t>项目产出数量基本达到绩效目标（6[含]-7.5分）；</w:t>
            </w:r>
            <w:r>
              <w:rPr>
                <w:rFonts w:ascii="宋体" w:hAnsi="宋体" w:cs="宋体" w:hint="eastAsia"/>
                <w:color w:val="000000"/>
                <w:kern w:val="0"/>
                <w:sz w:val="20"/>
                <w:szCs w:val="20"/>
              </w:rPr>
              <w:br/>
              <w:t>项目产出数量没有达到绩效目标（0-6分）</w:t>
            </w:r>
          </w:p>
        </w:tc>
        <w:tc>
          <w:tcPr>
            <w:tcW w:w="470" w:type="pct"/>
            <w:tcBorders>
              <w:top w:val="nil"/>
              <w:left w:val="nil"/>
              <w:bottom w:val="single" w:sz="4" w:space="0" w:color="auto"/>
              <w:right w:val="single" w:sz="4" w:space="0" w:color="auto"/>
            </w:tcBorders>
            <w:shd w:val="clear" w:color="auto" w:fill="auto"/>
            <w:vAlign w:val="center"/>
          </w:tcPr>
          <w:p w14:paraId="0EC93C25"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8.10</w:t>
            </w:r>
          </w:p>
        </w:tc>
        <w:tc>
          <w:tcPr>
            <w:tcW w:w="547" w:type="pct"/>
            <w:tcBorders>
              <w:top w:val="nil"/>
              <w:left w:val="nil"/>
              <w:bottom w:val="single" w:sz="4" w:space="0" w:color="auto"/>
              <w:right w:val="single" w:sz="4" w:space="0" w:color="auto"/>
            </w:tcBorders>
            <w:shd w:val="clear" w:color="auto" w:fill="auto"/>
            <w:vAlign w:val="center"/>
          </w:tcPr>
          <w:p w14:paraId="5914FFAD"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资料反映不够充分</w:t>
            </w:r>
          </w:p>
        </w:tc>
      </w:tr>
      <w:tr w:rsidR="00C11BFE" w14:paraId="59897FD0" w14:textId="77777777" w:rsidTr="000F1325">
        <w:trPr>
          <w:trHeight w:val="1383"/>
        </w:trPr>
        <w:tc>
          <w:tcPr>
            <w:tcW w:w="391" w:type="pct"/>
            <w:vMerge/>
            <w:tcBorders>
              <w:top w:val="nil"/>
              <w:left w:val="single" w:sz="4" w:space="0" w:color="auto"/>
              <w:bottom w:val="single" w:sz="4" w:space="0" w:color="auto"/>
              <w:right w:val="single" w:sz="4" w:space="0" w:color="auto"/>
            </w:tcBorders>
            <w:vAlign w:val="center"/>
          </w:tcPr>
          <w:p w14:paraId="6F7C92C9" w14:textId="77777777" w:rsidR="00C11BFE" w:rsidRDefault="00C11BFE" w:rsidP="00DD5A26">
            <w:pPr>
              <w:widowControl/>
              <w:jc w:val="left"/>
              <w:rPr>
                <w:rFonts w:ascii="宋体" w:hAnsi="宋体" w:cs="宋体"/>
                <w:color w:val="000000"/>
                <w:kern w:val="0"/>
                <w:sz w:val="20"/>
                <w:szCs w:val="20"/>
              </w:rPr>
            </w:pPr>
          </w:p>
        </w:tc>
        <w:tc>
          <w:tcPr>
            <w:tcW w:w="391" w:type="pct"/>
            <w:vMerge w:val="restart"/>
            <w:tcBorders>
              <w:top w:val="nil"/>
              <w:left w:val="single" w:sz="4" w:space="0" w:color="auto"/>
              <w:bottom w:val="single" w:sz="4" w:space="0" w:color="auto"/>
              <w:right w:val="single" w:sz="4" w:space="0" w:color="auto"/>
            </w:tcBorders>
            <w:shd w:val="clear" w:color="auto" w:fill="auto"/>
            <w:vAlign w:val="center"/>
          </w:tcPr>
          <w:p w14:paraId="19180BC7"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产出质量（10分）</w:t>
            </w:r>
          </w:p>
        </w:tc>
        <w:tc>
          <w:tcPr>
            <w:tcW w:w="390" w:type="pct"/>
            <w:vMerge w:val="restart"/>
            <w:tcBorders>
              <w:top w:val="nil"/>
              <w:left w:val="single" w:sz="4" w:space="0" w:color="auto"/>
              <w:bottom w:val="single" w:sz="4" w:space="0" w:color="auto"/>
              <w:right w:val="single" w:sz="4" w:space="0" w:color="auto"/>
            </w:tcBorders>
            <w:shd w:val="clear" w:color="auto" w:fill="auto"/>
            <w:vAlign w:val="center"/>
          </w:tcPr>
          <w:p w14:paraId="4A88945A"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产出质量（10分）</w:t>
            </w:r>
          </w:p>
        </w:tc>
        <w:tc>
          <w:tcPr>
            <w:tcW w:w="547" w:type="pct"/>
            <w:tcBorders>
              <w:top w:val="nil"/>
              <w:left w:val="nil"/>
              <w:bottom w:val="single" w:sz="4" w:space="0" w:color="auto"/>
              <w:right w:val="single" w:sz="4" w:space="0" w:color="auto"/>
            </w:tcBorders>
            <w:shd w:val="clear" w:color="auto" w:fill="auto"/>
            <w:vAlign w:val="center"/>
          </w:tcPr>
          <w:p w14:paraId="74B03056"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预期目标完成的程度</w:t>
            </w:r>
          </w:p>
        </w:tc>
        <w:tc>
          <w:tcPr>
            <w:tcW w:w="469" w:type="pct"/>
            <w:tcBorders>
              <w:top w:val="nil"/>
              <w:left w:val="nil"/>
              <w:bottom w:val="single" w:sz="4" w:space="0" w:color="auto"/>
              <w:right w:val="single" w:sz="4" w:space="0" w:color="auto"/>
            </w:tcBorders>
            <w:shd w:val="clear" w:color="auto" w:fill="auto"/>
            <w:vAlign w:val="center"/>
          </w:tcPr>
          <w:p w14:paraId="263B45CF"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5.00</w:t>
            </w:r>
          </w:p>
        </w:tc>
        <w:tc>
          <w:tcPr>
            <w:tcW w:w="1796" w:type="pct"/>
            <w:tcBorders>
              <w:top w:val="nil"/>
              <w:left w:val="nil"/>
              <w:bottom w:val="single" w:sz="4" w:space="0" w:color="auto"/>
              <w:right w:val="single" w:sz="4" w:space="0" w:color="auto"/>
            </w:tcBorders>
            <w:shd w:val="clear" w:color="auto" w:fill="auto"/>
            <w:vAlign w:val="center"/>
          </w:tcPr>
          <w:p w14:paraId="4AF1E5B3"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项目预期目标完成完全达到绩效目标（4.5[含]-5分）；</w:t>
            </w:r>
            <w:r>
              <w:rPr>
                <w:rFonts w:ascii="宋体" w:hAnsi="宋体" w:cs="宋体" w:hint="eastAsia"/>
                <w:color w:val="000000"/>
                <w:kern w:val="0"/>
                <w:sz w:val="20"/>
                <w:szCs w:val="20"/>
              </w:rPr>
              <w:br/>
              <w:t>项目预期目标完成达到绩效目标（3.75[含]-4.5分）；</w:t>
            </w:r>
            <w:r>
              <w:rPr>
                <w:rFonts w:ascii="宋体" w:hAnsi="宋体" w:cs="宋体" w:hint="eastAsia"/>
                <w:color w:val="000000"/>
                <w:kern w:val="0"/>
                <w:sz w:val="20"/>
                <w:szCs w:val="20"/>
              </w:rPr>
              <w:br/>
              <w:t>项目预期目标完成基本达到绩效目标（3[含]-3.75分）；</w:t>
            </w:r>
            <w:r>
              <w:rPr>
                <w:rFonts w:ascii="宋体" w:hAnsi="宋体" w:cs="宋体" w:hint="eastAsia"/>
                <w:color w:val="000000"/>
                <w:kern w:val="0"/>
                <w:sz w:val="20"/>
                <w:szCs w:val="20"/>
              </w:rPr>
              <w:br/>
              <w:t>项目预期目标完成没有达到绩效目标（0-3分）。</w:t>
            </w:r>
          </w:p>
        </w:tc>
        <w:tc>
          <w:tcPr>
            <w:tcW w:w="470" w:type="pct"/>
            <w:tcBorders>
              <w:top w:val="nil"/>
              <w:left w:val="nil"/>
              <w:bottom w:val="single" w:sz="4" w:space="0" w:color="auto"/>
              <w:right w:val="single" w:sz="4" w:space="0" w:color="auto"/>
            </w:tcBorders>
            <w:shd w:val="clear" w:color="auto" w:fill="auto"/>
            <w:vAlign w:val="center"/>
          </w:tcPr>
          <w:p w14:paraId="3D05D327"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4.60</w:t>
            </w:r>
          </w:p>
        </w:tc>
        <w:tc>
          <w:tcPr>
            <w:tcW w:w="547" w:type="pct"/>
            <w:tcBorders>
              <w:top w:val="nil"/>
              <w:left w:val="nil"/>
              <w:bottom w:val="single" w:sz="4" w:space="0" w:color="auto"/>
              <w:right w:val="single" w:sz="4" w:space="0" w:color="auto"/>
            </w:tcBorders>
            <w:shd w:val="clear" w:color="auto" w:fill="auto"/>
            <w:vAlign w:val="center"/>
          </w:tcPr>
          <w:p w14:paraId="238251D1"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C11BFE" w14:paraId="3B855211" w14:textId="77777777" w:rsidTr="000F1325">
        <w:trPr>
          <w:trHeight w:val="1556"/>
        </w:trPr>
        <w:tc>
          <w:tcPr>
            <w:tcW w:w="391" w:type="pct"/>
            <w:vMerge/>
            <w:tcBorders>
              <w:top w:val="nil"/>
              <w:left w:val="single" w:sz="4" w:space="0" w:color="auto"/>
              <w:bottom w:val="single" w:sz="4" w:space="0" w:color="auto"/>
              <w:right w:val="single" w:sz="4" w:space="0" w:color="auto"/>
            </w:tcBorders>
            <w:vAlign w:val="center"/>
          </w:tcPr>
          <w:p w14:paraId="0AF933F2" w14:textId="77777777" w:rsidR="00C11BFE" w:rsidRDefault="00C11BFE" w:rsidP="00DD5A26">
            <w:pPr>
              <w:widowControl/>
              <w:jc w:val="left"/>
              <w:rPr>
                <w:rFonts w:ascii="宋体" w:hAnsi="宋体" w:cs="宋体"/>
                <w:color w:val="000000"/>
                <w:kern w:val="0"/>
                <w:sz w:val="20"/>
                <w:szCs w:val="20"/>
              </w:rPr>
            </w:pPr>
          </w:p>
        </w:tc>
        <w:tc>
          <w:tcPr>
            <w:tcW w:w="391" w:type="pct"/>
            <w:vMerge/>
            <w:tcBorders>
              <w:top w:val="nil"/>
              <w:left w:val="single" w:sz="4" w:space="0" w:color="auto"/>
              <w:bottom w:val="single" w:sz="4" w:space="0" w:color="auto"/>
              <w:right w:val="single" w:sz="4" w:space="0" w:color="auto"/>
            </w:tcBorders>
            <w:vAlign w:val="center"/>
          </w:tcPr>
          <w:p w14:paraId="154A752D" w14:textId="77777777" w:rsidR="00C11BFE" w:rsidRDefault="00C11BFE" w:rsidP="00DD5A26">
            <w:pPr>
              <w:widowControl/>
              <w:jc w:val="left"/>
              <w:rPr>
                <w:rFonts w:ascii="宋体" w:hAnsi="宋体" w:cs="宋体"/>
                <w:color w:val="000000"/>
                <w:kern w:val="0"/>
                <w:sz w:val="20"/>
                <w:szCs w:val="20"/>
              </w:rPr>
            </w:pPr>
          </w:p>
        </w:tc>
        <w:tc>
          <w:tcPr>
            <w:tcW w:w="390" w:type="pct"/>
            <w:vMerge/>
            <w:tcBorders>
              <w:top w:val="nil"/>
              <w:left w:val="single" w:sz="4" w:space="0" w:color="auto"/>
              <w:bottom w:val="single" w:sz="4" w:space="0" w:color="auto"/>
              <w:right w:val="single" w:sz="4" w:space="0" w:color="auto"/>
            </w:tcBorders>
            <w:vAlign w:val="center"/>
          </w:tcPr>
          <w:p w14:paraId="647E03E8" w14:textId="77777777" w:rsidR="00C11BFE" w:rsidRDefault="00C11BFE" w:rsidP="00DD5A26">
            <w:pPr>
              <w:widowControl/>
              <w:jc w:val="left"/>
              <w:rPr>
                <w:rFonts w:ascii="宋体" w:hAnsi="宋体" w:cs="宋体"/>
                <w:color w:val="000000"/>
                <w:kern w:val="0"/>
                <w:sz w:val="20"/>
                <w:szCs w:val="20"/>
              </w:rPr>
            </w:pPr>
          </w:p>
        </w:tc>
        <w:tc>
          <w:tcPr>
            <w:tcW w:w="547" w:type="pct"/>
            <w:tcBorders>
              <w:top w:val="nil"/>
              <w:left w:val="nil"/>
              <w:bottom w:val="single" w:sz="4" w:space="0" w:color="auto"/>
              <w:right w:val="single" w:sz="4" w:space="0" w:color="auto"/>
            </w:tcBorders>
            <w:shd w:val="clear" w:color="auto" w:fill="auto"/>
            <w:vAlign w:val="center"/>
          </w:tcPr>
          <w:p w14:paraId="5168BCD6"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预期目标完成的质量</w:t>
            </w:r>
          </w:p>
        </w:tc>
        <w:tc>
          <w:tcPr>
            <w:tcW w:w="469" w:type="pct"/>
            <w:tcBorders>
              <w:top w:val="nil"/>
              <w:left w:val="nil"/>
              <w:bottom w:val="single" w:sz="4" w:space="0" w:color="auto"/>
              <w:right w:val="single" w:sz="4" w:space="0" w:color="auto"/>
            </w:tcBorders>
            <w:shd w:val="clear" w:color="auto" w:fill="auto"/>
            <w:vAlign w:val="center"/>
          </w:tcPr>
          <w:p w14:paraId="3A214A9D"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5.00</w:t>
            </w:r>
          </w:p>
        </w:tc>
        <w:tc>
          <w:tcPr>
            <w:tcW w:w="1796" w:type="pct"/>
            <w:tcBorders>
              <w:top w:val="nil"/>
              <w:left w:val="nil"/>
              <w:bottom w:val="single" w:sz="4" w:space="0" w:color="auto"/>
              <w:right w:val="single" w:sz="4" w:space="0" w:color="auto"/>
            </w:tcBorders>
            <w:shd w:val="clear" w:color="auto" w:fill="auto"/>
            <w:vAlign w:val="center"/>
          </w:tcPr>
          <w:p w14:paraId="2A383FF4"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项目产出质量完全达到绩效目标（4.5[含]-5分）；</w:t>
            </w:r>
            <w:r>
              <w:rPr>
                <w:rFonts w:ascii="宋体" w:hAnsi="宋体" w:cs="宋体" w:hint="eastAsia"/>
                <w:color w:val="000000"/>
                <w:kern w:val="0"/>
                <w:sz w:val="20"/>
                <w:szCs w:val="20"/>
              </w:rPr>
              <w:br/>
              <w:t>项目产出质量达到绩效目标（3.75[含]-4.5分）；</w:t>
            </w:r>
            <w:r>
              <w:rPr>
                <w:rFonts w:ascii="宋体" w:hAnsi="宋体" w:cs="宋体" w:hint="eastAsia"/>
                <w:color w:val="000000"/>
                <w:kern w:val="0"/>
                <w:sz w:val="20"/>
                <w:szCs w:val="20"/>
              </w:rPr>
              <w:br/>
              <w:t>项目产出质量基本达到绩效目标（3[含]-3.75分）；</w:t>
            </w:r>
            <w:r>
              <w:rPr>
                <w:rFonts w:ascii="宋体" w:hAnsi="宋体" w:cs="宋体" w:hint="eastAsia"/>
                <w:color w:val="000000"/>
                <w:kern w:val="0"/>
                <w:sz w:val="20"/>
                <w:szCs w:val="20"/>
              </w:rPr>
              <w:br/>
              <w:t>项目产出质量没有达到绩效目标（0-3分）。</w:t>
            </w:r>
          </w:p>
        </w:tc>
        <w:tc>
          <w:tcPr>
            <w:tcW w:w="470" w:type="pct"/>
            <w:tcBorders>
              <w:top w:val="nil"/>
              <w:left w:val="nil"/>
              <w:bottom w:val="single" w:sz="4" w:space="0" w:color="auto"/>
              <w:right w:val="single" w:sz="4" w:space="0" w:color="auto"/>
            </w:tcBorders>
            <w:shd w:val="clear" w:color="auto" w:fill="auto"/>
            <w:vAlign w:val="center"/>
          </w:tcPr>
          <w:p w14:paraId="4AFA4217"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4.65</w:t>
            </w:r>
          </w:p>
        </w:tc>
        <w:tc>
          <w:tcPr>
            <w:tcW w:w="547" w:type="pct"/>
            <w:tcBorders>
              <w:top w:val="nil"/>
              <w:left w:val="nil"/>
              <w:bottom w:val="single" w:sz="4" w:space="0" w:color="auto"/>
              <w:right w:val="single" w:sz="4" w:space="0" w:color="auto"/>
            </w:tcBorders>
            <w:shd w:val="clear" w:color="auto" w:fill="auto"/>
            <w:vAlign w:val="center"/>
          </w:tcPr>
          <w:p w14:paraId="7DC64D02"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C11BFE" w14:paraId="2829A350" w14:textId="77777777" w:rsidTr="000F1325">
        <w:trPr>
          <w:trHeight w:val="1466"/>
        </w:trPr>
        <w:tc>
          <w:tcPr>
            <w:tcW w:w="391" w:type="pct"/>
            <w:vMerge/>
            <w:tcBorders>
              <w:top w:val="nil"/>
              <w:left w:val="single" w:sz="4" w:space="0" w:color="auto"/>
              <w:bottom w:val="single" w:sz="4" w:space="0" w:color="auto"/>
              <w:right w:val="single" w:sz="4" w:space="0" w:color="auto"/>
            </w:tcBorders>
            <w:vAlign w:val="center"/>
          </w:tcPr>
          <w:p w14:paraId="04AA3843" w14:textId="77777777" w:rsidR="00C11BFE" w:rsidRDefault="00C11BFE" w:rsidP="00DD5A26">
            <w:pPr>
              <w:widowControl/>
              <w:jc w:val="left"/>
              <w:rPr>
                <w:rFonts w:ascii="宋体" w:hAnsi="宋体" w:cs="宋体"/>
                <w:color w:val="000000"/>
                <w:kern w:val="0"/>
                <w:sz w:val="20"/>
                <w:szCs w:val="20"/>
              </w:rPr>
            </w:pPr>
          </w:p>
        </w:tc>
        <w:tc>
          <w:tcPr>
            <w:tcW w:w="391" w:type="pct"/>
            <w:tcBorders>
              <w:top w:val="nil"/>
              <w:left w:val="nil"/>
              <w:bottom w:val="single" w:sz="4" w:space="0" w:color="auto"/>
              <w:right w:val="single" w:sz="4" w:space="0" w:color="auto"/>
            </w:tcBorders>
            <w:shd w:val="clear" w:color="auto" w:fill="auto"/>
            <w:vAlign w:val="center"/>
          </w:tcPr>
          <w:p w14:paraId="113D0CE7"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产出时效（5分）</w:t>
            </w:r>
          </w:p>
        </w:tc>
        <w:tc>
          <w:tcPr>
            <w:tcW w:w="390" w:type="pct"/>
            <w:tcBorders>
              <w:top w:val="nil"/>
              <w:left w:val="nil"/>
              <w:bottom w:val="single" w:sz="4" w:space="0" w:color="auto"/>
              <w:right w:val="single" w:sz="4" w:space="0" w:color="auto"/>
            </w:tcBorders>
            <w:shd w:val="clear" w:color="auto" w:fill="auto"/>
            <w:vAlign w:val="center"/>
          </w:tcPr>
          <w:p w14:paraId="6E24B3FC"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完成及时性（5分）</w:t>
            </w:r>
          </w:p>
        </w:tc>
        <w:tc>
          <w:tcPr>
            <w:tcW w:w="547" w:type="pct"/>
            <w:tcBorders>
              <w:top w:val="nil"/>
              <w:left w:val="nil"/>
              <w:bottom w:val="single" w:sz="4" w:space="0" w:color="auto"/>
              <w:right w:val="single" w:sz="4" w:space="0" w:color="auto"/>
            </w:tcBorders>
            <w:shd w:val="clear" w:color="auto" w:fill="auto"/>
            <w:vAlign w:val="center"/>
          </w:tcPr>
          <w:p w14:paraId="1119C1FC"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项目按照时间节点完成相关工作</w:t>
            </w:r>
          </w:p>
        </w:tc>
        <w:tc>
          <w:tcPr>
            <w:tcW w:w="469" w:type="pct"/>
            <w:tcBorders>
              <w:top w:val="nil"/>
              <w:left w:val="nil"/>
              <w:bottom w:val="single" w:sz="4" w:space="0" w:color="auto"/>
              <w:right w:val="single" w:sz="4" w:space="0" w:color="auto"/>
            </w:tcBorders>
            <w:shd w:val="clear" w:color="auto" w:fill="auto"/>
            <w:vAlign w:val="center"/>
          </w:tcPr>
          <w:p w14:paraId="2433A8B4"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5.00</w:t>
            </w:r>
          </w:p>
        </w:tc>
        <w:tc>
          <w:tcPr>
            <w:tcW w:w="1796" w:type="pct"/>
            <w:tcBorders>
              <w:top w:val="nil"/>
              <w:left w:val="nil"/>
              <w:bottom w:val="single" w:sz="4" w:space="0" w:color="auto"/>
              <w:right w:val="single" w:sz="4" w:space="0" w:color="auto"/>
            </w:tcBorders>
            <w:shd w:val="clear" w:color="auto" w:fill="auto"/>
            <w:vAlign w:val="center"/>
          </w:tcPr>
          <w:p w14:paraId="6CDBD828"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项目产出时效完全达到绩效目标（4.5[含]-5分）；</w:t>
            </w:r>
            <w:r>
              <w:rPr>
                <w:rFonts w:ascii="宋体" w:hAnsi="宋体" w:cs="宋体" w:hint="eastAsia"/>
                <w:color w:val="000000"/>
                <w:kern w:val="0"/>
                <w:sz w:val="20"/>
                <w:szCs w:val="20"/>
              </w:rPr>
              <w:br/>
              <w:t>项目产出时效达到绩效目标（3.75[含]-4.5分）；</w:t>
            </w:r>
            <w:r>
              <w:rPr>
                <w:rFonts w:ascii="宋体" w:hAnsi="宋体" w:cs="宋体" w:hint="eastAsia"/>
                <w:color w:val="000000"/>
                <w:kern w:val="0"/>
                <w:sz w:val="20"/>
                <w:szCs w:val="20"/>
              </w:rPr>
              <w:br/>
              <w:t>项目产出时效基本达到绩效目标（3[含]-3.75分）；</w:t>
            </w:r>
            <w:r>
              <w:rPr>
                <w:rFonts w:ascii="宋体" w:hAnsi="宋体" w:cs="宋体" w:hint="eastAsia"/>
                <w:color w:val="000000"/>
                <w:kern w:val="0"/>
                <w:sz w:val="20"/>
                <w:szCs w:val="20"/>
              </w:rPr>
              <w:br/>
              <w:t xml:space="preserve">项目产出时效没有达到绩效目标（0-3分） 。    </w:t>
            </w:r>
          </w:p>
        </w:tc>
        <w:tc>
          <w:tcPr>
            <w:tcW w:w="470" w:type="pct"/>
            <w:tcBorders>
              <w:top w:val="nil"/>
              <w:left w:val="nil"/>
              <w:bottom w:val="single" w:sz="4" w:space="0" w:color="auto"/>
              <w:right w:val="single" w:sz="4" w:space="0" w:color="auto"/>
            </w:tcBorders>
            <w:shd w:val="clear" w:color="auto" w:fill="auto"/>
            <w:vAlign w:val="center"/>
          </w:tcPr>
          <w:p w14:paraId="49005D68"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4.71</w:t>
            </w:r>
          </w:p>
        </w:tc>
        <w:tc>
          <w:tcPr>
            <w:tcW w:w="547" w:type="pct"/>
            <w:tcBorders>
              <w:top w:val="nil"/>
              <w:left w:val="nil"/>
              <w:bottom w:val="single" w:sz="4" w:space="0" w:color="auto"/>
              <w:right w:val="single" w:sz="4" w:space="0" w:color="auto"/>
            </w:tcBorders>
            <w:shd w:val="clear" w:color="auto" w:fill="auto"/>
            <w:vAlign w:val="center"/>
          </w:tcPr>
          <w:p w14:paraId="2E0C47C2"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C11BFE" w14:paraId="08CC92FC" w14:textId="77777777" w:rsidTr="000F1325">
        <w:trPr>
          <w:trHeight w:val="1451"/>
        </w:trPr>
        <w:tc>
          <w:tcPr>
            <w:tcW w:w="391" w:type="pct"/>
            <w:vMerge/>
            <w:tcBorders>
              <w:top w:val="nil"/>
              <w:left w:val="single" w:sz="4" w:space="0" w:color="auto"/>
              <w:bottom w:val="single" w:sz="4" w:space="0" w:color="auto"/>
              <w:right w:val="single" w:sz="4" w:space="0" w:color="auto"/>
            </w:tcBorders>
            <w:vAlign w:val="center"/>
          </w:tcPr>
          <w:p w14:paraId="606AF2A0" w14:textId="77777777" w:rsidR="00C11BFE" w:rsidRDefault="00C11BFE" w:rsidP="00DD5A26">
            <w:pPr>
              <w:widowControl/>
              <w:jc w:val="left"/>
              <w:rPr>
                <w:rFonts w:ascii="宋体" w:hAnsi="宋体" w:cs="宋体"/>
                <w:color w:val="000000"/>
                <w:kern w:val="0"/>
                <w:sz w:val="20"/>
                <w:szCs w:val="20"/>
              </w:rPr>
            </w:pPr>
          </w:p>
        </w:tc>
        <w:tc>
          <w:tcPr>
            <w:tcW w:w="391" w:type="pct"/>
            <w:tcBorders>
              <w:top w:val="nil"/>
              <w:left w:val="nil"/>
              <w:bottom w:val="single" w:sz="4" w:space="0" w:color="auto"/>
              <w:right w:val="single" w:sz="4" w:space="0" w:color="auto"/>
            </w:tcBorders>
            <w:shd w:val="clear" w:color="auto" w:fill="auto"/>
            <w:vAlign w:val="center"/>
          </w:tcPr>
          <w:p w14:paraId="01EAD7AB"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产出成本（5分）</w:t>
            </w:r>
          </w:p>
        </w:tc>
        <w:tc>
          <w:tcPr>
            <w:tcW w:w="390" w:type="pct"/>
            <w:tcBorders>
              <w:top w:val="nil"/>
              <w:left w:val="nil"/>
              <w:bottom w:val="single" w:sz="4" w:space="0" w:color="auto"/>
              <w:right w:val="single" w:sz="4" w:space="0" w:color="auto"/>
            </w:tcBorders>
            <w:shd w:val="clear" w:color="auto" w:fill="auto"/>
            <w:vAlign w:val="center"/>
          </w:tcPr>
          <w:p w14:paraId="2960720C"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成本节约率（5分）</w:t>
            </w:r>
          </w:p>
        </w:tc>
        <w:tc>
          <w:tcPr>
            <w:tcW w:w="547" w:type="pct"/>
            <w:tcBorders>
              <w:top w:val="nil"/>
              <w:left w:val="nil"/>
              <w:bottom w:val="single" w:sz="4" w:space="0" w:color="auto"/>
              <w:right w:val="single" w:sz="4" w:space="0" w:color="auto"/>
            </w:tcBorders>
            <w:shd w:val="clear" w:color="auto" w:fill="auto"/>
            <w:vAlign w:val="center"/>
          </w:tcPr>
          <w:p w14:paraId="7403EF4E"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预算控制是否符合成本效益原则</w:t>
            </w:r>
          </w:p>
        </w:tc>
        <w:tc>
          <w:tcPr>
            <w:tcW w:w="469" w:type="pct"/>
            <w:tcBorders>
              <w:top w:val="nil"/>
              <w:left w:val="nil"/>
              <w:bottom w:val="single" w:sz="4" w:space="0" w:color="auto"/>
              <w:right w:val="single" w:sz="4" w:space="0" w:color="auto"/>
            </w:tcBorders>
            <w:shd w:val="clear" w:color="auto" w:fill="auto"/>
            <w:vAlign w:val="center"/>
          </w:tcPr>
          <w:p w14:paraId="560075FA"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5.00</w:t>
            </w:r>
          </w:p>
        </w:tc>
        <w:tc>
          <w:tcPr>
            <w:tcW w:w="1796" w:type="pct"/>
            <w:tcBorders>
              <w:top w:val="nil"/>
              <w:left w:val="nil"/>
              <w:bottom w:val="single" w:sz="4" w:space="0" w:color="auto"/>
              <w:right w:val="single" w:sz="4" w:space="0" w:color="auto"/>
            </w:tcBorders>
            <w:shd w:val="clear" w:color="auto" w:fill="auto"/>
            <w:vAlign w:val="center"/>
          </w:tcPr>
          <w:p w14:paraId="6ABACE5C"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项目产出成本完全达到绩效目标（4.5[含]-5分）；</w:t>
            </w:r>
            <w:r>
              <w:rPr>
                <w:rFonts w:ascii="宋体" w:hAnsi="宋体" w:cs="宋体" w:hint="eastAsia"/>
                <w:color w:val="000000"/>
                <w:kern w:val="0"/>
                <w:sz w:val="20"/>
                <w:szCs w:val="20"/>
              </w:rPr>
              <w:br/>
              <w:t>项目产出成本达到绩效目标（3.75[含]-4.5分）；</w:t>
            </w:r>
            <w:r>
              <w:rPr>
                <w:rFonts w:ascii="宋体" w:hAnsi="宋体" w:cs="宋体" w:hint="eastAsia"/>
                <w:color w:val="000000"/>
                <w:kern w:val="0"/>
                <w:sz w:val="20"/>
                <w:szCs w:val="20"/>
              </w:rPr>
              <w:br/>
              <w:t>项目产出成本基本达到绩效目标（3[含]-3.75分）；</w:t>
            </w:r>
            <w:r>
              <w:rPr>
                <w:rFonts w:ascii="宋体" w:hAnsi="宋体" w:cs="宋体" w:hint="eastAsia"/>
                <w:color w:val="000000"/>
                <w:kern w:val="0"/>
                <w:sz w:val="20"/>
                <w:szCs w:val="20"/>
              </w:rPr>
              <w:br/>
              <w:t>项目产出成本没有达到绩效目标（0-3分）。</w:t>
            </w:r>
          </w:p>
        </w:tc>
        <w:tc>
          <w:tcPr>
            <w:tcW w:w="470" w:type="pct"/>
            <w:tcBorders>
              <w:top w:val="nil"/>
              <w:left w:val="nil"/>
              <w:bottom w:val="single" w:sz="4" w:space="0" w:color="auto"/>
              <w:right w:val="single" w:sz="4" w:space="0" w:color="auto"/>
            </w:tcBorders>
            <w:shd w:val="clear" w:color="auto" w:fill="auto"/>
            <w:vAlign w:val="center"/>
          </w:tcPr>
          <w:p w14:paraId="1B8B97C2"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4.62</w:t>
            </w:r>
          </w:p>
        </w:tc>
        <w:tc>
          <w:tcPr>
            <w:tcW w:w="547" w:type="pct"/>
            <w:tcBorders>
              <w:top w:val="nil"/>
              <w:left w:val="nil"/>
              <w:bottom w:val="single" w:sz="4" w:space="0" w:color="auto"/>
              <w:right w:val="single" w:sz="4" w:space="0" w:color="auto"/>
            </w:tcBorders>
            <w:shd w:val="clear" w:color="auto" w:fill="auto"/>
            <w:vAlign w:val="center"/>
          </w:tcPr>
          <w:p w14:paraId="5549BC60"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C11BFE" w14:paraId="43EA0B09" w14:textId="77777777" w:rsidTr="000F1325">
        <w:trPr>
          <w:trHeight w:val="2241"/>
        </w:trPr>
        <w:tc>
          <w:tcPr>
            <w:tcW w:w="391" w:type="pct"/>
            <w:vMerge w:val="restart"/>
            <w:tcBorders>
              <w:top w:val="nil"/>
              <w:left w:val="single" w:sz="4" w:space="0" w:color="auto"/>
              <w:bottom w:val="single" w:sz="4" w:space="0" w:color="auto"/>
              <w:right w:val="single" w:sz="4" w:space="0" w:color="auto"/>
            </w:tcBorders>
            <w:shd w:val="clear" w:color="auto" w:fill="auto"/>
            <w:vAlign w:val="center"/>
          </w:tcPr>
          <w:p w14:paraId="2B2F7470"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项目效益（30分）</w:t>
            </w:r>
          </w:p>
        </w:tc>
        <w:tc>
          <w:tcPr>
            <w:tcW w:w="391" w:type="pct"/>
            <w:vMerge w:val="restart"/>
            <w:tcBorders>
              <w:top w:val="nil"/>
              <w:left w:val="single" w:sz="4" w:space="0" w:color="auto"/>
              <w:bottom w:val="single" w:sz="4" w:space="0" w:color="auto"/>
              <w:right w:val="single" w:sz="4" w:space="0" w:color="auto"/>
            </w:tcBorders>
            <w:shd w:val="clear" w:color="auto" w:fill="auto"/>
            <w:vAlign w:val="center"/>
          </w:tcPr>
          <w:p w14:paraId="5692AA94"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项目效益（30分）</w:t>
            </w:r>
          </w:p>
        </w:tc>
        <w:tc>
          <w:tcPr>
            <w:tcW w:w="390" w:type="pct"/>
            <w:vMerge w:val="restart"/>
            <w:tcBorders>
              <w:top w:val="nil"/>
              <w:left w:val="nil"/>
              <w:right w:val="single" w:sz="4" w:space="0" w:color="auto"/>
            </w:tcBorders>
            <w:shd w:val="clear" w:color="auto" w:fill="auto"/>
            <w:vAlign w:val="center"/>
          </w:tcPr>
          <w:p w14:paraId="53A6CAF4"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实施效益（20分）</w:t>
            </w:r>
          </w:p>
        </w:tc>
        <w:tc>
          <w:tcPr>
            <w:tcW w:w="547" w:type="pct"/>
            <w:tcBorders>
              <w:top w:val="nil"/>
              <w:left w:val="nil"/>
              <w:bottom w:val="single" w:sz="4" w:space="0" w:color="auto"/>
              <w:right w:val="single" w:sz="4" w:space="0" w:color="auto"/>
            </w:tcBorders>
            <w:shd w:val="clear" w:color="auto" w:fill="auto"/>
            <w:vAlign w:val="center"/>
          </w:tcPr>
          <w:p w14:paraId="40C4CEA7"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针对馆藏文物现状及馆藏缺项文物情况，征集符合我馆入</w:t>
            </w:r>
            <w:proofErr w:type="gramStart"/>
            <w:r>
              <w:rPr>
                <w:rFonts w:ascii="宋体" w:hAnsi="宋体" w:cs="宋体" w:hint="eastAsia"/>
                <w:color w:val="000000"/>
                <w:kern w:val="0"/>
                <w:sz w:val="20"/>
                <w:szCs w:val="20"/>
              </w:rPr>
              <w:t>藏标准</w:t>
            </w:r>
            <w:proofErr w:type="gramEnd"/>
            <w:r>
              <w:rPr>
                <w:rFonts w:ascii="宋体" w:hAnsi="宋体" w:cs="宋体" w:hint="eastAsia"/>
                <w:color w:val="000000"/>
                <w:kern w:val="0"/>
                <w:sz w:val="20"/>
                <w:szCs w:val="20"/>
              </w:rPr>
              <w:t>的文物，丰富我馆馆藏。</w:t>
            </w:r>
          </w:p>
        </w:tc>
        <w:tc>
          <w:tcPr>
            <w:tcW w:w="469" w:type="pct"/>
            <w:tcBorders>
              <w:top w:val="nil"/>
              <w:left w:val="nil"/>
              <w:bottom w:val="single" w:sz="4" w:space="0" w:color="auto"/>
              <w:right w:val="single" w:sz="4" w:space="0" w:color="auto"/>
            </w:tcBorders>
            <w:shd w:val="clear" w:color="auto" w:fill="auto"/>
            <w:vAlign w:val="center"/>
          </w:tcPr>
          <w:p w14:paraId="5938B89B"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10.00</w:t>
            </w:r>
          </w:p>
        </w:tc>
        <w:tc>
          <w:tcPr>
            <w:tcW w:w="1796" w:type="pct"/>
            <w:tcBorders>
              <w:top w:val="nil"/>
              <w:left w:val="nil"/>
              <w:bottom w:val="single" w:sz="4" w:space="0" w:color="auto"/>
              <w:right w:val="single" w:sz="4" w:space="0" w:color="auto"/>
            </w:tcBorders>
            <w:shd w:val="clear" w:color="auto" w:fill="auto"/>
            <w:vAlign w:val="center"/>
          </w:tcPr>
          <w:p w14:paraId="700EE746"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作用明显（9分[含]-10分）；</w:t>
            </w:r>
            <w:r>
              <w:rPr>
                <w:rFonts w:ascii="宋体" w:hAnsi="宋体" w:cs="宋体" w:hint="eastAsia"/>
                <w:color w:val="000000"/>
                <w:kern w:val="0"/>
                <w:sz w:val="20"/>
                <w:szCs w:val="20"/>
              </w:rPr>
              <w:br/>
              <w:t>作用比较明显（7.5分[含]-9分）；</w:t>
            </w:r>
            <w:r>
              <w:rPr>
                <w:rFonts w:ascii="宋体" w:hAnsi="宋体" w:cs="宋体" w:hint="eastAsia"/>
                <w:color w:val="000000"/>
                <w:kern w:val="0"/>
                <w:sz w:val="20"/>
                <w:szCs w:val="20"/>
              </w:rPr>
              <w:br/>
              <w:t>作用基本明显（6分[含]-7.5分）；</w:t>
            </w:r>
            <w:r>
              <w:rPr>
                <w:rFonts w:ascii="宋体" w:hAnsi="宋体" w:cs="宋体" w:hint="eastAsia"/>
                <w:color w:val="000000"/>
                <w:kern w:val="0"/>
                <w:sz w:val="20"/>
                <w:szCs w:val="20"/>
              </w:rPr>
              <w:br/>
              <w:t>作用不太明显（0分[含]-6分）。</w:t>
            </w:r>
          </w:p>
        </w:tc>
        <w:tc>
          <w:tcPr>
            <w:tcW w:w="470" w:type="pct"/>
            <w:tcBorders>
              <w:top w:val="nil"/>
              <w:left w:val="nil"/>
              <w:bottom w:val="single" w:sz="4" w:space="0" w:color="auto"/>
              <w:right w:val="single" w:sz="4" w:space="0" w:color="auto"/>
            </w:tcBorders>
            <w:shd w:val="clear" w:color="auto" w:fill="auto"/>
            <w:vAlign w:val="center"/>
          </w:tcPr>
          <w:p w14:paraId="06CB67E3"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8.76</w:t>
            </w:r>
          </w:p>
        </w:tc>
        <w:tc>
          <w:tcPr>
            <w:tcW w:w="547" w:type="pct"/>
            <w:tcBorders>
              <w:top w:val="nil"/>
              <w:left w:val="nil"/>
              <w:bottom w:val="single" w:sz="4" w:space="0" w:color="auto"/>
              <w:right w:val="single" w:sz="4" w:space="0" w:color="auto"/>
            </w:tcBorders>
            <w:shd w:val="clear" w:color="auto" w:fill="auto"/>
            <w:vAlign w:val="center"/>
          </w:tcPr>
          <w:p w14:paraId="445D21E4"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资料反映不够充分</w:t>
            </w:r>
          </w:p>
        </w:tc>
      </w:tr>
      <w:tr w:rsidR="00C11BFE" w14:paraId="0CD75863" w14:textId="77777777" w:rsidTr="000F1325">
        <w:trPr>
          <w:trHeight w:val="2262"/>
        </w:trPr>
        <w:tc>
          <w:tcPr>
            <w:tcW w:w="391" w:type="pct"/>
            <w:vMerge/>
            <w:tcBorders>
              <w:top w:val="nil"/>
              <w:left w:val="single" w:sz="4" w:space="0" w:color="auto"/>
              <w:bottom w:val="single" w:sz="4" w:space="0" w:color="auto"/>
              <w:right w:val="single" w:sz="4" w:space="0" w:color="auto"/>
            </w:tcBorders>
            <w:vAlign w:val="center"/>
          </w:tcPr>
          <w:p w14:paraId="04B61EA2" w14:textId="77777777" w:rsidR="00C11BFE" w:rsidRDefault="00C11BFE" w:rsidP="00DD5A26">
            <w:pPr>
              <w:widowControl/>
              <w:jc w:val="left"/>
              <w:rPr>
                <w:rFonts w:ascii="宋体" w:hAnsi="宋体" w:cs="宋体"/>
                <w:color w:val="000000"/>
                <w:kern w:val="0"/>
                <w:sz w:val="20"/>
                <w:szCs w:val="20"/>
              </w:rPr>
            </w:pPr>
          </w:p>
        </w:tc>
        <w:tc>
          <w:tcPr>
            <w:tcW w:w="391" w:type="pct"/>
            <w:vMerge/>
            <w:tcBorders>
              <w:top w:val="nil"/>
              <w:left w:val="single" w:sz="4" w:space="0" w:color="auto"/>
              <w:bottom w:val="single" w:sz="4" w:space="0" w:color="auto"/>
              <w:right w:val="single" w:sz="4" w:space="0" w:color="auto"/>
            </w:tcBorders>
            <w:vAlign w:val="center"/>
          </w:tcPr>
          <w:p w14:paraId="59C1CF78" w14:textId="77777777" w:rsidR="00C11BFE" w:rsidRDefault="00C11BFE" w:rsidP="00DD5A26">
            <w:pPr>
              <w:widowControl/>
              <w:jc w:val="left"/>
              <w:rPr>
                <w:rFonts w:ascii="宋体" w:hAnsi="宋体" w:cs="宋体"/>
                <w:color w:val="000000"/>
                <w:kern w:val="0"/>
                <w:sz w:val="20"/>
                <w:szCs w:val="20"/>
              </w:rPr>
            </w:pPr>
          </w:p>
        </w:tc>
        <w:tc>
          <w:tcPr>
            <w:tcW w:w="390" w:type="pct"/>
            <w:vMerge/>
            <w:tcBorders>
              <w:left w:val="nil"/>
              <w:bottom w:val="single" w:sz="4" w:space="0" w:color="auto"/>
              <w:right w:val="single" w:sz="4" w:space="0" w:color="auto"/>
            </w:tcBorders>
            <w:shd w:val="clear" w:color="auto" w:fill="auto"/>
            <w:vAlign w:val="center"/>
          </w:tcPr>
          <w:p w14:paraId="7B410548" w14:textId="77777777" w:rsidR="00C11BFE" w:rsidRDefault="00C11BFE" w:rsidP="00DD5A26">
            <w:pPr>
              <w:widowControl/>
              <w:jc w:val="center"/>
              <w:rPr>
                <w:rFonts w:ascii="宋体" w:hAnsi="宋体" w:cs="宋体"/>
                <w:color w:val="000000"/>
                <w:kern w:val="0"/>
                <w:sz w:val="20"/>
                <w:szCs w:val="20"/>
              </w:rPr>
            </w:pPr>
          </w:p>
        </w:tc>
        <w:tc>
          <w:tcPr>
            <w:tcW w:w="547" w:type="pct"/>
            <w:tcBorders>
              <w:top w:val="nil"/>
              <w:left w:val="nil"/>
              <w:bottom w:val="single" w:sz="4" w:space="0" w:color="auto"/>
              <w:right w:val="single" w:sz="4" w:space="0" w:color="auto"/>
            </w:tcBorders>
            <w:shd w:val="clear" w:color="auto" w:fill="auto"/>
            <w:vAlign w:val="center"/>
          </w:tcPr>
          <w:p w14:paraId="0874A16E"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满足“为新中国奠基——中共中央在香山”基本陈列定期更换展</w:t>
            </w:r>
            <w:proofErr w:type="gramStart"/>
            <w:r>
              <w:rPr>
                <w:rFonts w:ascii="宋体" w:hAnsi="宋体" w:cs="宋体" w:hint="eastAsia"/>
                <w:color w:val="000000"/>
                <w:kern w:val="0"/>
                <w:sz w:val="20"/>
                <w:szCs w:val="20"/>
              </w:rPr>
              <w:t>陈内容</w:t>
            </w:r>
            <w:proofErr w:type="gramEnd"/>
            <w:r>
              <w:rPr>
                <w:rFonts w:ascii="宋体" w:hAnsi="宋体" w:cs="宋体" w:hint="eastAsia"/>
                <w:color w:val="000000"/>
                <w:kern w:val="0"/>
                <w:sz w:val="20"/>
                <w:szCs w:val="20"/>
              </w:rPr>
              <w:t>及专题展览文物及复仿制需求。</w:t>
            </w:r>
          </w:p>
        </w:tc>
        <w:tc>
          <w:tcPr>
            <w:tcW w:w="469" w:type="pct"/>
            <w:tcBorders>
              <w:top w:val="nil"/>
              <w:left w:val="nil"/>
              <w:bottom w:val="single" w:sz="4" w:space="0" w:color="auto"/>
              <w:right w:val="single" w:sz="4" w:space="0" w:color="auto"/>
            </w:tcBorders>
            <w:shd w:val="clear" w:color="auto" w:fill="auto"/>
            <w:vAlign w:val="center"/>
          </w:tcPr>
          <w:p w14:paraId="7D61BF9D"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10.00</w:t>
            </w:r>
          </w:p>
        </w:tc>
        <w:tc>
          <w:tcPr>
            <w:tcW w:w="1796" w:type="pct"/>
            <w:tcBorders>
              <w:top w:val="nil"/>
              <w:left w:val="nil"/>
              <w:bottom w:val="single" w:sz="4" w:space="0" w:color="auto"/>
              <w:right w:val="single" w:sz="4" w:space="0" w:color="auto"/>
            </w:tcBorders>
            <w:shd w:val="clear" w:color="auto" w:fill="auto"/>
            <w:vAlign w:val="center"/>
          </w:tcPr>
          <w:p w14:paraId="2A00F541"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作用明显（9分[含]-10分）；</w:t>
            </w:r>
            <w:r>
              <w:rPr>
                <w:rFonts w:ascii="宋体" w:hAnsi="宋体" w:cs="宋体" w:hint="eastAsia"/>
                <w:color w:val="000000"/>
                <w:kern w:val="0"/>
                <w:sz w:val="20"/>
                <w:szCs w:val="20"/>
              </w:rPr>
              <w:br/>
              <w:t>作用比较明显（7.5分[含]-9分）；</w:t>
            </w:r>
            <w:r>
              <w:rPr>
                <w:rFonts w:ascii="宋体" w:hAnsi="宋体" w:cs="宋体" w:hint="eastAsia"/>
                <w:color w:val="000000"/>
                <w:kern w:val="0"/>
                <w:sz w:val="20"/>
                <w:szCs w:val="20"/>
              </w:rPr>
              <w:br/>
              <w:t>作用基本明显（6分[含]-7.5分）；</w:t>
            </w:r>
            <w:r>
              <w:rPr>
                <w:rFonts w:ascii="宋体" w:hAnsi="宋体" w:cs="宋体" w:hint="eastAsia"/>
                <w:color w:val="000000"/>
                <w:kern w:val="0"/>
                <w:sz w:val="20"/>
                <w:szCs w:val="20"/>
              </w:rPr>
              <w:br/>
              <w:t>作用不太明显（0分[含]-6分）。</w:t>
            </w:r>
          </w:p>
        </w:tc>
        <w:tc>
          <w:tcPr>
            <w:tcW w:w="470" w:type="pct"/>
            <w:tcBorders>
              <w:top w:val="nil"/>
              <w:left w:val="nil"/>
              <w:bottom w:val="single" w:sz="4" w:space="0" w:color="auto"/>
              <w:right w:val="single" w:sz="4" w:space="0" w:color="auto"/>
            </w:tcBorders>
            <w:shd w:val="clear" w:color="auto" w:fill="auto"/>
            <w:vAlign w:val="center"/>
          </w:tcPr>
          <w:p w14:paraId="01CD84FA"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8.88</w:t>
            </w:r>
          </w:p>
        </w:tc>
        <w:tc>
          <w:tcPr>
            <w:tcW w:w="547" w:type="pct"/>
            <w:tcBorders>
              <w:top w:val="nil"/>
              <w:left w:val="nil"/>
              <w:bottom w:val="single" w:sz="4" w:space="0" w:color="auto"/>
              <w:right w:val="single" w:sz="4" w:space="0" w:color="auto"/>
            </w:tcBorders>
            <w:shd w:val="clear" w:color="auto" w:fill="auto"/>
            <w:vAlign w:val="center"/>
          </w:tcPr>
          <w:p w14:paraId="44730D70"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资料反映不够充分</w:t>
            </w:r>
          </w:p>
        </w:tc>
      </w:tr>
      <w:tr w:rsidR="00C11BFE" w14:paraId="3B95EFA7" w14:textId="77777777" w:rsidTr="000F1325">
        <w:trPr>
          <w:trHeight w:val="1364"/>
        </w:trPr>
        <w:tc>
          <w:tcPr>
            <w:tcW w:w="391" w:type="pct"/>
            <w:vMerge/>
            <w:tcBorders>
              <w:top w:val="nil"/>
              <w:left w:val="single" w:sz="4" w:space="0" w:color="auto"/>
              <w:bottom w:val="single" w:sz="4" w:space="0" w:color="auto"/>
              <w:right w:val="single" w:sz="4" w:space="0" w:color="auto"/>
            </w:tcBorders>
            <w:vAlign w:val="center"/>
          </w:tcPr>
          <w:p w14:paraId="3C667826" w14:textId="77777777" w:rsidR="00C11BFE" w:rsidRDefault="00C11BFE" w:rsidP="00DD5A26">
            <w:pPr>
              <w:widowControl/>
              <w:jc w:val="left"/>
              <w:rPr>
                <w:rFonts w:ascii="宋体" w:hAnsi="宋体" w:cs="宋体"/>
                <w:color w:val="000000"/>
                <w:kern w:val="0"/>
                <w:sz w:val="20"/>
                <w:szCs w:val="20"/>
              </w:rPr>
            </w:pPr>
          </w:p>
        </w:tc>
        <w:tc>
          <w:tcPr>
            <w:tcW w:w="391" w:type="pct"/>
            <w:vMerge/>
            <w:tcBorders>
              <w:top w:val="nil"/>
              <w:left w:val="single" w:sz="4" w:space="0" w:color="auto"/>
              <w:bottom w:val="single" w:sz="4" w:space="0" w:color="auto"/>
              <w:right w:val="single" w:sz="4" w:space="0" w:color="auto"/>
            </w:tcBorders>
            <w:vAlign w:val="center"/>
          </w:tcPr>
          <w:p w14:paraId="421C2DC2" w14:textId="77777777" w:rsidR="00C11BFE" w:rsidRDefault="00C11BFE" w:rsidP="00DD5A26">
            <w:pPr>
              <w:widowControl/>
              <w:jc w:val="left"/>
              <w:rPr>
                <w:rFonts w:ascii="宋体" w:hAnsi="宋体" w:cs="宋体"/>
                <w:color w:val="000000"/>
                <w:kern w:val="0"/>
                <w:sz w:val="20"/>
                <w:szCs w:val="20"/>
              </w:rPr>
            </w:pPr>
          </w:p>
        </w:tc>
        <w:tc>
          <w:tcPr>
            <w:tcW w:w="390" w:type="pct"/>
            <w:tcBorders>
              <w:top w:val="nil"/>
              <w:left w:val="nil"/>
              <w:bottom w:val="single" w:sz="4" w:space="0" w:color="auto"/>
              <w:right w:val="single" w:sz="4" w:space="0" w:color="auto"/>
            </w:tcBorders>
            <w:shd w:val="clear" w:color="auto" w:fill="auto"/>
            <w:vAlign w:val="center"/>
          </w:tcPr>
          <w:p w14:paraId="4E145127"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服务对象满意度           </w:t>
            </w:r>
            <w:r>
              <w:rPr>
                <w:rFonts w:ascii="宋体" w:hAnsi="宋体" w:cs="宋体" w:hint="eastAsia"/>
                <w:color w:val="000000"/>
                <w:kern w:val="0"/>
                <w:sz w:val="20"/>
                <w:szCs w:val="20"/>
              </w:rPr>
              <w:lastRenderedPageBreak/>
              <w:t>（10分）</w:t>
            </w:r>
          </w:p>
        </w:tc>
        <w:tc>
          <w:tcPr>
            <w:tcW w:w="547" w:type="pct"/>
            <w:tcBorders>
              <w:top w:val="nil"/>
              <w:left w:val="nil"/>
              <w:bottom w:val="single" w:sz="4" w:space="0" w:color="auto"/>
              <w:right w:val="single" w:sz="4" w:space="0" w:color="auto"/>
            </w:tcBorders>
            <w:shd w:val="clear" w:color="auto" w:fill="auto"/>
            <w:vAlign w:val="center"/>
          </w:tcPr>
          <w:p w14:paraId="7C7A31A9"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lastRenderedPageBreak/>
              <w:t>服务对象满意度</w:t>
            </w:r>
          </w:p>
        </w:tc>
        <w:tc>
          <w:tcPr>
            <w:tcW w:w="469" w:type="pct"/>
            <w:tcBorders>
              <w:top w:val="nil"/>
              <w:left w:val="nil"/>
              <w:bottom w:val="single" w:sz="4" w:space="0" w:color="auto"/>
              <w:right w:val="single" w:sz="4" w:space="0" w:color="auto"/>
            </w:tcBorders>
            <w:shd w:val="clear" w:color="auto" w:fill="auto"/>
            <w:vAlign w:val="center"/>
          </w:tcPr>
          <w:p w14:paraId="76D02131"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10.00</w:t>
            </w:r>
          </w:p>
        </w:tc>
        <w:tc>
          <w:tcPr>
            <w:tcW w:w="1796" w:type="pct"/>
            <w:tcBorders>
              <w:top w:val="nil"/>
              <w:left w:val="nil"/>
              <w:bottom w:val="single" w:sz="4" w:space="0" w:color="auto"/>
              <w:right w:val="single" w:sz="4" w:space="0" w:color="auto"/>
            </w:tcBorders>
            <w:shd w:val="clear" w:color="auto" w:fill="auto"/>
            <w:vAlign w:val="center"/>
          </w:tcPr>
          <w:p w14:paraId="29965E4C"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服务对象明确，满意度高（9分[含]-10分）；</w:t>
            </w:r>
            <w:r>
              <w:rPr>
                <w:rFonts w:ascii="宋体" w:hAnsi="宋体" w:cs="宋体" w:hint="eastAsia"/>
                <w:color w:val="000000"/>
                <w:kern w:val="0"/>
                <w:sz w:val="20"/>
                <w:szCs w:val="20"/>
              </w:rPr>
              <w:br/>
              <w:t>服务对象比较明确，满意度较高（7.5分[含]-9分）；</w:t>
            </w:r>
            <w:r>
              <w:rPr>
                <w:rFonts w:ascii="宋体" w:hAnsi="宋体" w:cs="宋体" w:hint="eastAsia"/>
                <w:color w:val="000000"/>
                <w:kern w:val="0"/>
                <w:sz w:val="20"/>
                <w:szCs w:val="20"/>
              </w:rPr>
              <w:br/>
            </w:r>
            <w:r>
              <w:rPr>
                <w:rFonts w:ascii="宋体" w:hAnsi="宋体" w:cs="宋体" w:hint="eastAsia"/>
                <w:color w:val="000000"/>
                <w:kern w:val="0"/>
                <w:sz w:val="20"/>
                <w:szCs w:val="20"/>
              </w:rPr>
              <w:lastRenderedPageBreak/>
              <w:t xml:space="preserve">服务对象基本明确，满意度一般（6分[含]-7.5分）；                                                         服务对象不够明确，满意度较低（0分[含]-6分）。   </w:t>
            </w:r>
          </w:p>
        </w:tc>
        <w:tc>
          <w:tcPr>
            <w:tcW w:w="470" w:type="pct"/>
            <w:tcBorders>
              <w:top w:val="nil"/>
              <w:left w:val="nil"/>
              <w:bottom w:val="single" w:sz="4" w:space="0" w:color="auto"/>
              <w:right w:val="single" w:sz="4" w:space="0" w:color="auto"/>
            </w:tcBorders>
            <w:shd w:val="clear" w:color="auto" w:fill="auto"/>
            <w:vAlign w:val="center"/>
          </w:tcPr>
          <w:p w14:paraId="08AC4914"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lastRenderedPageBreak/>
              <w:t>8.68</w:t>
            </w:r>
          </w:p>
        </w:tc>
        <w:tc>
          <w:tcPr>
            <w:tcW w:w="547" w:type="pct"/>
            <w:tcBorders>
              <w:top w:val="nil"/>
              <w:left w:val="nil"/>
              <w:bottom w:val="single" w:sz="4" w:space="0" w:color="auto"/>
              <w:right w:val="single" w:sz="4" w:space="0" w:color="auto"/>
            </w:tcBorders>
            <w:shd w:val="clear" w:color="auto" w:fill="auto"/>
            <w:vAlign w:val="center"/>
          </w:tcPr>
          <w:p w14:paraId="547C31F9"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资料反映不够充分</w:t>
            </w:r>
          </w:p>
        </w:tc>
      </w:tr>
      <w:tr w:rsidR="00C11BFE" w14:paraId="5F7FF892" w14:textId="77777777" w:rsidTr="000F1325">
        <w:trPr>
          <w:trHeight w:val="510"/>
        </w:trPr>
        <w:tc>
          <w:tcPr>
            <w:tcW w:w="391" w:type="pct"/>
            <w:tcBorders>
              <w:top w:val="nil"/>
              <w:left w:val="single" w:sz="4" w:space="0" w:color="auto"/>
              <w:bottom w:val="single" w:sz="4" w:space="0" w:color="auto"/>
              <w:right w:val="single" w:sz="4" w:space="0" w:color="auto"/>
            </w:tcBorders>
            <w:shd w:val="clear" w:color="auto" w:fill="auto"/>
            <w:vAlign w:val="center"/>
          </w:tcPr>
          <w:p w14:paraId="0217BD7A"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合计</w:t>
            </w:r>
          </w:p>
        </w:tc>
        <w:tc>
          <w:tcPr>
            <w:tcW w:w="391" w:type="pct"/>
            <w:tcBorders>
              <w:top w:val="nil"/>
              <w:left w:val="nil"/>
              <w:bottom w:val="single" w:sz="4" w:space="0" w:color="auto"/>
              <w:right w:val="single" w:sz="4" w:space="0" w:color="auto"/>
            </w:tcBorders>
            <w:shd w:val="clear" w:color="auto" w:fill="auto"/>
            <w:vAlign w:val="center"/>
          </w:tcPr>
          <w:p w14:paraId="63CCA2B2"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90" w:type="pct"/>
            <w:tcBorders>
              <w:top w:val="nil"/>
              <w:left w:val="nil"/>
              <w:bottom w:val="single" w:sz="4" w:space="0" w:color="auto"/>
              <w:right w:val="single" w:sz="4" w:space="0" w:color="auto"/>
            </w:tcBorders>
            <w:shd w:val="clear" w:color="auto" w:fill="auto"/>
            <w:vAlign w:val="center"/>
          </w:tcPr>
          <w:p w14:paraId="3C8A7B68"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547" w:type="pct"/>
            <w:tcBorders>
              <w:top w:val="nil"/>
              <w:left w:val="nil"/>
              <w:bottom w:val="single" w:sz="4" w:space="0" w:color="auto"/>
              <w:right w:val="single" w:sz="4" w:space="0" w:color="auto"/>
            </w:tcBorders>
            <w:shd w:val="clear" w:color="auto" w:fill="auto"/>
            <w:vAlign w:val="center"/>
          </w:tcPr>
          <w:p w14:paraId="27AD0F1D"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69" w:type="pct"/>
            <w:tcBorders>
              <w:top w:val="nil"/>
              <w:left w:val="nil"/>
              <w:bottom w:val="single" w:sz="4" w:space="0" w:color="auto"/>
              <w:right w:val="single" w:sz="4" w:space="0" w:color="auto"/>
            </w:tcBorders>
            <w:shd w:val="clear" w:color="auto" w:fill="auto"/>
            <w:vAlign w:val="center"/>
          </w:tcPr>
          <w:p w14:paraId="35298634" w14:textId="77777777" w:rsidR="00C11BFE" w:rsidRDefault="00C11BFE" w:rsidP="00DD5A26">
            <w:pPr>
              <w:widowControl/>
              <w:jc w:val="center"/>
              <w:rPr>
                <w:rFonts w:ascii="宋体" w:hAnsi="宋体" w:cs="宋体"/>
                <w:color w:val="000000"/>
                <w:kern w:val="0"/>
                <w:sz w:val="20"/>
                <w:szCs w:val="20"/>
              </w:rPr>
            </w:pPr>
            <w:r>
              <w:rPr>
                <w:rFonts w:ascii="宋体" w:hAnsi="宋体" w:cs="宋体" w:hint="eastAsia"/>
                <w:color w:val="000000"/>
                <w:kern w:val="0"/>
                <w:sz w:val="20"/>
                <w:szCs w:val="20"/>
              </w:rPr>
              <w:t>100.00</w:t>
            </w:r>
          </w:p>
        </w:tc>
        <w:tc>
          <w:tcPr>
            <w:tcW w:w="1796" w:type="pct"/>
            <w:tcBorders>
              <w:top w:val="nil"/>
              <w:left w:val="nil"/>
              <w:bottom w:val="single" w:sz="4" w:space="0" w:color="auto"/>
              <w:right w:val="single" w:sz="4" w:space="0" w:color="auto"/>
            </w:tcBorders>
            <w:shd w:val="clear" w:color="auto" w:fill="auto"/>
            <w:vAlign w:val="center"/>
          </w:tcPr>
          <w:p w14:paraId="150E5B59"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tcPr>
          <w:p w14:paraId="62D332BB" w14:textId="77777777" w:rsidR="00C11BFE" w:rsidRDefault="00C11BFE" w:rsidP="00DD5A26">
            <w:pPr>
              <w:widowControl/>
              <w:jc w:val="right"/>
              <w:rPr>
                <w:rFonts w:ascii="宋体" w:hAnsi="宋体" w:cs="宋体"/>
                <w:color w:val="000000"/>
                <w:kern w:val="0"/>
                <w:sz w:val="20"/>
                <w:szCs w:val="20"/>
              </w:rPr>
            </w:pPr>
            <w:r>
              <w:rPr>
                <w:rFonts w:ascii="宋体" w:hAnsi="宋体" w:cs="宋体" w:hint="eastAsia"/>
                <w:color w:val="000000"/>
                <w:kern w:val="0"/>
                <w:sz w:val="20"/>
                <w:szCs w:val="20"/>
              </w:rPr>
              <w:t>88.92</w:t>
            </w:r>
          </w:p>
        </w:tc>
        <w:tc>
          <w:tcPr>
            <w:tcW w:w="547" w:type="pct"/>
            <w:tcBorders>
              <w:top w:val="nil"/>
              <w:left w:val="nil"/>
              <w:bottom w:val="single" w:sz="4" w:space="0" w:color="auto"/>
              <w:right w:val="single" w:sz="4" w:space="0" w:color="auto"/>
            </w:tcBorders>
            <w:shd w:val="clear" w:color="auto" w:fill="auto"/>
            <w:vAlign w:val="center"/>
          </w:tcPr>
          <w:p w14:paraId="5B4E221F" w14:textId="77777777" w:rsidR="00C11BFE" w:rsidRDefault="00C11BFE" w:rsidP="00DD5A26">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bl>
    <w:p w14:paraId="77CDAFB5" w14:textId="77777777" w:rsidR="00C11BFE" w:rsidRPr="00C11BFE" w:rsidRDefault="00C11BFE" w:rsidP="00C11BFE">
      <w:pPr>
        <w:rPr>
          <w:rFonts w:hint="eastAsia"/>
        </w:rPr>
      </w:pPr>
    </w:p>
    <w:sectPr w:rsidR="00C11BFE" w:rsidRPr="00C11BFE">
      <w:footerReference w:type="default" r:id="rId10"/>
      <w:pgSz w:w="11906" w:h="16838"/>
      <w:pgMar w:top="1440" w:right="1800" w:bottom="1440" w:left="1800" w:header="851" w:footer="992" w:gutter="0"/>
      <w:pgNumType w:start="1" w:chapStyle="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22338" w14:textId="77777777" w:rsidR="004B2547" w:rsidRDefault="004B2547">
      <w:r>
        <w:separator/>
      </w:r>
    </w:p>
  </w:endnote>
  <w:endnote w:type="continuationSeparator" w:id="0">
    <w:p w14:paraId="4A4350D0" w14:textId="77777777" w:rsidR="004B2547" w:rsidRDefault="004B2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00" w:usb3="00000000" w:csb0="00040000" w:csb1="00000000"/>
  </w:font>
  <w:font w:name="Arial Unicode MS">
    <w:panose1 w:val="020B0604020202020204"/>
    <w:charset w:val="86"/>
    <w:family w:val="swiss"/>
    <w:pitch w:val="default"/>
    <w:sig w:usb0="00000000" w:usb1="00000000" w:usb2="0000003F" w:usb3="00000000" w:csb0="603F01FF" w:csb1="FFFF0000"/>
  </w:font>
  <w:font w:name="??_GB2312">
    <w:altName w:val="Times New Roman"/>
    <w:charset w:val="00"/>
    <w:family w:val="auto"/>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2FC2C" w14:textId="77777777" w:rsidR="00E243E3" w:rsidRDefault="00000000">
    <w:pPr>
      <w:pStyle w:val="a7"/>
      <w:jc w:val="center"/>
      <w:rPr>
        <w:rFonts w:cs="Times New Roman"/>
      </w:rPr>
    </w:pPr>
    <w:r>
      <w:fldChar w:fldCharType="begin"/>
    </w:r>
    <w:r>
      <w:instrText>PAGE   \* MERGEFORMAT</w:instrText>
    </w:r>
    <w:r>
      <w:fldChar w:fldCharType="separate"/>
    </w:r>
    <w:r>
      <w:rPr>
        <w:lang w:val="zh-CN"/>
      </w:rPr>
      <w:t>1</w:t>
    </w:r>
    <w:r>
      <w:rPr>
        <w:lang w:val="zh-CN"/>
      </w:rPr>
      <w:fldChar w:fldCharType="end"/>
    </w:r>
  </w:p>
  <w:p w14:paraId="37410910" w14:textId="77777777" w:rsidR="00E243E3" w:rsidRDefault="00E243E3">
    <w:pPr>
      <w:pStyle w:val="a7"/>
      <w:rPr>
        <w:rFonts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FAA24" w14:textId="77777777" w:rsidR="00E243E3" w:rsidRDefault="00000000">
    <w:pPr>
      <w:pStyle w:val="a7"/>
      <w:jc w:val="center"/>
      <w:rPr>
        <w:rFonts w:cs="Times New Roman"/>
      </w:rPr>
    </w:pPr>
    <w:r>
      <w:rPr>
        <w:noProof/>
      </w:rPr>
      <mc:AlternateContent>
        <mc:Choice Requires="wps">
          <w:drawing>
            <wp:anchor distT="0" distB="0" distL="114300" distR="114300" simplePos="0" relativeHeight="251659264" behindDoc="0" locked="0" layoutInCell="1" allowOverlap="1" wp14:anchorId="002ED906" wp14:editId="20486F2F">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5DE13CD" w14:textId="77777777" w:rsidR="00E243E3" w:rsidRDefault="00000000">
                          <w:pPr>
                            <w:pStyle w:val="a7"/>
                            <w:jc w:val="center"/>
                          </w:pPr>
                          <w:r>
                            <w:fldChar w:fldCharType="begin"/>
                          </w:r>
                          <w:r>
                            <w:instrText>PAGE   \* MERGEFORMAT</w:instrText>
                          </w:r>
                          <w:r>
                            <w:fldChar w:fldCharType="separate"/>
                          </w:r>
                          <w:r>
                            <w:rPr>
                              <w:lang w:val="zh-CN"/>
                            </w:rPr>
                            <w:t>1</w:t>
                          </w:r>
                          <w:r>
                            <w:rPr>
                              <w:lang w:val="zh-CN"/>
                            </w:rPr>
                            <w:fldChar w:fldCharType="end"/>
                          </w:r>
                        </w:p>
                      </w:txbxContent>
                    </wps:txbx>
                    <wps:bodyPr wrap="none" lIns="0" tIns="0" rIns="0" bIns="0">
                      <a:spAutoFit/>
                    </wps:bodyPr>
                  </wps:wsp>
                </a:graphicData>
              </a:graphic>
            </wp:anchor>
          </w:drawing>
        </mc:Choice>
        <mc:Fallback>
          <w:pict>
            <v:shapetype w14:anchorId="002ED906" id="_x0000_t202" coordsize="21600,21600" o:spt="202" path="m,l,21600r21600,l21600,xe">
              <v:stroke joinstyle="miter"/>
              <v:path gradientshapeok="t" o:connecttype="rect"/>
            </v:shapetype>
            <v:shape id="文本框 1025"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15DE13CD" w14:textId="77777777" w:rsidR="00E243E3" w:rsidRDefault="00000000">
                    <w:pPr>
                      <w:pStyle w:val="a7"/>
                      <w:jc w:val="center"/>
                    </w:pPr>
                    <w:r>
                      <w:fldChar w:fldCharType="begin"/>
                    </w:r>
                    <w:r>
                      <w:instrText>PAGE   \* MERGEFORMAT</w:instrText>
                    </w:r>
                    <w:r>
                      <w:fldChar w:fldCharType="separate"/>
                    </w:r>
                    <w:r>
                      <w:rPr>
                        <w:lang w:val="zh-CN"/>
                      </w:rPr>
                      <w:t>1</w:t>
                    </w:r>
                    <w:r>
                      <w:rPr>
                        <w:lang w:val="zh-CN"/>
                      </w:rPr>
                      <w:fldChar w:fldCharType="end"/>
                    </w:r>
                  </w:p>
                </w:txbxContent>
              </v:textbox>
              <w10:wrap anchorx="margin"/>
            </v:shape>
          </w:pict>
        </mc:Fallback>
      </mc:AlternateContent>
    </w:r>
  </w:p>
  <w:p w14:paraId="385F0723" w14:textId="77777777" w:rsidR="00E243E3" w:rsidRDefault="00E243E3">
    <w:pPr>
      <w:pStyle w:val="a7"/>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31B27" w14:textId="77777777" w:rsidR="004B2547" w:rsidRDefault="004B2547">
      <w:r>
        <w:separator/>
      </w:r>
    </w:p>
  </w:footnote>
  <w:footnote w:type="continuationSeparator" w:id="0">
    <w:p w14:paraId="19DF185F" w14:textId="77777777" w:rsidR="004B2547" w:rsidRDefault="004B2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EF72A6"/>
    <w:multiLevelType w:val="singleLevel"/>
    <w:tmpl w:val="F0EF72A6"/>
    <w:lvl w:ilvl="0">
      <w:start w:val="1"/>
      <w:numFmt w:val="decimal"/>
      <w:lvlText w:val="%1."/>
      <w:lvlJc w:val="left"/>
      <w:pPr>
        <w:tabs>
          <w:tab w:val="left" w:pos="312"/>
        </w:tabs>
      </w:pPr>
    </w:lvl>
  </w:abstractNum>
  <w:num w:numId="1" w16cid:durableId="1697734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c3ZTMyNzA1YzkzMzUwZDMwNzM4MjZkYmE1NjI0MWUifQ=="/>
  </w:docVars>
  <w:rsids>
    <w:rsidRoot w:val="00B976B8"/>
    <w:rsid w:val="00002A39"/>
    <w:rsid w:val="0003137B"/>
    <w:rsid w:val="0006088D"/>
    <w:rsid w:val="000756C7"/>
    <w:rsid w:val="000903DC"/>
    <w:rsid w:val="00094B12"/>
    <w:rsid w:val="000A3B46"/>
    <w:rsid w:val="000D62E5"/>
    <w:rsid w:val="000F1325"/>
    <w:rsid w:val="00106EF9"/>
    <w:rsid w:val="0011047A"/>
    <w:rsid w:val="00116FE6"/>
    <w:rsid w:val="00123403"/>
    <w:rsid w:val="00130A5B"/>
    <w:rsid w:val="00134798"/>
    <w:rsid w:val="00145F73"/>
    <w:rsid w:val="0016425A"/>
    <w:rsid w:val="00174214"/>
    <w:rsid w:val="00184C3C"/>
    <w:rsid w:val="00187045"/>
    <w:rsid w:val="001A1639"/>
    <w:rsid w:val="001D22D7"/>
    <w:rsid w:val="001E4007"/>
    <w:rsid w:val="001F3E7B"/>
    <w:rsid w:val="0022786B"/>
    <w:rsid w:val="00246A26"/>
    <w:rsid w:val="002634EB"/>
    <w:rsid w:val="002655AD"/>
    <w:rsid w:val="00272A2F"/>
    <w:rsid w:val="002745ED"/>
    <w:rsid w:val="00275161"/>
    <w:rsid w:val="00283C9A"/>
    <w:rsid w:val="002A2551"/>
    <w:rsid w:val="002A4D91"/>
    <w:rsid w:val="002C54D8"/>
    <w:rsid w:val="002C5C88"/>
    <w:rsid w:val="002C6FC1"/>
    <w:rsid w:val="00312771"/>
    <w:rsid w:val="00333E0C"/>
    <w:rsid w:val="00346AA7"/>
    <w:rsid w:val="00353965"/>
    <w:rsid w:val="003572F6"/>
    <w:rsid w:val="003801FF"/>
    <w:rsid w:val="00380943"/>
    <w:rsid w:val="003A1D45"/>
    <w:rsid w:val="003F3244"/>
    <w:rsid w:val="003F376C"/>
    <w:rsid w:val="003F65CC"/>
    <w:rsid w:val="00400631"/>
    <w:rsid w:val="00405F73"/>
    <w:rsid w:val="00406A89"/>
    <w:rsid w:val="004844D8"/>
    <w:rsid w:val="00487B6C"/>
    <w:rsid w:val="004A097D"/>
    <w:rsid w:val="004B2547"/>
    <w:rsid w:val="004B4C65"/>
    <w:rsid w:val="004C0D16"/>
    <w:rsid w:val="004C1EC7"/>
    <w:rsid w:val="004E0091"/>
    <w:rsid w:val="004E660C"/>
    <w:rsid w:val="004E6A84"/>
    <w:rsid w:val="004F2C34"/>
    <w:rsid w:val="005002CC"/>
    <w:rsid w:val="00531D03"/>
    <w:rsid w:val="005510D1"/>
    <w:rsid w:val="0057748F"/>
    <w:rsid w:val="005779D6"/>
    <w:rsid w:val="00582C2B"/>
    <w:rsid w:val="005B15B5"/>
    <w:rsid w:val="005B4A7A"/>
    <w:rsid w:val="005E4B8C"/>
    <w:rsid w:val="005F66D4"/>
    <w:rsid w:val="005F71FE"/>
    <w:rsid w:val="00604AF2"/>
    <w:rsid w:val="00607AFF"/>
    <w:rsid w:val="00627289"/>
    <w:rsid w:val="00631C20"/>
    <w:rsid w:val="00631D3C"/>
    <w:rsid w:val="006556DE"/>
    <w:rsid w:val="00662216"/>
    <w:rsid w:val="0066228C"/>
    <w:rsid w:val="00687672"/>
    <w:rsid w:val="006B0F70"/>
    <w:rsid w:val="006C5B4B"/>
    <w:rsid w:val="006D2279"/>
    <w:rsid w:val="006E2755"/>
    <w:rsid w:val="006E67EA"/>
    <w:rsid w:val="006F13C3"/>
    <w:rsid w:val="006F14D2"/>
    <w:rsid w:val="006F549E"/>
    <w:rsid w:val="007011F2"/>
    <w:rsid w:val="00722343"/>
    <w:rsid w:val="00722A54"/>
    <w:rsid w:val="0077309D"/>
    <w:rsid w:val="00773431"/>
    <w:rsid w:val="00790060"/>
    <w:rsid w:val="007A27DB"/>
    <w:rsid w:val="007C1108"/>
    <w:rsid w:val="007C5AE8"/>
    <w:rsid w:val="007E0843"/>
    <w:rsid w:val="007E5715"/>
    <w:rsid w:val="00800742"/>
    <w:rsid w:val="00802654"/>
    <w:rsid w:val="00865BBD"/>
    <w:rsid w:val="008756B2"/>
    <w:rsid w:val="00882D37"/>
    <w:rsid w:val="008976A7"/>
    <w:rsid w:val="008A67E5"/>
    <w:rsid w:val="008B2098"/>
    <w:rsid w:val="008C2067"/>
    <w:rsid w:val="008C4060"/>
    <w:rsid w:val="008C6ACB"/>
    <w:rsid w:val="008D0162"/>
    <w:rsid w:val="00916390"/>
    <w:rsid w:val="009243DB"/>
    <w:rsid w:val="00924808"/>
    <w:rsid w:val="0093167C"/>
    <w:rsid w:val="009326F6"/>
    <w:rsid w:val="009335E1"/>
    <w:rsid w:val="009379CC"/>
    <w:rsid w:val="0095702A"/>
    <w:rsid w:val="00966286"/>
    <w:rsid w:val="00966EB4"/>
    <w:rsid w:val="009830F0"/>
    <w:rsid w:val="00985EE8"/>
    <w:rsid w:val="00991467"/>
    <w:rsid w:val="00995884"/>
    <w:rsid w:val="00996A4C"/>
    <w:rsid w:val="00996FEE"/>
    <w:rsid w:val="009A1280"/>
    <w:rsid w:val="009B380F"/>
    <w:rsid w:val="009B7B55"/>
    <w:rsid w:val="009D0D94"/>
    <w:rsid w:val="009E4A60"/>
    <w:rsid w:val="009E7198"/>
    <w:rsid w:val="009E7786"/>
    <w:rsid w:val="00A04733"/>
    <w:rsid w:val="00A202A8"/>
    <w:rsid w:val="00A343ED"/>
    <w:rsid w:val="00A6203C"/>
    <w:rsid w:val="00A67E27"/>
    <w:rsid w:val="00A76D5F"/>
    <w:rsid w:val="00AA5E67"/>
    <w:rsid w:val="00AB090B"/>
    <w:rsid w:val="00AC6ABC"/>
    <w:rsid w:val="00AE1899"/>
    <w:rsid w:val="00AE683E"/>
    <w:rsid w:val="00AF35E7"/>
    <w:rsid w:val="00B0490D"/>
    <w:rsid w:val="00B1554A"/>
    <w:rsid w:val="00B35B2F"/>
    <w:rsid w:val="00B409B0"/>
    <w:rsid w:val="00B4275C"/>
    <w:rsid w:val="00B428B5"/>
    <w:rsid w:val="00B56432"/>
    <w:rsid w:val="00B625DB"/>
    <w:rsid w:val="00B976B8"/>
    <w:rsid w:val="00B97E94"/>
    <w:rsid w:val="00BD4F15"/>
    <w:rsid w:val="00BE7FE3"/>
    <w:rsid w:val="00C01B5D"/>
    <w:rsid w:val="00C03C6D"/>
    <w:rsid w:val="00C06A7A"/>
    <w:rsid w:val="00C0744F"/>
    <w:rsid w:val="00C11BFE"/>
    <w:rsid w:val="00C1363A"/>
    <w:rsid w:val="00C219EC"/>
    <w:rsid w:val="00C224A3"/>
    <w:rsid w:val="00C258E1"/>
    <w:rsid w:val="00C30D6C"/>
    <w:rsid w:val="00C312C5"/>
    <w:rsid w:val="00C325CC"/>
    <w:rsid w:val="00C32853"/>
    <w:rsid w:val="00C347D7"/>
    <w:rsid w:val="00C37C5F"/>
    <w:rsid w:val="00C549E2"/>
    <w:rsid w:val="00C57BF1"/>
    <w:rsid w:val="00C71B7F"/>
    <w:rsid w:val="00C73433"/>
    <w:rsid w:val="00C74F4C"/>
    <w:rsid w:val="00C7706C"/>
    <w:rsid w:val="00C97441"/>
    <w:rsid w:val="00CB294C"/>
    <w:rsid w:val="00CB6B82"/>
    <w:rsid w:val="00CC3F5D"/>
    <w:rsid w:val="00CD4B7A"/>
    <w:rsid w:val="00CF6CC5"/>
    <w:rsid w:val="00CF7DD2"/>
    <w:rsid w:val="00D12003"/>
    <w:rsid w:val="00D34388"/>
    <w:rsid w:val="00D343AC"/>
    <w:rsid w:val="00D55D11"/>
    <w:rsid w:val="00D6754A"/>
    <w:rsid w:val="00D75480"/>
    <w:rsid w:val="00D86AF1"/>
    <w:rsid w:val="00D87C52"/>
    <w:rsid w:val="00D934FE"/>
    <w:rsid w:val="00DA199A"/>
    <w:rsid w:val="00DA3118"/>
    <w:rsid w:val="00DC26BD"/>
    <w:rsid w:val="00DC3F56"/>
    <w:rsid w:val="00DD19E8"/>
    <w:rsid w:val="00DD758C"/>
    <w:rsid w:val="00E130E8"/>
    <w:rsid w:val="00E243E3"/>
    <w:rsid w:val="00E26E69"/>
    <w:rsid w:val="00E4276F"/>
    <w:rsid w:val="00E7618F"/>
    <w:rsid w:val="00E866DA"/>
    <w:rsid w:val="00E9393B"/>
    <w:rsid w:val="00EA0798"/>
    <w:rsid w:val="00EA32C0"/>
    <w:rsid w:val="00EA7B35"/>
    <w:rsid w:val="00EB0FFF"/>
    <w:rsid w:val="00EB14F9"/>
    <w:rsid w:val="00EB27DD"/>
    <w:rsid w:val="00EB470C"/>
    <w:rsid w:val="00EB6EC4"/>
    <w:rsid w:val="00ED4112"/>
    <w:rsid w:val="00EE05BD"/>
    <w:rsid w:val="00EE66EA"/>
    <w:rsid w:val="00EF1459"/>
    <w:rsid w:val="00F13755"/>
    <w:rsid w:val="00F17222"/>
    <w:rsid w:val="00F21D41"/>
    <w:rsid w:val="00F40EC0"/>
    <w:rsid w:val="00F43A7F"/>
    <w:rsid w:val="00F65008"/>
    <w:rsid w:val="00F66A71"/>
    <w:rsid w:val="00F71D46"/>
    <w:rsid w:val="00F71E50"/>
    <w:rsid w:val="00F835DB"/>
    <w:rsid w:val="00FD02AB"/>
    <w:rsid w:val="00FD3BB2"/>
    <w:rsid w:val="00FE1866"/>
    <w:rsid w:val="01F771EF"/>
    <w:rsid w:val="04DC5973"/>
    <w:rsid w:val="06CD286C"/>
    <w:rsid w:val="06D768DD"/>
    <w:rsid w:val="08B54C4C"/>
    <w:rsid w:val="09C01D7C"/>
    <w:rsid w:val="09FE6213"/>
    <w:rsid w:val="0D8570AB"/>
    <w:rsid w:val="0E3510FC"/>
    <w:rsid w:val="0E38120E"/>
    <w:rsid w:val="0FC46092"/>
    <w:rsid w:val="12103A7C"/>
    <w:rsid w:val="12F44C6F"/>
    <w:rsid w:val="13AF3EBA"/>
    <w:rsid w:val="19D204EE"/>
    <w:rsid w:val="1AF55592"/>
    <w:rsid w:val="1BBE234D"/>
    <w:rsid w:val="1E2C4608"/>
    <w:rsid w:val="1F066139"/>
    <w:rsid w:val="21D4135D"/>
    <w:rsid w:val="22BB5971"/>
    <w:rsid w:val="23BF63FD"/>
    <w:rsid w:val="24FA0DCA"/>
    <w:rsid w:val="275D65F2"/>
    <w:rsid w:val="29AA730F"/>
    <w:rsid w:val="2F5C242C"/>
    <w:rsid w:val="30194B2F"/>
    <w:rsid w:val="364C5279"/>
    <w:rsid w:val="36E66E7C"/>
    <w:rsid w:val="3C880878"/>
    <w:rsid w:val="3E1514DB"/>
    <w:rsid w:val="47BA46C6"/>
    <w:rsid w:val="482E60C1"/>
    <w:rsid w:val="496E7888"/>
    <w:rsid w:val="4D9A5D55"/>
    <w:rsid w:val="4DCB53D0"/>
    <w:rsid w:val="50C17BB5"/>
    <w:rsid w:val="54177321"/>
    <w:rsid w:val="543327AA"/>
    <w:rsid w:val="56CD6106"/>
    <w:rsid w:val="59861073"/>
    <w:rsid w:val="5A972D01"/>
    <w:rsid w:val="5AC25F37"/>
    <w:rsid w:val="5EAD1692"/>
    <w:rsid w:val="64EE4BED"/>
    <w:rsid w:val="692D733A"/>
    <w:rsid w:val="692F0E03"/>
    <w:rsid w:val="6A7B29E6"/>
    <w:rsid w:val="6B0177EE"/>
    <w:rsid w:val="70125465"/>
    <w:rsid w:val="71C64881"/>
    <w:rsid w:val="72AF3100"/>
    <w:rsid w:val="744E09AE"/>
    <w:rsid w:val="74AA21BB"/>
    <w:rsid w:val="751801C5"/>
    <w:rsid w:val="75F35538"/>
    <w:rsid w:val="77C12BAD"/>
    <w:rsid w:val="77E01B58"/>
    <w:rsid w:val="789B27B4"/>
    <w:rsid w:val="7C603FD3"/>
    <w:rsid w:val="7E253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E5C1D0"/>
  <w15:docId w15:val="{1E92EAE4-96AE-4401-B0DE-5547916AF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Calibri" w:hAnsi="Calibri" w:cs="Calibri"/>
      <w:kern w:val="2"/>
      <w:sz w:val="21"/>
      <w:szCs w:val="21"/>
    </w:rPr>
  </w:style>
  <w:style w:type="paragraph" w:styleId="1">
    <w:name w:val="heading 1"/>
    <w:basedOn w:val="a"/>
    <w:next w:val="a"/>
    <w:link w:val="10"/>
    <w:uiPriority w:val="9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9"/>
    <w:qFormat/>
    <w:pPr>
      <w:keepNext/>
      <w:keepLines/>
      <w:spacing w:before="260" w:after="260" w:line="416" w:lineRule="auto"/>
      <w:outlineLvl w:val="1"/>
    </w:pPr>
    <w:rPr>
      <w:rFonts w:ascii="等线 Light" w:eastAsia="等线 Light" w:hAnsi="等线 Light" w:cs="等线 Light"/>
      <w:b/>
      <w:bCs/>
      <w:kern w:val="0"/>
      <w:sz w:val="32"/>
      <w:szCs w:val="32"/>
    </w:rPr>
  </w:style>
  <w:style w:type="paragraph" w:styleId="3">
    <w:name w:val="heading 3"/>
    <w:basedOn w:val="a"/>
    <w:next w:val="a"/>
    <w:link w:val="30"/>
    <w:semiHidden/>
    <w:unhideWhenUsed/>
    <w:qFormat/>
    <w:locked/>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qFormat/>
    <w:pPr>
      <w:pBdr>
        <w:bottom w:val="single" w:sz="6" w:space="1" w:color="auto"/>
      </w:pBdr>
      <w:tabs>
        <w:tab w:val="center" w:pos="4153"/>
        <w:tab w:val="right" w:pos="8306"/>
      </w:tabs>
      <w:snapToGrid w:val="0"/>
      <w:jc w:val="center"/>
    </w:pPr>
    <w:rPr>
      <w:rFonts w:ascii="等线" w:eastAsia="等线" w:hAnsi="等线" w:cs="等线"/>
      <w:kern w:val="0"/>
      <w:sz w:val="18"/>
      <w:szCs w:val="18"/>
    </w:rPr>
  </w:style>
  <w:style w:type="paragraph" w:styleId="TOC3">
    <w:name w:val="toc 3"/>
    <w:basedOn w:val="a"/>
    <w:next w:val="a"/>
    <w:uiPriority w:val="99"/>
    <w:semiHidden/>
    <w:qFormat/>
    <w:pPr>
      <w:widowControl/>
      <w:spacing w:after="100" w:line="259" w:lineRule="auto"/>
      <w:ind w:left="440"/>
      <w:jc w:val="left"/>
    </w:pPr>
    <w:rPr>
      <w:rFonts w:ascii="等线" w:eastAsia="等线" w:hAnsi="等线" w:cs="等线"/>
      <w:kern w:val="0"/>
      <w:sz w:val="22"/>
      <w:szCs w:val="22"/>
    </w:rPr>
  </w:style>
  <w:style w:type="paragraph" w:styleId="a5">
    <w:name w:val="Date"/>
    <w:basedOn w:val="a"/>
    <w:next w:val="a"/>
    <w:link w:val="a6"/>
    <w:uiPriority w:val="99"/>
    <w:semiHidden/>
    <w:qFormat/>
    <w:pPr>
      <w:ind w:leftChars="2500" w:left="100"/>
    </w:pPr>
    <w:rPr>
      <w:kern w:val="0"/>
      <w:sz w:val="24"/>
      <w:szCs w:val="24"/>
    </w:rPr>
  </w:style>
  <w:style w:type="paragraph" w:styleId="a7">
    <w:name w:val="footer"/>
    <w:basedOn w:val="a"/>
    <w:link w:val="a8"/>
    <w:uiPriority w:val="99"/>
    <w:qFormat/>
    <w:pPr>
      <w:tabs>
        <w:tab w:val="center" w:pos="4153"/>
        <w:tab w:val="right" w:pos="8306"/>
      </w:tabs>
      <w:snapToGrid w:val="0"/>
      <w:jc w:val="left"/>
    </w:pPr>
    <w:rPr>
      <w:rFonts w:ascii="等线" w:eastAsia="等线" w:hAnsi="等线" w:cs="等线"/>
      <w:kern w:val="0"/>
      <w:sz w:val="18"/>
      <w:szCs w:val="18"/>
    </w:rPr>
  </w:style>
  <w:style w:type="paragraph" w:styleId="TOC1">
    <w:name w:val="toc 1"/>
    <w:basedOn w:val="a"/>
    <w:next w:val="a"/>
    <w:uiPriority w:val="39"/>
    <w:qFormat/>
    <w:pPr>
      <w:widowControl/>
      <w:tabs>
        <w:tab w:val="right" w:leader="dot" w:pos="8296"/>
      </w:tabs>
      <w:spacing w:after="100" w:line="259" w:lineRule="auto"/>
      <w:jc w:val="left"/>
    </w:pPr>
    <w:rPr>
      <w:rFonts w:ascii="宋体" w:hAnsi="宋体" w:cs="宋体"/>
      <w:b/>
      <w:bCs/>
      <w:kern w:val="0"/>
      <w:sz w:val="26"/>
      <w:szCs w:val="26"/>
    </w:rPr>
  </w:style>
  <w:style w:type="paragraph" w:styleId="TOC2">
    <w:name w:val="toc 2"/>
    <w:basedOn w:val="a"/>
    <w:next w:val="a"/>
    <w:uiPriority w:val="39"/>
    <w:qFormat/>
    <w:pPr>
      <w:widowControl/>
      <w:spacing w:after="100" w:line="259" w:lineRule="auto"/>
      <w:ind w:left="220"/>
      <w:jc w:val="left"/>
    </w:pPr>
    <w:rPr>
      <w:rFonts w:ascii="等线" w:eastAsia="等线" w:hAnsi="等线" w:cs="等线"/>
      <w:kern w:val="0"/>
      <w:sz w:val="22"/>
      <w:szCs w:val="22"/>
    </w:rPr>
  </w:style>
  <w:style w:type="table" w:styleId="a9">
    <w:name w:val="Table Grid"/>
    <w:basedOn w:val="a2"/>
    <w:uiPriority w:val="99"/>
    <w:qFormat/>
    <w:rPr>
      <w:rFonts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1"/>
    <w:uiPriority w:val="99"/>
    <w:qFormat/>
  </w:style>
  <w:style w:type="character" w:styleId="ab">
    <w:name w:val="Hyperlink"/>
    <w:uiPriority w:val="99"/>
    <w:qFormat/>
    <w:rPr>
      <w:color w:val="0563C1"/>
      <w:u w:val="single"/>
    </w:rPr>
  </w:style>
  <w:style w:type="character" w:customStyle="1" w:styleId="10">
    <w:name w:val="标题 1 字符"/>
    <w:link w:val="1"/>
    <w:uiPriority w:val="99"/>
    <w:qFormat/>
    <w:locked/>
    <w:rPr>
      <w:rFonts w:ascii="Calibri" w:eastAsia="宋体" w:hAnsi="Calibri" w:cs="Calibri"/>
      <w:b/>
      <w:bCs/>
      <w:kern w:val="44"/>
      <w:sz w:val="44"/>
      <w:szCs w:val="44"/>
    </w:rPr>
  </w:style>
  <w:style w:type="character" w:customStyle="1" w:styleId="20">
    <w:name w:val="标题 2 字符"/>
    <w:link w:val="2"/>
    <w:uiPriority w:val="99"/>
    <w:qFormat/>
    <w:locked/>
    <w:rPr>
      <w:rFonts w:ascii="等线 Light" w:eastAsia="等线 Light" w:hAnsi="等线 Light" w:cs="等线 Light"/>
      <w:b/>
      <w:bCs/>
      <w:sz w:val="32"/>
      <w:szCs w:val="32"/>
    </w:rPr>
  </w:style>
  <w:style w:type="character" w:customStyle="1" w:styleId="a4">
    <w:name w:val="页眉 字符"/>
    <w:link w:val="a0"/>
    <w:uiPriority w:val="99"/>
    <w:qFormat/>
    <w:locked/>
    <w:rPr>
      <w:sz w:val="18"/>
      <w:szCs w:val="18"/>
    </w:rPr>
  </w:style>
  <w:style w:type="character" w:customStyle="1" w:styleId="a6">
    <w:name w:val="日期 字符"/>
    <w:link w:val="a5"/>
    <w:uiPriority w:val="99"/>
    <w:semiHidden/>
    <w:qFormat/>
    <w:locked/>
    <w:rPr>
      <w:rFonts w:ascii="Calibri" w:eastAsia="宋体" w:hAnsi="Calibri" w:cs="Calibri"/>
      <w:sz w:val="24"/>
      <w:szCs w:val="24"/>
    </w:rPr>
  </w:style>
  <w:style w:type="character" w:customStyle="1" w:styleId="a8">
    <w:name w:val="页脚 字符"/>
    <w:link w:val="a7"/>
    <w:uiPriority w:val="99"/>
    <w:qFormat/>
    <w:locked/>
    <w:rPr>
      <w:sz w:val="18"/>
      <w:szCs w:val="18"/>
    </w:rPr>
  </w:style>
  <w:style w:type="paragraph" w:customStyle="1" w:styleId="Char">
    <w:name w:val="Char"/>
    <w:basedOn w:val="a"/>
    <w:uiPriority w:val="99"/>
    <w:qFormat/>
    <w:pPr>
      <w:widowControl/>
      <w:spacing w:after="160" w:line="240" w:lineRule="exact"/>
      <w:jc w:val="left"/>
    </w:pPr>
    <w:rPr>
      <w:rFonts w:ascii="Verdana" w:eastAsia="仿宋_GB2312" w:hAnsi="Verdana" w:cs="Verdana"/>
      <w:kern w:val="0"/>
      <w:sz w:val="24"/>
      <w:szCs w:val="24"/>
      <w:lang w:eastAsia="en-US"/>
    </w:rPr>
  </w:style>
  <w:style w:type="paragraph" w:styleId="ac">
    <w:name w:val="List Paragraph"/>
    <w:basedOn w:val="a"/>
    <w:uiPriority w:val="99"/>
    <w:qFormat/>
    <w:pPr>
      <w:ind w:firstLineChars="200" w:firstLine="420"/>
    </w:pPr>
  </w:style>
  <w:style w:type="paragraph" w:customStyle="1" w:styleId="11">
    <w:name w:val="列出段落1"/>
    <w:basedOn w:val="a"/>
    <w:uiPriority w:val="99"/>
    <w:qFormat/>
    <w:pPr>
      <w:ind w:firstLineChars="200" w:firstLine="420"/>
    </w:pPr>
  </w:style>
  <w:style w:type="paragraph" w:customStyle="1" w:styleId="TOCHeading1">
    <w:name w:val="TOC Heading1"/>
    <w:basedOn w:val="1"/>
    <w:next w:val="a"/>
    <w:uiPriority w:val="99"/>
    <w:qFormat/>
    <w:pPr>
      <w:widowControl/>
      <w:spacing w:before="240" w:after="0" w:line="259" w:lineRule="auto"/>
      <w:jc w:val="left"/>
      <w:outlineLvl w:val="9"/>
    </w:pPr>
    <w:rPr>
      <w:rFonts w:ascii="等线 Light" w:eastAsia="等线 Light" w:hAnsi="等线 Light" w:cs="等线 Light"/>
      <w:b w:val="0"/>
      <w:bCs w:val="0"/>
      <w:color w:val="2E74B5"/>
      <w:kern w:val="0"/>
      <w:sz w:val="32"/>
      <w:szCs w:val="32"/>
    </w:rPr>
  </w:style>
  <w:style w:type="paragraph" w:customStyle="1" w:styleId="my">
    <w:name w:val="my正文"/>
    <w:basedOn w:val="a"/>
    <w:link w:val="myChar"/>
    <w:uiPriority w:val="99"/>
    <w:qFormat/>
    <w:pPr>
      <w:spacing w:line="360" w:lineRule="auto"/>
      <w:ind w:firstLineChars="200" w:firstLine="480"/>
    </w:pPr>
    <w:rPr>
      <w:rFonts w:ascii="Times New Roman" w:hAnsi="Times New Roman" w:cs="Times New Roman"/>
      <w:kern w:val="0"/>
      <w:sz w:val="24"/>
      <w:szCs w:val="24"/>
    </w:rPr>
  </w:style>
  <w:style w:type="character" w:customStyle="1" w:styleId="myChar">
    <w:name w:val="my正文 Char"/>
    <w:link w:val="my"/>
    <w:uiPriority w:val="99"/>
    <w:qFormat/>
    <w:locked/>
    <w:rPr>
      <w:rFonts w:ascii="Times New Roman" w:eastAsia="宋体" w:hAnsi="Times New Roman" w:cs="Times New Roman"/>
      <w:sz w:val="24"/>
      <w:szCs w:val="24"/>
    </w:rPr>
  </w:style>
  <w:style w:type="paragraph" w:customStyle="1" w:styleId="Default">
    <w:name w:val="Default"/>
    <w:uiPriority w:val="99"/>
    <w:qFormat/>
    <w:pPr>
      <w:widowControl w:val="0"/>
      <w:autoSpaceDE w:val="0"/>
      <w:autoSpaceDN w:val="0"/>
      <w:adjustRightInd w:val="0"/>
    </w:pPr>
    <w:rPr>
      <w:rFonts w:ascii="仿宋_GB2312" w:eastAsia="仿宋_GB2312" w:hAnsi="Calibri" w:cs="仿宋_GB2312"/>
      <w:color w:val="000000"/>
      <w:sz w:val="24"/>
      <w:szCs w:val="24"/>
    </w:rPr>
  </w:style>
  <w:style w:type="character" w:customStyle="1" w:styleId="NormalCharacter">
    <w:name w:val="NormalCharacter"/>
    <w:uiPriority w:val="99"/>
    <w:semiHidden/>
    <w:qFormat/>
  </w:style>
  <w:style w:type="paragraph" w:customStyle="1" w:styleId="ad">
    <w:name w:val="自由格式"/>
    <w:uiPriority w:val="99"/>
    <w:qFormat/>
    <w:pPr>
      <w:spacing w:after="240" w:line="312" w:lineRule="auto"/>
    </w:pPr>
    <w:rPr>
      <w:rFonts w:ascii="Arial Unicode MS" w:eastAsia="等线" w:hAnsi="Arial Unicode MS" w:cs="Arial Unicode MS"/>
      <w:color w:val="222222"/>
      <w:sz w:val="22"/>
      <w:szCs w:val="22"/>
      <w:lang w:val="zh-CN"/>
    </w:rPr>
  </w:style>
  <w:style w:type="character" w:customStyle="1" w:styleId="30">
    <w:name w:val="标题 3 字符"/>
    <w:link w:val="3"/>
    <w:semiHidden/>
    <w:qFormat/>
    <w:rPr>
      <w:rFonts w:ascii="Calibri" w:eastAsia="宋体" w:hAnsi="Calibri" w:cs="Calibr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25</Pages>
  <Words>1854</Words>
  <Characters>10570</Characters>
  <Application>Microsoft Office Word</Application>
  <DocSecurity>0</DocSecurity>
  <Lines>88</Lines>
  <Paragraphs>24</Paragraphs>
  <ScaleCrop>false</ScaleCrop>
  <Company/>
  <LinksUpToDate>false</LinksUpToDate>
  <CharactersWithSpaces>12400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houtianai</dc:creator>
  <cp:lastModifiedBy>李 俊庆</cp:lastModifiedBy>
  <cp:revision>107</cp:revision>
  <dcterms:created xsi:type="dcterms:W3CDTF">2021-04-20T03:31:00Z</dcterms:created>
  <dcterms:modified xsi:type="dcterms:W3CDTF">2022-08-26T01:13:00Z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4018E4F3BA854C51B656FDCF143743C7</vt:lpwstr>
  </property>
</Properties>
</file>