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eastAsia" w:ascii="方正小标宋简体" w:eastAsia="方正小标宋简体"/>
          <w:sz w:val="36"/>
          <w:szCs w:val="36"/>
        </w:rPr>
      </w:pP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w:t>
      </w:r>
      <w:r>
        <w:rPr>
          <w:rFonts w:ascii="仿宋_GB2312" w:hAnsi="宋体" w:eastAsia="仿宋_GB2312"/>
          <w:sz w:val="28"/>
          <w:szCs w:val="28"/>
        </w:rPr>
        <w:t>202</w:t>
      </w:r>
      <w:r>
        <w:rPr>
          <w:rFonts w:hint="eastAsia" w:ascii="仿宋_GB2312" w:hAnsi="宋体" w:eastAsia="仿宋_GB2312"/>
          <w:sz w:val="28"/>
          <w:szCs w:val="28"/>
        </w:rPr>
        <w:t>1  年度）</w:t>
      </w:r>
    </w:p>
    <w:p>
      <w:pPr>
        <w:spacing w:line="240" w:lineRule="exact"/>
        <w:rPr>
          <w:rFonts w:ascii="仿宋_GB2312" w:hAnsi="宋体" w:eastAsia="仿宋_GB2312"/>
          <w:sz w:val="30"/>
          <w:szCs w:val="30"/>
        </w:rPr>
      </w:pPr>
    </w:p>
    <w:tbl>
      <w:tblPr>
        <w:tblStyle w:val="4"/>
        <w:tblW w:w="9038" w:type="dxa"/>
        <w:jc w:val="center"/>
        <w:tblLayout w:type="fixed"/>
        <w:tblCellMar>
          <w:top w:w="0" w:type="dxa"/>
          <w:left w:w="108" w:type="dxa"/>
          <w:bottom w:w="0" w:type="dxa"/>
          <w:right w:w="108" w:type="dxa"/>
        </w:tblCellMar>
      </w:tblPr>
      <w:tblGrid>
        <w:gridCol w:w="585"/>
        <w:gridCol w:w="975"/>
        <w:gridCol w:w="1105"/>
        <w:gridCol w:w="727"/>
        <w:gridCol w:w="250"/>
        <w:gridCol w:w="510"/>
        <w:gridCol w:w="367"/>
        <w:gridCol w:w="283"/>
        <w:gridCol w:w="835"/>
        <w:gridCol w:w="862"/>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垃圾焚烧三维实训系统VR升级项目</w:t>
            </w:r>
          </w:p>
        </w:tc>
      </w:tr>
      <w:tr>
        <w:tblPrEx>
          <w:tblCellMar>
            <w:top w:w="0" w:type="dxa"/>
            <w:left w:w="108" w:type="dxa"/>
            <w:bottom w:w="0" w:type="dxa"/>
            <w:right w:w="108" w:type="dxa"/>
          </w:tblCellMar>
        </w:tblPrEx>
        <w:trPr>
          <w:trHeight w:val="481"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77"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北京京仪集团</w:t>
            </w:r>
            <w:r>
              <w:rPr>
                <w:rFonts w:hint="eastAsia" w:ascii="仿宋_GB2312" w:hAnsi="宋体" w:eastAsia="仿宋_GB2312" w:cs="宋体"/>
                <w:kern w:val="0"/>
                <w:szCs w:val="21"/>
                <w:lang w:val="en-US" w:eastAsia="zh-CN"/>
              </w:rPr>
              <w:t>有限责任公司</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北京市仪器仪表高级技工学校</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77"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李勇</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13611360212</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gridSpan w:val="3"/>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1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gridSpan w:val="3"/>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rPr>
              <w:t>183.218</w:t>
            </w:r>
          </w:p>
        </w:tc>
        <w:tc>
          <w:tcPr>
            <w:tcW w:w="111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183.218</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183.12</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99.9%</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gridSpan w:val="3"/>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183.218</w:t>
            </w:r>
          </w:p>
        </w:tc>
        <w:tc>
          <w:tcPr>
            <w:tcW w:w="111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rPr>
              <w:t>183.218</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183.12</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99.9%</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gridSpan w:val="3"/>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gridSpan w:val="3"/>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52" w:type="dxa"/>
            <w:gridSpan w:val="8"/>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401"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052" w:type="dxa"/>
            <w:gridSpan w:val="8"/>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rPr>
              <w:t>本项目的建设，基于现有专业实训设备或系统、装置，服务于专业核心课程，将原有枯燥的文字版资源建设完善为具备完善实训项目信息化资源、创新技术应用型资源等。本项目建成后将使本专业垃圾焚烧实训资源在国内相关专业及相关培训行业达到先进水平。解决了教师本课程教学资源短缺问题，减轻了教师对本专业复杂控制流程的教案编写及备课负担，同时信息化技术手段的应用，使学生快速提高对复杂控制系统的理解与掌握能力，再加之VR虚拟现实交互式教学技术的应用使学生处于虚拟现实的交互式任务场景中，大幅提升了学生的学习兴趣和学习效率。</w:t>
            </w:r>
          </w:p>
        </w:tc>
        <w:tc>
          <w:tcPr>
            <w:tcW w:w="3401"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2021年11月时已完成各项设备及系统的采购安装和验收，数量质量均达到预期。</w:t>
            </w:r>
          </w:p>
        </w:tc>
      </w:tr>
      <w:tr>
        <w:tblPrEx>
          <w:tblCellMar>
            <w:top w:w="0" w:type="dxa"/>
            <w:left w:w="108" w:type="dxa"/>
            <w:bottom w:w="0" w:type="dxa"/>
            <w:right w:w="108" w:type="dxa"/>
          </w:tblCellMar>
        </w:tblPrEx>
        <w:trPr>
          <w:trHeight w:val="75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3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62"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color w:val="000000"/>
                <w:kern w:val="0"/>
                <w:szCs w:val="21"/>
              </w:rPr>
            </w:pPr>
            <w:r>
              <w:rPr>
                <w:rFonts w:hint="eastAsia" w:ascii="宋体" w:hAnsi="宋体" w:cs="宋体"/>
                <w:color w:val="000000"/>
                <w:kern w:val="0"/>
                <w:sz w:val="20"/>
                <w:szCs w:val="20"/>
              </w:rPr>
              <w:t>专业设备模型</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40</w:t>
            </w:r>
            <w:r>
              <w:rPr>
                <w:rStyle w:val="10"/>
                <w:rFonts w:hint="default"/>
              </w:rPr>
              <w:t>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40</w:t>
            </w:r>
            <w:r>
              <w:rPr>
                <w:rStyle w:val="10"/>
                <w:rFonts w:hint="default"/>
              </w:rPr>
              <w:t>个</w:t>
            </w:r>
          </w:p>
        </w:tc>
        <w:tc>
          <w:tcPr>
            <w:tcW w:w="56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56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35</w:t>
            </w:r>
          </w:p>
        </w:tc>
        <w:tc>
          <w:tcPr>
            <w:tcW w:w="141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color w:val="000000"/>
                <w:kern w:val="0"/>
                <w:szCs w:val="21"/>
              </w:rPr>
            </w:pPr>
            <w:r>
              <w:rPr>
                <w:rFonts w:hint="eastAsia" w:ascii="宋体" w:hAnsi="宋体" w:cs="宋体"/>
                <w:color w:val="000000"/>
                <w:kern w:val="0"/>
                <w:sz w:val="20"/>
                <w:szCs w:val="20"/>
              </w:rPr>
              <w:t>二维原理展示动画</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40</w:t>
            </w:r>
            <w:r>
              <w:rPr>
                <w:rStyle w:val="10"/>
                <w:rFonts w:hint="default"/>
              </w:rPr>
              <w:t>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40</w:t>
            </w:r>
            <w:r>
              <w:rPr>
                <w:rStyle w:val="10"/>
                <w:rFonts w:hint="default"/>
              </w:rPr>
              <w:t>个</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三维结构分解与运行过程展示动画</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40</w:t>
            </w:r>
            <w:r>
              <w:rPr>
                <w:rStyle w:val="10"/>
                <w:rFonts w:hint="default"/>
              </w:rPr>
              <w:t>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40</w:t>
            </w:r>
            <w:r>
              <w:rPr>
                <w:rStyle w:val="10"/>
                <w:rFonts w:hint="default"/>
              </w:rPr>
              <w:t>个</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Style w:val="11"/>
                <w:rFonts w:hint="default"/>
              </w:rPr>
              <w:t>学习情景</w:t>
            </w:r>
            <w:r>
              <w:rPr>
                <w:rStyle w:val="12"/>
              </w:rPr>
              <w:t>FLASH</w:t>
            </w:r>
            <w:r>
              <w:rPr>
                <w:rFonts w:hint="eastAsia" w:ascii="宋体" w:hAnsi="宋体" w:cs="宋体"/>
                <w:color w:val="000000"/>
                <w:kern w:val="0"/>
                <w:sz w:val="22"/>
                <w:szCs w:val="22"/>
              </w:rPr>
              <w:t>动画</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20</w:t>
            </w:r>
            <w:r>
              <w:rPr>
                <w:rStyle w:val="10"/>
                <w:rFonts w:hint="default"/>
              </w:rPr>
              <w:t>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20</w:t>
            </w:r>
            <w:r>
              <w:rPr>
                <w:rStyle w:val="10"/>
                <w:rFonts w:hint="default"/>
              </w:rPr>
              <w:t>个</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电子教材平台系统</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2</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2</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仿真软件培训系统</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仿真软件知识介绍</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仿真软件运行平台</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仿真软件知识垃圾接收、贮存</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仿真软件知识垃圾焚烧系统</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仿真软件知识余热锅炉系统</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仿真软件知识蒸汽发电系统</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仿真软件知识烟气净化系统</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仿真软件知识渗滤液处理系统</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工艺培训内容</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Style w:val="11"/>
                <w:rFonts w:hint="default"/>
              </w:rPr>
              <w:t>VR</w:t>
            </w:r>
            <w:r>
              <w:rPr>
                <w:rFonts w:hint="eastAsia" w:ascii="宋体" w:hAnsi="宋体" w:cs="宋体"/>
                <w:color w:val="000000"/>
                <w:kern w:val="0"/>
                <w:sz w:val="22"/>
                <w:szCs w:val="22"/>
              </w:rPr>
              <w:t>实训终端</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21</w:t>
            </w:r>
            <w:r>
              <w:rPr>
                <w:rStyle w:val="10"/>
                <w:rFonts w:hint="default"/>
              </w:rPr>
              <w:t>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21</w:t>
            </w:r>
            <w:r>
              <w:rPr>
                <w:rStyle w:val="10"/>
                <w:rFonts w:hint="default"/>
              </w:rPr>
              <w:t>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实训工作站</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10</w:t>
            </w:r>
            <w:r>
              <w:rPr>
                <w:rStyle w:val="10"/>
                <w:rFonts w:hint="default"/>
              </w:rPr>
              <w:t>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10</w:t>
            </w:r>
            <w:r>
              <w:rPr>
                <w:rStyle w:val="10"/>
                <w:rFonts w:hint="default"/>
              </w:rPr>
              <w:t>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软件显示终端</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4</w:t>
            </w:r>
            <w:r>
              <w:rPr>
                <w:rStyle w:val="10"/>
                <w:rFonts w:hint="default"/>
              </w:rPr>
              <w:t>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4</w:t>
            </w:r>
            <w:r>
              <w:rPr>
                <w:rStyle w:val="10"/>
                <w:rFonts w:hint="default"/>
              </w:rPr>
              <w:t>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壁挂支架</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4</w:t>
            </w:r>
            <w:r>
              <w:rPr>
                <w:rStyle w:val="10"/>
                <w:rFonts w:hint="default"/>
              </w:rPr>
              <w:t>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4</w:t>
            </w:r>
            <w:r>
              <w:rPr>
                <w:rStyle w:val="10"/>
                <w:rFonts w:hint="default"/>
              </w:rPr>
              <w:t>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高清混合矩阵</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输入板卡</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2</w:t>
            </w:r>
            <w:r>
              <w:rPr>
                <w:rStyle w:val="10"/>
                <w:rFonts w:hint="default"/>
              </w:rPr>
              <w:t>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2</w:t>
            </w:r>
            <w:r>
              <w:rPr>
                <w:rStyle w:val="10"/>
                <w:rFonts w:hint="default"/>
              </w:rPr>
              <w:t>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95"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color w:val="000000"/>
                <w:kern w:val="0"/>
                <w:szCs w:val="21"/>
              </w:rPr>
            </w:pPr>
            <w:r>
              <w:rPr>
                <w:rFonts w:hint="eastAsia" w:ascii="宋体" w:hAnsi="宋体" w:cs="宋体"/>
                <w:color w:val="000000"/>
                <w:kern w:val="0"/>
                <w:sz w:val="20"/>
                <w:szCs w:val="20"/>
              </w:rPr>
              <w:t>输出板卡</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2</w:t>
            </w:r>
            <w:r>
              <w:rPr>
                <w:rStyle w:val="10"/>
                <w:rFonts w:hint="default"/>
              </w:rPr>
              <w:t>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2</w:t>
            </w:r>
            <w:r>
              <w:rPr>
                <w:rStyle w:val="10"/>
                <w:rFonts w:hint="default"/>
              </w:rPr>
              <w:t>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95"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5"/>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宋体" w:hAnsi="宋体" w:cs="宋体"/>
                <w:color w:val="000000"/>
                <w:kern w:val="0"/>
                <w:sz w:val="20"/>
                <w:szCs w:val="20"/>
              </w:rPr>
              <w:t>系统集成</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项</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Style w:val="9"/>
                <w:rFonts w:hint="default"/>
              </w:rPr>
              <w:t>1</w:t>
            </w:r>
            <w:r>
              <w:rPr>
                <w:rStyle w:val="10"/>
                <w:rFonts w:hint="default"/>
              </w:rPr>
              <w:t>项</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16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487" w:type="dxa"/>
            <w:gridSpan w:val="3"/>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color w:val="000000"/>
                <w:kern w:val="0"/>
                <w:szCs w:val="21"/>
              </w:rPr>
            </w:pPr>
            <w:r>
              <w:rPr>
                <w:rFonts w:hint="eastAsia" w:ascii="宋体" w:hAnsi="宋体" w:cs="宋体"/>
                <w:color w:val="000000"/>
                <w:kern w:val="0"/>
                <w:sz w:val="20"/>
                <w:szCs w:val="20"/>
              </w:rPr>
              <w:t>产出质量指标</w:t>
            </w:r>
          </w:p>
        </w:tc>
        <w:tc>
          <w:tcPr>
            <w:tcW w:w="1485"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0"/>
                <w:szCs w:val="20"/>
              </w:rPr>
              <w:t>使本课程资源达到国内垃圾焚烧实训资源信息化领先水平，满足课堂信息化教学需求，极大丰富了本课程教学资源，通过VR技术互动教学极大提高学生的学习兴趣及学习效果。</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0"/>
                <w:szCs w:val="20"/>
              </w:rPr>
              <w:t>达到预期要求</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69"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进度指标</w:t>
            </w:r>
          </w:p>
        </w:tc>
        <w:tc>
          <w:tcPr>
            <w:tcW w:w="2137" w:type="dxa"/>
            <w:gridSpan w:val="5"/>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color w:val="000000"/>
                <w:kern w:val="0"/>
                <w:sz w:val="13"/>
                <w:szCs w:val="13"/>
              </w:rPr>
            </w:pPr>
            <w:r>
              <w:rPr>
                <w:rFonts w:hint="eastAsia" w:ascii="宋体" w:hAnsi="宋体" w:cs="宋体"/>
                <w:color w:val="000000"/>
                <w:kern w:val="0"/>
                <w:sz w:val="20"/>
                <w:szCs w:val="20"/>
              </w:rPr>
              <w:t>细化项目建设方案</w:t>
            </w:r>
          </w:p>
        </w:tc>
        <w:tc>
          <w:tcPr>
            <w:tcW w:w="835"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 w:val="13"/>
                <w:szCs w:val="13"/>
              </w:rPr>
            </w:pPr>
            <w:r>
              <w:rPr>
                <w:rStyle w:val="8"/>
                <w:rFonts w:hint="default"/>
              </w:rPr>
              <w:t>2021</w:t>
            </w:r>
            <w:r>
              <w:rPr>
                <w:rFonts w:hint="eastAsia" w:ascii="宋体" w:hAnsi="宋体" w:cs="宋体"/>
                <w:color w:val="000000"/>
                <w:kern w:val="0"/>
                <w:sz w:val="20"/>
                <w:szCs w:val="20"/>
              </w:rPr>
              <w:t>年1-4月</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 w:val="13"/>
                <w:szCs w:val="13"/>
              </w:rPr>
            </w:pPr>
            <w:r>
              <w:rPr>
                <w:rStyle w:val="8"/>
                <w:rFonts w:hint="default"/>
              </w:rPr>
              <w:t>2021</w:t>
            </w:r>
            <w:r>
              <w:rPr>
                <w:rFonts w:hint="eastAsia" w:ascii="宋体" w:hAnsi="宋体" w:cs="宋体"/>
                <w:color w:val="000000"/>
                <w:kern w:val="0"/>
                <w:sz w:val="20"/>
                <w:szCs w:val="20"/>
              </w:rPr>
              <w:t>年4月</w:t>
            </w:r>
          </w:p>
        </w:tc>
        <w:tc>
          <w:tcPr>
            <w:tcW w:w="563" w:type="dxa"/>
            <w:gridSpan w:val="2"/>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69"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pPr>
          </w:p>
        </w:tc>
        <w:tc>
          <w:tcPr>
            <w:tcW w:w="1105" w:type="dxa"/>
            <w:vMerge w:val="continue"/>
            <w:tcBorders>
              <w:left w:val="single" w:color="auto" w:sz="4" w:space="0"/>
              <w:right w:val="single" w:color="auto" w:sz="4" w:space="0"/>
            </w:tcBorders>
            <w:noWrap/>
            <w:vAlign w:val="center"/>
          </w:tcPr>
          <w:p>
            <w:pPr>
              <w:widowControl/>
              <w:jc w:val="left"/>
              <w:textAlignment w:val="bottom"/>
            </w:pPr>
          </w:p>
        </w:tc>
        <w:tc>
          <w:tcPr>
            <w:tcW w:w="2137" w:type="dxa"/>
            <w:gridSpan w:val="5"/>
            <w:tcBorders>
              <w:top w:val="single" w:color="auto" w:sz="4" w:space="0"/>
              <w:left w:val="nil"/>
              <w:right w:val="single" w:color="auto" w:sz="4" w:space="0"/>
            </w:tcBorders>
            <w:noWrap/>
            <w:vAlign w:val="center"/>
          </w:tcPr>
          <w:p>
            <w:pPr>
              <w:widowControl/>
              <w:jc w:val="left"/>
              <w:textAlignment w:val="center"/>
              <w:rPr>
                <w:rFonts w:ascii="宋体" w:hAnsi="宋体" w:cs="宋体"/>
                <w:color w:val="000000"/>
                <w:kern w:val="0"/>
                <w:sz w:val="16"/>
                <w:szCs w:val="16"/>
              </w:rPr>
            </w:pPr>
            <w:r>
              <w:rPr>
                <w:rFonts w:hint="eastAsia" w:ascii="宋体" w:hAnsi="宋体" w:cs="宋体"/>
                <w:color w:val="000000"/>
                <w:kern w:val="0"/>
                <w:sz w:val="20"/>
                <w:szCs w:val="20"/>
              </w:rPr>
              <w:t>进行项目招投标</w:t>
            </w:r>
          </w:p>
        </w:tc>
        <w:tc>
          <w:tcPr>
            <w:tcW w:w="835"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r>
              <w:rPr>
                <w:rFonts w:hint="eastAsia" w:ascii="宋体" w:hAnsi="宋体" w:cs="宋体"/>
                <w:color w:val="000000"/>
                <w:kern w:val="0"/>
                <w:sz w:val="20"/>
                <w:szCs w:val="20"/>
              </w:rPr>
              <w:t>2021年5月</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r>
              <w:rPr>
                <w:rFonts w:hint="eastAsia" w:ascii="宋体" w:hAnsi="宋体" w:cs="宋体"/>
                <w:color w:val="000000"/>
                <w:kern w:val="0"/>
                <w:sz w:val="20"/>
                <w:szCs w:val="20"/>
              </w:rPr>
              <w:t>2021年5月</w:t>
            </w:r>
          </w:p>
        </w:tc>
        <w:tc>
          <w:tcPr>
            <w:tcW w:w="563" w:type="dxa"/>
            <w:gridSpan w:val="2"/>
            <w:vMerge w:val="continue"/>
            <w:tcBorders>
              <w:left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563" w:type="dxa"/>
            <w:gridSpan w:val="2"/>
            <w:vMerge w:val="continue"/>
            <w:tcBorders>
              <w:left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1413" w:type="dxa"/>
            <w:gridSpan w:val="2"/>
            <w:vMerge w:val="continue"/>
            <w:tcBorders>
              <w:left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r>
      <w:tr>
        <w:tblPrEx>
          <w:tblCellMar>
            <w:top w:w="0" w:type="dxa"/>
            <w:left w:w="108" w:type="dxa"/>
            <w:bottom w:w="0" w:type="dxa"/>
            <w:right w:w="108" w:type="dxa"/>
          </w:tblCellMar>
        </w:tblPrEx>
        <w:trPr>
          <w:trHeight w:val="469"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1105" w:type="dxa"/>
            <w:vMerge w:val="continue"/>
            <w:tcBorders>
              <w:left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2137" w:type="dxa"/>
            <w:gridSpan w:val="5"/>
            <w:tcBorders>
              <w:top w:val="single" w:color="auto" w:sz="4" w:space="0"/>
              <w:left w:val="nil"/>
              <w:right w:val="single" w:color="auto" w:sz="4" w:space="0"/>
            </w:tcBorders>
            <w:noWrap/>
            <w:vAlign w:val="center"/>
          </w:tcPr>
          <w:p>
            <w:pPr>
              <w:widowControl/>
              <w:jc w:val="left"/>
              <w:textAlignment w:val="center"/>
              <w:rPr>
                <w:rFonts w:ascii="宋体" w:hAnsi="宋体" w:cs="宋体"/>
                <w:color w:val="000000"/>
                <w:kern w:val="0"/>
                <w:sz w:val="16"/>
                <w:szCs w:val="16"/>
              </w:rPr>
            </w:pPr>
            <w:r>
              <w:rPr>
                <w:rFonts w:hint="eastAsia" w:ascii="宋体" w:hAnsi="宋体" w:cs="宋体"/>
                <w:color w:val="000000"/>
                <w:kern w:val="0"/>
                <w:sz w:val="20"/>
                <w:szCs w:val="20"/>
              </w:rPr>
              <w:t>完成项目建设任务</w:t>
            </w:r>
          </w:p>
        </w:tc>
        <w:tc>
          <w:tcPr>
            <w:tcW w:w="835"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r>
              <w:rPr>
                <w:rStyle w:val="8"/>
                <w:rFonts w:hint="default"/>
              </w:rPr>
              <w:t>2021</w:t>
            </w:r>
            <w:r>
              <w:rPr>
                <w:rFonts w:hint="eastAsia" w:ascii="宋体" w:hAnsi="宋体" w:cs="宋体"/>
                <w:color w:val="000000"/>
                <w:kern w:val="0"/>
                <w:sz w:val="20"/>
                <w:szCs w:val="20"/>
              </w:rPr>
              <w:t>年6-11月</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r>
              <w:rPr>
                <w:rStyle w:val="8"/>
                <w:rFonts w:hint="default"/>
              </w:rPr>
              <w:t>2021</w:t>
            </w:r>
            <w:r>
              <w:rPr>
                <w:rFonts w:hint="eastAsia" w:ascii="宋体" w:hAnsi="宋体" w:cs="宋体"/>
                <w:color w:val="000000"/>
                <w:kern w:val="0"/>
                <w:sz w:val="20"/>
                <w:szCs w:val="20"/>
              </w:rPr>
              <w:t>年10月</w:t>
            </w:r>
          </w:p>
        </w:tc>
        <w:tc>
          <w:tcPr>
            <w:tcW w:w="563" w:type="dxa"/>
            <w:gridSpan w:val="2"/>
            <w:vMerge w:val="continue"/>
            <w:tcBorders>
              <w:left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563" w:type="dxa"/>
            <w:gridSpan w:val="2"/>
            <w:vMerge w:val="continue"/>
            <w:tcBorders>
              <w:left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1413" w:type="dxa"/>
            <w:gridSpan w:val="2"/>
            <w:vMerge w:val="continue"/>
            <w:tcBorders>
              <w:left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r>
      <w:tr>
        <w:tblPrEx>
          <w:tblCellMar>
            <w:top w:w="0" w:type="dxa"/>
            <w:left w:w="108" w:type="dxa"/>
            <w:bottom w:w="0" w:type="dxa"/>
            <w:right w:w="108" w:type="dxa"/>
          </w:tblCellMar>
        </w:tblPrEx>
        <w:trPr>
          <w:trHeight w:val="469"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1105" w:type="dxa"/>
            <w:vMerge w:val="continue"/>
            <w:tcBorders>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2137" w:type="dxa"/>
            <w:gridSpan w:val="5"/>
            <w:tcBorders>
              <w:top w:val="single" w:color="auto" w:sz="4" w:space="0"/>
              <w:left w:val="nil"/>
              <w:right w:val="single" w:color="auto" w:sz="4" w:space="0"/>
            </w:tcBorders>
            <w:noWrap/>
            <w:vAlign w:val="center"/>
          </w:tcPr>
          <w:p>
            <w:pPr>
              <w:widowControl/>
              <w:jc w:val="left"/>
              <w:textAlignment w:val="center"/>
              <w:rPr>
                <w:rFonts w:ascii="宋体" w:hAnsi="宋体" w:cs="宋体"/>
                <w:color w:val="000000"/>
                <w:kern w:val="0"/>
                <w:sz w:val="16"/>
                <w:szCs w:val="16"/>
              </w:rPr>
            </w:pPr>
            <w:r>
              <w:rPr>
                <w:rFonts w:hint="eastAsia" w:ascii="宋体" w:hAnsi="宋体" w:cs="宋体"/>
                <w:color w:val="000000"/>
                <w:kern w:val="0"/>
                <w:sz w:val="20"/>
                <w:szCs w:val="20"/>
              </w:rPr>
              <w:t>验收</w:t>
            </w:r>
          </w:p>
        </w:tc>
        <w:tc>
          <w:tcPr>
            <w:tcW w:w="835"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r>
              <w:rPr>
                <w:rFonts w:hint="eastAsia" w:ascii="宋体" w:hAnsi="宋体" w:cs="宋体"/>
                <w:color w:val="000000"/>
                <w:kern w:val="0"/>
                <w:sz w:val="20"/>
                <w:szCs w:val="20"/>
              </w:rPr>
              <w:t>2021年12月</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r>
              <w:rPr>
                <w:rFonts w:hint="eastAsia" w:ascii="宋体" w:hAnsi="宋体" w:cs="宋体"/>
                <w:color w:val="000000"/>
                <w:kern w:val="0"/>
                <w:sz w:val="20"/>
                <w:szCs w:val="20"/>
              </w:rPr>
              <w:t>2021年11月</w:t>
            </w:r>
          </w:p>
        </w:tc>
        <w:tc>
          <w:tcPr>
            <w:tcW w:w="563" w:type="dxa"/>
            <w:gridSpan w:val="2"/>
            <w:vMerge w:val="continue"/>
            <w:tcBorders>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563" w:type="dxa"/>
            <w:gridSpan w:val="2"/>
            <w:vMerge w:val="continue"/>
            <w:tcBorders>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c>
          <w:tcPr>
            <w:tcW w:w="1413" w:type="dxa"/>
            <w:gridSpan w:val="2"/>
            <w:vMerge w:val="continue"/>
            <w:tcBorders>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16"/>
                <w:szCs w:val="16"/>
              </w:rPr>
            </w:pPr>
          </w:p>
        </w:tc>
      </w:tr>
      <w:tr>
        <w:tblPrEx>
          <w:tblCellMar>
            <w:top w:w="0" w:type="dxa"/>
            <w:left w:w="108" w:type="dxa"/>
            <w:bottom w:w="0" w:type="dxa"/>
            <w:right w:w="108" w:type="dxa"/>
          </w:tblCellMar>
        </w:tblPrEx>
        <w:trPr>
          <w:trHeight w:val="89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5"/>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color w:val="000000"/>
                <w:kern w:val="0"/>
                <w:szCs w:val="21"/>
              </w:rPr>
            </w:pPr>
            <w:r>
              <w:rPr>
                <w:rFonts w:hint="eastAsia" w:ascii="宋体" w:hAnsi="宋体" w:cs="宋体"/>
                <w:color w:val="000000"/>
                <w:kern w:val="0"/>
                <w:sz w:val="20"/>
                <w:szCs w:val="20"/>
              </w:rPr>
              <w:t>项目预算控制数</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0"/>
                <w:szCs w:val="20"/>
              </w:rPr>
              <w:t>183.218万元</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0"/>
                <w:szCs w:val="20"/>
              </w:rPr>
              <w:t>183.12万元</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75"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效果指标</w:t>
            </w:r>
          </w:p>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p>
            <w:pPr>
              <w:widowControl/>
              <w:spacing w:line="240" w:lineRule="exact"/>
              <w:jc w:val="center"/>
              <w:rPr>
                <w:rFonts w:ascii="仿宋_GB2312" w:hAnsi="宋体" w:eastAsia="仿宋_GB2312" w:cs="宋体"/>
                <w:kern w:val="0"/>
                <w:szCs w:val="21"/>
              </w:rPr>
            </w:pPr>
          </w:p>
        </w:tc>
        <w:tc>
          <w:tcPr>
            <w:tcW w:w="977" w:type="dxa"/>
            <w:gridSpan w:val="2"/>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color w:val="000000"/>
                <w:kern w:val="0"/>
                <w:szCs w:val="21"/>
              </w:rPr>
            </w:pPr>
            <w:r>
              <w:rPr>
                <w:rFonts w:hint="eastAsia" w:ascii="宋体" w:hAnsi="宋体" w:cs="宋体"/>
                <w:color w:val="000000"/>
                <w:kern w:val="0"/>
                <w:sz w:val="20"/>
                <w:szCs w:val="20"/>
              </w:rPr>
              <w:t>经济效益</w:t>
            </w:r>
          </w:p>
        </w:tc>
        <w:tc>
          <w:tcPr>
            <w:tcW w:w="1995" w:type="dxa"/>
            <w:gridSpan w:val="4"/>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0"/>
                <w:szCs w:val="20"/>
              </w:rPr>
              <w:t>通过本项目建设，改善教学条件和教学环境，提供更创新的专业的培训，能帮助学生更好的学到知识，在社会上就更容易就业。就业率的提升必定会提高学校知名度，吸引招生。将带来不错的经济效益。</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41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75"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pPr>
          </w:p>
        </w:tc>
        <w:tc>
          <w:tcPr>
            <w:tcW w:w="975" w:type="dxa"/>
            <w:vMerge w:val="continue"/>
            <w:tcBorders>
              <w:left w:val="single" w:color="auto" w:sz="4" w:space="0"/>
              <w:right w:val="single" w:color="auto" w:sz="4" w:space="0"/>
            </w:tcBorders>
            <w:noWrap/>
            <w:vAlign w:val="center"/>
          </w:tcPr>
          <w:p>
            <w:pPr>
              <w:widowControl/>
              <w:jc w:val="left"/>
              <w:textAlignment w:val="bottom"/>
            </w:pPr>
          </w:p>
        </w:tc>
        <w:tc>
          <w:tcPr>
            <w:tcW w:w="1105" w:type="dxa"/>
            <w:vMerge w:val="continue"/>
            <w:tcBorders>
              <w:left w:val="single" w:color="auto" w:sz="4" w:space="0"/>
              <w:right w:val="single" w:color="auto" w:sz="4" w:space="0"/>
            </w:tcBorders>
            <w:noWrap/>
            <w:vAlign w:val="center"/>
          </w:tcPr>
          <w:p>
            <w:pPr>
              <w:widowControl/>
              <w:jc w:val="left"/>
              <w:textAlignment w:val="bottom"/>
            </w:pPr>
          </w:p>
        </w:tc>
        <w:tc>
          <w:tcPr>
            <w:tcW w:w="977" w:type="dxa"/>
            <w:gridSpan w:val="2"/>
            <w:tcBorders>
              <w:top w:val="single" w:color="auto" w:sz="4" w:space="0"/>
              <w:left w:val="nil"/>
              <w:right w:val="single" w:color="auto" w:sz="4" w:space="0"/>
            </w:tcBorders>
            <w:noWrap/>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0"/>
                <w:szCs w:val="20"/>
              </w:rPr>
              <w:t>社会效益</w:t>
            </w:r>
          </w:p>
        </w:tc>
        <w:tc>
          <w:tcPr>
            <w:tcW w:w="1995" w:type="dxa"/>
            <w:gridSpan w:val="4"/>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0"/>
                <w:szCs w:val="20"/>
              </w:rPr>
              <w:t>在我校及北京市垃圾焚烧类实训资源信息化建设起到辐射和带动作用。</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p>
        </w:tc>
        <w:tc>
          <w:tcPr>
            <w:tcW w:w="563" w:type="dxa"/>
            <w:gridSpan w:val="2"/>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r>
              <w:rPr>
                <w:rFonts w:hint="eastAsia" w:ascii="宋体" w:hAnsi="宋体" w:cs="宋体"/>
                <w:color w:val="000000"/>
                <w:kern w:val="0"/>
                <w:sz w:val="24"/>
              </w:rPr>
              <w:t>5</w:t>
            </w:r>
          </w:p>
        </w:tc>
        <w:tc>
          <w:tcPr>
            <w:tcW w:w="563" w:type="dxa"/>
            <w:gridSpan w:val="2"/>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r>
              <w:rPr>
                <w:rFonts w:hint="eastAsia" w:ascii="宋体" w:hAnsi="宋体" w:cs="宋体"/>
                <w:color w:val="000000"/>
                <w:kern w:val="0"/>
                <w:sz w:val="24"/>
              </w:rPr>
              <w:t>4</w:t>
            </w:r>
          </w:p>
        </w:tc>
        <w:tc>
          <w:tcPr>
            <w:tcW w:w="1413" w:type="dxa"/>
            <w:gridSpan w:val="2"/>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p>
        </w:tc>
      </w:tr>
      <w:tr>
        <w:tblPrEx>
          <w:tblCellMar>
            <w:top w:w="0" w:type="dxa"/>
            <w:left w:w="108" w:type="dxa"/>
            <w:bottom w:w="0" w:type="dxa"/>
            <w:right w:w="108" w:type="dxa"/>
          </w:tblCellMar>
        </w:tblPrEx>
        <w:trPr>
          <w:trHeight w:val="975"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p>
        </w:tc>
        <w:tc>
          <w:tcPr>
            <w:tcW w:w="975" w:type="dxa"/>
            <w:vMerge w:val="continue"/>
            <w:tcBorders>
              <w:left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p>
        </w:tc>
        <w:tc>
          <w:tcPr>
            <w:tcW w:w="1105" w:type="dxa"/>
            <w:vMerge w:val="continue"/>
            <w:tcBorders>
              <w:left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p>
        </w:tc>
        <w:tc>
          <w:tcPr>
            <w:tcW w:w="977" w:type="dxa"/>
            <w:gridSpan w:val="2"/>
            <w:tcBorders>
              <w:top w:val="single" w:color="auto" w:sz="4" w:space="0"/>
              <w:left w:val="nil"/>
              <w:right w:val="single" w:color="auto" w:sz="4" w:space="0"/>
            </w:tcBorders>
            <w:noWrap/>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0"/>
                <w:szCs w:val="20"/>
              </w:rPr>
              <w:t>环境效益</w:t>
            </w:r>
          </w:p>
        </w:tc>
        <w:tc>
          <w:tcPr>
            <w:tcW w:w="1995" w:type="dxa"/>
            <w:gridSpan w:val="4"/>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0"/>
                <w:szCs w:val="20"/>
              </w:rPr>
              <w:t>信息化课程资源的建设将节约教学成本，实现无纸化教学，安全环保。</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p>
        </w:tc>
        <w:tc>
          <w:tcPr>
            <w:tcW w:w="563" w:type="dxa"/>
            <w:gridSpan w:val="2"/>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r>
              <w:rPr>
                <w:rFonts w:hint="eastAsia" w:ascii="宋体" w:hAnsi="宋体" w:cs="宋体"/>
                <w:color w:val="000000"/>
                <w:kern w:val="0"/>
                <w:sz w:val="24"/>
              </w:rPr>
              <w:t>5</w:t>
            </w:r>
          </w:p>
        </w:tc>
        <w:tc>
          <w:tcPr>
            <w:tcW w:w="563" w:type="dxa"/>
            <w:gridSpan w:val="2"/>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r>
              <w:rPr>
                <w:rFonts w:hint="eastAsia" w:ascii="宋体" w:hAnsi="宋体" w:cs="宋体"/>
                <w:color w:val="000000"/>
                <w:kern w:val="0"/>
                <w:sz w:val="24"/>
              </w:rPr>
              <w:t>4</w:t>
            </w:r>
          </w:p>
        </w:tc>
        <w:tc>
          <w:tcPr>
            <w:tcW w:w="1413" w:type="dxa"/>
            <w:gridSpan w:val="2"/>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p>
        </w:tc>
      </w:tr>
      <w:tr>
        <w:tblPrEx>
          <w:tblCellMar>
            <w:top w:w="0" w:type="dxa"/>
            <w:left w:w="108" w:type="dxa"/>
            <w:bottom w:w="0" w:type="dxa"/>
            <w:right w:w="108" w:type="dxa"/>
          </w:tblCellMar>
        </w:tblPrEx>
        <w:trPr>
          <w:trHeight w:val="90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5"/>
            <w:tcBorders>
              <w:top w:val="single" w:color="auto" w:sz="4" w:space="0"/>
              <w:left w:val="nil"/>
              <w:right w:val="single" w:color="auto" w:sz="4" w:space="0"/>
            </w:tcBorders>
            <w:noWrap/>
            <w:vAlign w:val="bottom"/>
          </w:tcPr>
          <w:p>
            <w:pPr>
              <w:widowControl/>
              <w:jc w:val="left"/>
              <w:textAlignment w:val="bottom"/>
              <w:rPr>
                <w:rFonts w:ascii="仿宋_GB2312" w:hAnsi="宋体" w:eastAsia="仿宋_GB2312" w:cs="宋体"/>
                <w:color w:val="000000"/>
                <w:kern w:val="0"/>
                <w:szCs w:val="21"/>
              </w:rPr>
            </w:pPr>
            <w:r>
              <w:rPr>
                <w:rFonts w:hint="eastAsia" w:ascii="宋体" w:hAnsi="宋体" w:cs="宋体"/>
                <w:color w:val="000000"/>
                <w:kern w:val="0"/>
                <w:sz w:val="24"/>
              </w:rPr>
              <w:t>1.老师满意度达到95%以上</w:t>
            </w:r>
            <w:r>
              <w:rPr>
                <w:rFonts w:hint="eastAsia" w:ascii="宋体" w:hAnsi="宋体" w:cs="宋体"/>
                <w:color w:val="000000"/>
                <w:kern w:val="0"/>
                <w:sz w:val="24"/>
              </w:rPr>
              <w:br w:type="textWrapping"/>
            </w:r>
            <w:r>
              <w:rPr>
                <w:rFonts w:hint="eastAsia" w:ascii="宋体" w:hAnsi="宋体" w:cs="宋体"/>
                <w:color w:val="000000"/>
                <w:kern w:val="0"/>
                <w:sz w:val="24"/>
              </w:rPr>
              <w:t>2.受益学生/学员满意度达到95%以上</w:t>
            </w:r>
          </w:p>
        </w:tc>
        <w:tc>
          <w:tcPr>
            <w:tcW w:w="835" w:type="dxa"/>
            <w:tcBorders>
              <w:top w:val="single" w:color="auto" w:sz="4" w:space="0"/>
              <w:left w:val="nil"/>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≥95</w:t>
            </w:r>
          </w:p>
        </w:tc>
        <w:tc>
          <w:tcPr>
            <w:tcW w:w="862" w:type="dxa"/>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tcBorders>
              <w:top w:val="single" w:color="auto" w:sz="4" w:space="0"/>
              <w:left w:val="nil"/>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right w:val="single" w:color="auto" w:sz="4" w:space="0"/>
            </w:tcBorders>
            <w:noWrap/>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4</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10"/>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85</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bl>
    <w:p>
      <w:pPr>
        <w:rPr>
          <w:rFonts w:hint="eastAsia"/>
        </w:rPr>
      </w:pPr>
    </w:p>
    <w:p>
      <w:pPr>
        <w:rPr>
          <w:rFonts w:hint="eastAsia"/>
        </w:rPr>
      </w:pPr>
    </w:p>
    <w:p>
      <w:pPr>
        <w:rPr>
          <w:rFonts w:hint="eastAsia"/>
        </w:rPr>
      </w:pPr>
    </w:p>
    <w:p>
      <w:pPr>
        <w:rPr>
          <w:rFonts w:hint="eastAsia"/>
        </w:rPr>
      </w:pPr>
    </w:p>
    <w:p>
      <w:pPr>
        <w:rPr>
          <w:rFonts w:hint="eastAsi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00"/>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M1NzI4ZWM1ZGQwN2I3MjU3NjE5ZGE5NGFmZjMwZDUifQ=="/>
  </w:docVars>
  <w:rsids>
    <w:rsidRoot w:val="00BD6E9F"/>
    <w:rsid w:val="0044398C"/>
    <w:rsid w:val="004A408C"/>
    <w:rsid w:val="007B50FD"/>
    <w:rsid w:val="00BD6E9F"/>
    <w:rsid w:val="00D90CE2"/>
    <w:rsid w:val="00E3661D"/>
    <w:rsid w:val="16530D16"/>
    <w:rsid w:val="34B375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character" w:customStyle="1" w:styleId="8">
    <w:name w:val="font21"/>
    <w:basedOn w:val="5"/>
    <w:uiPriority w:val="0"/>
    <w:rPr>
      <w:rFonts w:hint="eastAsia" w:ascii="宋体" w:hAnsi="宋体" w:eastAsia="宋体" w:cs="宋体"/>
      <w:color w:val="000000"/>
      <w:sz w:val="20"/>
      <w:szCs w:val="20"/>
      <w:u w:val="none"/>
    </w:rPr>
  </w:style>
  <w:style w:type="character" w:customStyle="1" w:styleId="9">
    <w:name w:val="font31"/>
    <w:basedOn w:val="5"/>
    <w:uiPriority w:val="0"/>
    <w:rPr>
      <w:rFonts w:hint="eastAsia" w:ascii="宋体" w:hAnsi="宋体" w:eastAsia="宋体" w:cs="宋体"/>
      <w:color w:val="000000"/>
      <w:sz w:val="20"/>
      <w:szCs w:val="20"/>
      <w:u w:val="none"/>
    </w:rPr>
  </w:style>
  <w:style w:type="character" w:customStyle="1" w:styleId="10">
    <w:name w:val="font51"/>
    <w:basedOn w:val="5"/>
    <w:uiPriority w:val="0"/>
    <w:rPr>
      <w:rFonts w:hint="eastAsia" w:ascii="宋体" w:hAnsi="宋体" w:eastAsia="宋体" w:cs="宋体"/>
      <w:color w:val="000000"/>
      <w:sz w:val="22"/>
      <w:szCs w:val="22"/>
      <w:u w:val="none"/>
    </w:rPr>
  </w:style>
  <w:style w:type="character" w:customStyle="1" w:styleId="11">
    <w:name w:val="font41"/>
    <w:basedOn w:val="5"/>
    <w:uiPriority w:val="0"/>
    <w:rPr>
      <w:rFonts w:hint="eastAsia" w:ascii="宋体" w:hAnsi="宋体" w:eastAsia="宋体" w:cs="宋体"/>
      <w:color w:val="000000"/>
      <w:sz w:val="20"/>
      <w:szCs w:val="20"/>
      <w:u w:val="none"/>
    </w:rPr>
  </w:style>
  <w:style w:type="character" w:customStyle="1" w:styleId="12">
    <w:name w:val="font61"/>
    <w:basedOn w:val="5"/>
    <w:qFormat/>
    <w:uiPriority w:val="0"/>
    <w:rPr>
      <w:rFonts w:ascii="Calibri" w:hAnsi="Calibri" w:cs="Calibri"/>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3008</Words>
  <Characters>3424</Characters>
  <Lines>57</Lines>
  <Paragraphs>16</Paragraphs>
  <TotalTime>11</TotalTime>
  <ScaleCrop>false</ScaleCrop>
  <LinksUpToDate>false</LinksUpToDate>
  <CharactersWithSpaces>3623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2021-06-09T00:47:00Z</dcterms:created>
  <dc:creator>dell</dc:creator>
  <cp:lastModifiedBy>li</cp:lastModifiedBy>
  <dcterms:modified xsi:type="dcterms:W3CDTF">2022-06-07T07:15:05Z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C165AC4E27584AA5B52E1A4D9028B22F</vt:lpwstr>
  </property>
</Properties>
</file>