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方正小标宋简体" w:hAnsi="黑体" w:eastAsia="方正小标宋简体"/>
          <w:sz w:val="36"/>
          <w:szCs w:val="36"/>
        </w:rPr>
      </w:pPr>
      <w:r>
        <w:rPr>
          <w:rFonts w:hint="eastAsia" w:ascii="方正小标宋简体" w:eastAsia="方正小标宋简体"/>
          <w:sz w:val="36"/>
          <w:szCs w:val="36"/>
        </w:rPr>
        <w:t xml:space="preserve">                </w:t>
      </w: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202</w:t>
      </w:r>
      <w:r>
        <w:rPr>
          <w:rFonts w:hint="eastAsia" w:ascii="仿宋_GB2312" w:hAnsi="宋体" w:eastAsia="仿宋_GB2312"/>
          <w:sz w:val="28"/>
          <w:szCs w:val="28"/>
        </w:rPr>
        <w:t>1 年度）</w:t>
      </w:r>
    </w:p>
    <w:p>
      <w:pPr>
        <w:spacing w:line="240" w:lineRule="exact"/>
        <w:rPr>
          <w:rFonts w:ascii="仿宋_GB2312" w:hAnsi="宋体" w:eastAsia="仿宋_GB2312"/>
          <w:sz w:val="30"/>
          <w:szCs w:val="30"/>
        </w:rPr>
      </w:pPr>
    </w:p>
    <w:tbl>
      <w:tblPr>
        <w:tblStyle w:val="4"/>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35"/>
        <w:gridCol w:w="862"/>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6S可视化管理系统升级改造项目</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7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北京京仪集团</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北京市仪器仪表高级技工学校</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7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rPr>
              <w:t>272.982</w:t>
            </w: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272.982</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271.99</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99.6%</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272.982</w:t>
            </w: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rPr>
              <w:t>272.982</w:t>
            </w: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271.99</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99.6%</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4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52"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40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462"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52"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rPr>
              <w:t xml:space="preserve"> 本次项目建成后，将大幅缓解运维人力成本以及消除设备维修费用。同时，项目涉及相关产品所选用技术与整体环境设计架构均为当前主流技术，先进可靠且有着良好的向后兼容性，预计项目建成后将满足今后5~7年的校园安全防护需求，无需在此过程中额外增加建设费用。通过本次项目建成集中化、智能化、自动化的校园安防环境，为校园师生的人身及财产安全带来了极大的保障，是构建和谐校园、提职校园环境质量的必要条件。 </w:t>
            </w:r>
          </w:p>
        </w:tc>
        <w:tc>
          <w:tcPr>
            <w:tcW w:w="340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2021年9月时已完成各项设备及系统的采购安装和验收，数量质量均达到预期。</w:t>
            </w:r>
          </w:p>
        </w:tc>
      </w:tr>
      <w:tr>
        <w:tblPrEx>
          <w:tblCellMar>
            <w:top w:w="0" w:type="dxa"/>
            <w:left w:w="108" w:type="dxa"/>
            <w:bottom w:w="0" w:type="dxa"/>
            <w:right w:w="108" w:type="dxa"/>
          </w:tblCellMar>
        </w:tblPrEx>
        <w:trPr>
          <w:trHeight w:val="75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3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62"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color w:val="000000"/>
                <w:kern w:val="0"/>
                <w:szCs w:val="21"/>
              </w:rPr>
            </w:pPr>
            <w:r>
              <w:rPr>
                <w:rFonts w:hint="eastAsia" w:ascii="宋体" w:hAnsi="宋体" w:cs="宋体"/>
                <w:color w:val="000000"/>
                <w:kern w:val="0"/>
                <w:sz w:val="24"/>
              </w:rPr>
              <w:t>高清室外枪机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70台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70台</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35</w:t>
            </w:r>
          </w:p>
        </w:tc>
        <w:tc>
          <w:tcPr>
            <w:tcW w:w="141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color w:val="000000"/>
                <w:kern w:val="0"/>
                <w:szCs w:val="21"/>
              </w:rPr>
            </w:pPr>
            <w:r>
              <w:rPr>
                <w:rFonts w:hint="eastAsia" w:ascii="宋体" w:hAnsi="宋体" w:cs="宋体"/>
                <w:color w:val="000000"/>
                <w:kern w:val="0"/>
                <w:sz w:val="24"/>
              </w:rPr>
              <w:t>高清室外球机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19台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19台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鹰眼鸟瞰摄像机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3台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3台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黑光室外摄像机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工业交换机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16台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16台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高清室内枪机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71台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71台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高清PTZ室内球机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74台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74台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交换机1</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高清鱼眼摄像机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3台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3台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高清半球摄像机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4台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4台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交换机2</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LED拼接屏</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屏幕框架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屏幕底座</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视频处理器</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网络键盘</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1台</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学生进出入校园鉴别设备</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闸机</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管理平台</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人体识别、周界防护设备</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5个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5个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8"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人脸比对设备</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95"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color w:val="000000"/>
                <w:kern w:val="0"/>
                <w:szCs w:val="21"/>
              </w:rPr>
            </w:pPr>
            <w:r>
              <w:rPr>
                <w:rFonts w:hint="eastAsia" w:ascii="宋体" w:hAnsi="宋体" w:cs="宋体"/>
                <w:color w:val="000000"/>
                <w:kern w:val="0"/>
                <w:sz w:val="24"/>
              </w:rPr>
              <w:t>网络存储设备</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2个</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pPr>
          </w:p>
        </w:tc>
        <w:tc>
          <w:tcPr>
            <w:tcW w:w="110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物联综合管控系统V1.0</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1套</w:t>
            </w: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6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13" w:type="dxa"/>
            <w:gridSpan w:val="2"/>
            <w:vMerge w:val="continue"/>
            <w:tcBorders>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物联网终端</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1套</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网络型多功能控制器</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1套</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灯光控制器</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1套</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智能电源管理器</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3套</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3套</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配电箱</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1项</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1项</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网线</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17875米</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17875米</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光纤连接盘</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18个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18个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3"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室外防水箱</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16个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16个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光缆1</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3400米</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3400米</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光缆2</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200米</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200米</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光纤跳线1</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64根</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64根</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光纤跳线2</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18根</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18根</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高清室外枪机支架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70个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70个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高清室外球机支架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19个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19个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鹰眼鸟瞰摄像机支架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3个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3个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黑光室外摄像机支架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防雷器</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24个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24个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空开</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16个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16个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强电线缆BV4.0</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45条</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45条</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强电线缆BV1.5</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21条</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21条</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钢管</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6500米</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6500米</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立杆</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19个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19个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工程实施(含辅材）</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6项</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6项</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高清室内枪机支架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71个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71个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高清室内PTZ球机支架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74个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74个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线槽</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1400米</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1400米</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ODF</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高清鱼眼摄像机支架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3个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3个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光纤模块</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40个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40个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RJ45模块</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管理PC</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ODF配线架</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1个</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1个</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56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1105" w:type="dxa"/>
            <w:vMerge w:val="continue"/>
            <w:tcBorders>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系统集成费</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1项</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1项</w:t>
            </w: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4"/>
              </w:rPr>
            </w:pPr>
          </w:p>
        </w:tc>
      </w:tr>
      <w:tr>
        <w:tblPrEx>
          <w:tblCellMar>
            <w:top w:w="0" w:type="dxa"/>
            <w:left w:w="108" w:type="dxa"/>
            <w:bottom w:w="0" w:type="dxa"/>
            <w:right w:w="108" w:type="dxa"/>
          </w:tblCellMar>
        </w:tblPrEx>
        <w:trPr>
          <w:trHeight w:val="386"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ascii="仿宋_GB2312" w:hAnsi="宋体" w:eastAsia="仿宋_GB2312" w:cs="宋体"/>
                <w:color w:val="000000"/>
                <w:kern w:val="0"/>
                <w:szCs w:val="21"/>
              </w:rPr>
            </w:pPr>
            <w:r>
              <w:rPr>
                <w:rFonts w:hint="eastAsia" w:ascii="宋体" w:hAnsi="宋体" w:cs="宋体"/>
                <w:color w:val="000000"/>
                <w:kern w:val="0"/>
                <w:sz w:val="24"/>
              </w:rPr>
              <w:t>1.符合国家、北京市质量认证标准</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100%</w:t>
            </w:r>
          </w:p>
        </w:tc>
        <w:tc>
          <w:tcPr>
            <w:tcW w:w="862" w:type="dxa"/>
            <w:vMerge w:val="restart"/>
            <w:tcBorders>
              <w:top w:val="single" w:color="auto" w:sz="4" w:space="0"/>
              <w:left w:val="nil"/>
              <w:right w:val="single" w:color="auto" w:sz="4" w:space="0"/>
            </w:tcBorders>
            <w:noWrap/>
            <w:vAlign w:val="center"/>
          </w:tcPr>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达到预期要求</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vMerge w:val="restart"/>
            <w:tcBorders>
              <w:top w:val="single" w:color="auto" w:sz="4" w:space="0"/>
              <w:left w:val="nil"/>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86"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pPr>
          </w:p>
        </w:tc>
        <w:tc>
          <w:tcPr>
            <w:tcW w:w="1105" w:type="dxa"/>
            <w:vMerge w:val="continue"/>
            <w:tcBorders>
              <w:left w:val="single" w:color="auto" w:sz="4" w:space="0"/>
              <w:right w:val="single" w:color="auto" w:sz="4" w:space="0"/>
            </w:tcBorders>
            <w:noWrap/>
            <w:vAlign w:val="center"/>
          </w:tcPr>
          <w:p>
            <w:pPr>
              <w:widowControl/>
              <w:jc w:val="center"/>
              <w:textAlignment w:val="center"/>
            </w:pP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4"/>
              </w:rPr>
              <w:t>2.安防设备质量达到质量认证标准</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100%</w:t>
            </w:r>
          </w:p>
        </w:tc>
        <w:tc>
          <w:tcPr>
            <w:tcW w:w="862" w:type="dxa"/>
            <w:vMerge w:val="continue"/>
            <w:tcBorders>
              <w:left w:val="nil"/>
              <w:right w:val="single" w:color="auto" w:sz="4" w:space="0"/>
            </w:tcBorders>
            <w:noWrap/>
            <w:vAlign w:val="center"/>
          </w:tcPr>
          <w:p>
            <w:pPr>
              <w:widowControl/>
              <w:jc w:val="left"/>
              <w:textAlignment w:val="bottom"/>
              <w:rPr>
                <w:rFonts w:hint="eastAsia" w:ascii="宋体" w:hAnsi="宋体" w:cs="宋体"/>
                <w:color w:val="000000"/>
                <w:kern w:val="0"/>
                <w:sz w:val="24"/>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386" w:hRule="atLeast"/>
          <w:jc w:val="center"/>
        </w:trPr>
        <w:tc>
          <w:tcPr>
            <w:tcW w:w="58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97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105" w:type="dxa"/>
            <w:vMerge w:val="continue"/>
            <w:tcBorders>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ascii="宋体" w:hAnsi="宋体" w:cs="宋体"/>
                <w:color w:val="000000"/>
                <w:kern w:val="0"/>
                <w:sz w:val="20"/>
                <w:szCs w:val="20"/>
              </w:rPr>
            </w:pPr>
            <w:r>
              <w:rPr>
                <w:rFonts w:hint="eastAsia" w:ascii="宋体" w:hAnsi="宋体" w:cs="宋体"/>
                <w:color w:val="000000"/>
                <w:kern w:val="0"/>
                <w:sz w:val="24"/>
              </w:rPr>
              <w:t>3.满足安防监控需要</w:t>
            </w:r>
          </w:p>
        </w:tc>
        <w:tc>
          <w:tcPr>
            <w:tcW w:w="835"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4"/>
              </w:rPr>
              <w:t>100%</w:t>
            </w:r>
          </w:p>
        </w:tc>
        <w:tc>
          <w:tcPr>
            <w:tcW w:w="862" w:type="dxa"/>
            <w:vMerge w:val="continue"/>
            <w:tcBorders>
              <w:left w:val="nil"/>
              <w:bottom w:val="single" w:color="auto" w:sz="4" w:space="0"/>
              <w:right w:val="single" w:color="auto" w:sz="4" w:space="0"/>
            </w:tcBorders>
            <w:noWrap/>
            <w:vAlign w:val="center"/>
          </w:tcPr>
          <w:p>
            <w:pPr>
              <w:widowControl/>
              <w:jc w:val="left"/>
              <w:textAlignment w:val="bottom"/>
              <w:rPr>
                <w:rFonts w:hint="eastAsia" w:ascii="宋体" w:hAnsi="宋体" w:cs="宋体"/>
                <w:color w:val="000000"/>
                <w:kern w:val="0"/>
                <w:sz w:val="24"/>
              </w:rPr>
            </w:pPr>
          </w:p>
        </w:tc>
        <w:tc>
          <w:tcPr>
            <w:tcW w:w="563" w:type="dxa"/>
            <w:gridSpan w:val="2"/>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563" w:type="dxa"/>
            <w:gridSpan w:val="2"/>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c>
          <w:tcPr>
            <w:tcW w:w="1413" w:type="dxa"/>
            <w:gridSpan w:val="2"/>
            <w:vMerge w:val="continue"/>
            <w:tcBorders>
              <w:left w:val="nil"/>
              <w:bottom w:val="single" w:color="auto" w:sz="4" w:space="0"/>
              <w:right w:val="single" w:color="auto" w:sz="4" w:space="0"/>
            </w:tcBorders>
            <w:noWrap/>
            <w:vAlign w:val="center"/>
          </w:tcPr>
          <w:p>
            <w:pPr>
              <w:widowControl/>
              <w:jc w:val="center"/>
              <w:textAlignment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1136"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进度指标</w:t>
            </w: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ascii="宋体" w:hAnsi="宋体" w:cs="宋体"/>
                <w:color w:val="000000"/>
                <w:kern w:val="0"/>
                <w:sz w:val="16"/>
                <w:szCs w:val="16"/>
              </w:rPr>
            </w:pPr>
            <w:r>
              <w:rPr>
                <w:rFonts w:hint="eastAsia" w:ascii="宋体" w:hAnsi="宋体" w:cs="宋体"/>
                <w:color w:val="000000"/>
                <w:kern w:val="0"/>
                <w:sz w:val="24"/>
              </w:rPr>
              <w:t>1、第一阶段2020年3月-6月</w:t>
            </w:r>
            <w:r>
              <w:rPr>
                <w:rFonts w:hint="eastAsia" w:ascii="宋体" w:hAnsi="宋体" w:cs="宋体"/>
                <w:color w:val="000000"/>
                <w:kern w:val="0"/>
                <w:sz w:val="24"/>
              </w:rPr>
              <w:br w:type="textWrapping"/>
            </w:r>
            <w:r>
              <w:rPr>
                <w:rFonts w:hint="eastAsia" w:ascii="宋体" w:hAnsi="宋体" w:cs="宋体"/>
                <w:color w:val="000000"/>
                <w:kern w:val="0"/>
                <w:sz w:val="24"/>
              </w:rPr>
              <w:t>项目调研、立项、建设方案深化。</w:t>
            </w:r>
            <w:r>
              <w:rPr>
                <w:rFonts w:hint="eastAsia" w:ascii="宋体" w:hAnsi="宋体" w:cs="宋体"/>
                <w:color w:val="000000"/>
                <w:kern w:val="0"/>
                <w:sz w:val="24"/>
              </w:rPr>
              <w:br w:type="textWrapping"/>
            </w:r>
            <w:r>
              <w:rPr>
                <w:rFonts w:hint="eastAsia" w:ascii="宋体" w:hAnsi="宋体" w:cs="宋体"/>
                <w:color w:val="000000"/>
                <w:kern w:val="0"/>
                <w:sz w:val="24"/>
              </w:rPr>
              <w:t>2、第二阶段2020年7-12月</w:t>
            </w:r>
            <w:r>
              <w:rPr>
                <w:rFonts w:hint="eastAsia" w:ascii="宋体" w:hAnsi="宋体" w:cs="宋体"/>
                <w:color w:val="000000"/>
                <w:kern w:val="0"/>
                <w:sz w:val="24"/>
              </w:rPr>
              <w:br w:type="textWrapping"/>
            </w:r>
            <w:r>
              <w:rPr>
                <w:rFonts w:hint="eastAsia" w:ascii="宋体" w:hAnsi="宋体" w:cs="宋体"/>
                <w:color w:val="000000"/>
                <w:kern w:val="0"/>
                <w:sz w:val="24"/>
              </w:rPr>
              <w:t>专家论证、方案定稿、成立项目组、递交申报资料以及签署相关协议。</w:t>
            </w:r>
            <w:r>
              <w:rPr>
                <w:rFonts w:hint="eastAsia" w:ascii="宋体" w:hAnsi="宋体" w:cs="宋体"/>
                <w:color w:val="000000"/>
                <w:kern w:val="0"/>
                <w:sz w:val="24"/>
              </w:rPr>
              <w:br w:type="textWrapping"/>
            </w:r>
            <w:r>
              <w:rPr>
                <w:rFonts w:hint="eastAsia" w:ascii="宋体" w:hAnsi="宋体" w:cs="宋体"/>
                <w:color w:val="000000"/>
                <w:kern w:val="0"/>
                <w:sz w:val="24"/>
              </w:rPr>
              <w:t>3、第三阶段 2021年2月-5月项目招标前的参数细化、项目招标，商务合同签订。</w:t>
            </w:r>
            <w:r>
              <w:rPr>
                <w:rFonts w:hint="eastAsia" w:ascii="宋体" w:hAnsi="宋体" w:cs="宋体"/>
                <w:color w:val="000000"/>
                <w:kern w:val="0"/>
                <w:sz w:val="24"/>
              </w:rPr>
              <w:br w:type="textWrapping"/>
            </w:r>
            <w:r>
              <w:rPr>
                <w:rFonts w:hint="eastAsia" w:ascii="宋体" w:hAnsi="宋体" w:cs="宋体"/>
                <w:color w:val="000000"/>
                <w:kern w:val="0"/>
                <w:sz w:val="24"/>
              </w:rPr>
              <w:t>4、第四阶段 2021年6月-8月项目实施，阶段验收，项目相关内容培训。</w:t>
            </w:r>
            <w:r>
              <w:rPr>
                <w:rFonts w:hint="eastAsia" w:ascii="宋体" w:hAnsi="宋体" w:cs="宋体"/>
                <w:color w:val="000000"/>
                <w:kern w:val="0"/>
                <w:sz w:val="24"/>
              </w:rPr>
              <w:br w:type="textWrapping"/>
            </w:r>
            <w:r>
              <w:rPr>
                <w:rFonts w:hint="eastAsia" w:ascii="宋体" w:hAnsi="宋体" w:cs="宋体"/>
                <w:color w:val="000000"/>
                <w:kern w:val="0"/>
                <w:sz w:val="24"/>
              </w:rPr>
              <w:t>5、第五阶段 2021年9月</w:t>
            </w:r>
            <w:r>
              <w:rPr>
                <w:rFonts w:hint="eastAsia" w:ascii="宋体" w:hAnsi="宋体" w:cs="宋体"/>
                <w:color w:val="000000"/>
                <w:kern w:val="0"/>
                <w:sz w:val="24"/>
              </w:rPr>
              <w:br w:type="textWrapping"/>
            </w:r>
            <w:r>
              <w:rPr>
                <w:rFonts w:hint="eastAsia" w:ascii="宋体" w:hAnsi="宋体" w:cs="宋体"/>
                <w:color w:val="000000"/>
                <w:kern w:val="0"/>
                <w:sz w:val="24"/>
              </w:rPr>
              <w:t>投入试运行，项目终审/终验，项目总结。</w:t>
            </w:r>
          </w:p>
        </w:tc>
        <w:tc>
          <w:tcPr>
            <w:tcW w:w="835" w:type="dxa"/>
            <w:tcBorders>
              <w:top w:val="single" w:color="auto" w:sz="4" w:space="0"/>
              <w:left w:val="single" w:color="auto" w:sz="4" w:space="0"/>
              <w:right w:val="single" w:color="auto" w:sz="4" w:space="0"/>
            </w:tcBorders>
            <w:noWrap/>
            <w:vAlign w:val="center"/>
          </w:tcPr>
          <w:p>
            <w:pPr>
              <w:widowControl/>
              <w:jc w:val="center"/>
              <w:textAlignment w:val="center"/>
              <w:rPr>
                <w:rFonts w:ascii="宋体" w:hAnsi="宋体" w:cs="宋体"/>
                <w:color w:val="000000"/>
                <w:kern w:val="0"/>
                <w:sz w:val="16"/>
                <w:szCs w:val="16"/>
              </w:rPr>
            </w:pPr>
            <w:r>
              <w:rPr>
                <w:rFonts w:hint="eastAsia" w:ascii="宋体" w:hAnsi="宋体" w:cs="宋体"/>
                <w:color w:val="000000"/>
                <w:kern w:val="0"/>
                <w:sz w:val="24"/>
              </w:rPr>
              <w:t>2021年9月完工</w:t>
            </w:r>
          </w:p>
        </w:tc>
        <w:tc>
          <w:tcPr>
            <w:tcW w:w="86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2021年9月</w:t>
            </w:r>
          </w:p>
        </w:tc>
        <w:tc>
          <w:tcPr>
            <w:tcW w:w="563" w:type="dxa"/>
            <w:gridSpan w:val="2"/>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9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项目预计总投入272.9825万元</w:t>
            </w:r>
            <w:r>
              <w:rPr>
                <w:rFonts w:hint="eastAsia" w:ascii="宋体" w:hAnsi="宋体" w:cs="宋体"/>
                <w:color w:val="000000"/>
                <w:kern w:val="0"/>
                <w:sz w:val="24"/>
              </w:rPr>
              <w:t>（包含环境改造部分）</w:t>
            </w:r>
          </w:p>
        </w:tc>
        <w:tc>
          <w:tcPr>
            <w:tcW w:w="835" w:type="dxa"/>
            <w:tcBorders>
              <w:top w:val="single" w:color="auto" w:sz="4" w:space="0"/>
              <w:left w:val="nil"/>
              <w:bottom w:val="single" w:color="auto" w:sz="4" w:space="0"/>
              <w:right w:val="single" w:color="auto" w:sz="4" w:space="0"/>
            </w:tcBorders>
            <w:noWrap/>
            <w:vAlign w:val="center"/>
          </w:tcPr>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272.9825万元</w:t>
            </w:r>
          </w:p>
        </w:tc>
        <w:tc>
          <w:tcPr>
            <w:tcW w:w="8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0"/>
                <w:szCs w:val="20"/>
              </w:rPr>
              <w:t>183.12万元</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928" w:hRule="atLeas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效果指标</w:t>
            </w:r>
          </w:p>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ascii="宋体" w:hAnsi="宋体" w:cs="宋体"/>
                <w:color w:val="000000"/>
                <w:kern w:val="0"/>
                <w:sz w:val="24"/>
              </w:rPr>
            </w:pPr>
            <w:r>
              <w:rPr>
                <w:rFonts w:hint="eastAsia" w:ascii="宋体" w:hAnsi="宋体" w:cs="宋体"/>
                <w:color w:val="000000"/>
                <w:kern w:val="0"/>
                <w:sz w:val="24"/>
              </w:rPr>
              <w:t>通过本次项目建成集中化、智能化、自动化的校园安防环境，为校园师生的人身及财产安全带来了极大的保障，是构建和谐校园、提高校园环境质量的必要条件。</w:t>
            </w:r>
          </w:p>
        </w:tc>
        <w:tc>
          <w:tcPr>
            <w:tcW w:w="835" w:type="dxa"/>
            <w:tcBorders>
              <w:top w:val="single" w:color="auto" w:sz="4" w:space="0"/>
              <w:left w:val="single" w:color="auto" w:sz="4" w:space="0"/>
              <w:right w:val="single" w:color="auto" w:sz="4" w:space="0"/>
            </w:tcBorders>
            <w:noWrap/>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≥95%</w:t>
            </w:r>
          </w:p>
        </w:tc>
        <w:tc>
          <w:tcPr>
            <w:tcW w:w="862" w:type="dxa"/>
            <w:tcBorders>
              <w:top w:val="single" w:color="auto" w:sz="4" w:space="0"/>
              <w:left w:val="single" w:color="auto" w:sz="4" w:space="0"/>
              <w:right w:val="single" w:color="auto" w:sz="4" w:space="0"/>
            </w:tcBorders>
            <w:noWrap/>
            <w:vAlign w:val="center"/>
          </w:tcPr>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96%</w:t>
            </w:r>
          </w:p>
        </w:tc>
        <w:tc>
          <w:tcPr>
            <w:tcW w:w="563" w:type="dxa"/>
            <w:gridSpan w:val="2"/>
            <w:tcBorders>
              <w:top w:val="single" w:color="auto" w:sz="4" w:space="0"/>
              <w:left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仿宋_GB2312" w:hAnsi="宋体" w:eastAsia="仿宋_GB2312" w:cs="宋体"/>
                <w:kern w:val="0"/>
                <w:szCs w:val="21"/>
              </w:rPr>
              <w:t>15</w:t>
            </w:r>
          </w:p>
        </w:tc>
        <w:tc>
          <w:tcPr>
            <w:tcW w:w="563" w:type="dxa"/>
            <w:gridSpan w:val="2"/>
            <w:tcBorders>
              <w:top w:val="single" w:color="auto" w:sz="4" w:space="0"/>
              <w:left w:val="single" w:color="auto" w:sz="4" w:space="0"/>
              <w:right w:val="single" w:color="auto" w:sz="4" w:space="0"/>
            </w:tcBorders>
            <w:noWrap/>
            <w:vAlign w:val="center"/>
          </w:tcPr>
          <w:p>
            <w:pPr>
              <w:widowControl/>
              <w:jc w:val="left"/>
              <w:textAlignment w:val="bottom"/>
              <w:rPr>
                <w:rFonts w:ascii="宋体" w:hAnsi="宋体" w:cs="宋体"/>
                <w:color w:val="000000"/>
                <w:kern w:val="0"/>
                <w:sz w:val="24"/>
              </w:rPr>
            </w:pPr>
            <w:r>
              <w:rPr>
                <w:rFonts w:hint="eastAsia" w:ascii="仿宋_GB2312" w:hAnsi="宋体" w:eastAsia="仿宋_GB2312" w:cs="宋体"/>
                <w:kern w:val="0"/>
                <w:szCs w:val="21"/>
              </w:rPr>
              <w:t>10</w:t>
            </w:r>
          </w:p>
        </w:tc>
        <w:tc>
          <w:tcPr>
            <w:tcW w:w="141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08"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right w:val="single" w:color="auto" w:sz="4" w:space="0"/>
            </w:tcBorders>
            <w:noWrap/>
            <w:vAlign w:val="bottom"/>
          </w:tcPr>
          <w:p>
            <w:pPr>
              <w:widowControl/>
              <w:jc w:val="left"/>
              <w:textAlignment w:val="bottom"/>
              <w:rPr>
                <w:rFonts w:ascii="仿宋_GB2312" w:hAnsi="宋体" w:eastAsia="仿宋_GB2312" w:cs="宋体"/>
                <w:color w:val="000000"/>
                <w:kern w:val="0"/>
                <w:szCs w:val="21"/>
              </w:rPr>
            </w:pPr>
            <w:r>
              <w:rPr>
                <w:rFonts w:hint="eastAsia" w:ascii="宋体" w:hAnsi="宋体" w:cs="宋体"/>
                <w:color w:val="000000"/>
                <w:kern w:val="0"/>
                <w:sz w:val="24"/>
              </w:rPr>
              <w:t>1.老师满意度达到95%以上</w:t>
            </w:r>
            <w:r>
              <w:rPr>
                <w:rFonts w:hint="eastAsia" w:ascii="宋体" w:hAnsi="宋体" w:cs="宋体"/>
                <w:color w:val="000000"/>
                <w:kern w:val="0"/>
                <w:sz w:val="24"/>
              </w:rPr>
              <w:br w:type="textWrapping"/>
            </w:r>
            <w:r>
              <w:rPr>
                <w:rFonts w:hint="eastAsia" w:ascii="宋体" w:hAnsi="宋体" w:cs="宋体"/>
                <w:color w:val="000000"/>
                <w:kern w:val="0"/>
                <w:sz w:val="24"/>
              </w:rPr>
              <w:t>2.受益学生/学员满意度达到95%以上</w:t>
            </w:r>
          </w:p>
        </w:tc>
        <w:tc>
          <w:tcPr>
            <w:tcW w:w="835" w:type="dxa"/>
            <w:tcBorders>
              <w:top w:val="single" w:color="auto" w:sz="4" w:space="0"/>
              <w:left w:val="nil"/>
              <w:right w:val="single" w:color="auto" w:sz="4" w:space="0"/>
            </w:tcBorders>
            <w:noWrap/>
            <w:vAlign w:val="center"/>
          </w:tcPr>
          <w:p>
            <w:pPr>
              <w:widowControl/>
              <w:jc w:val="center"/>
              <w:textAlignment w:val="center"/>
              <w:rPr>
                <w:rFonts w:ascii="仿宋_GB2312" w:hAnsi="宋体" w:eastAsia="仿宋_GB2312" w:cs="宋体"/>
                <w:kern w:val="0"/>
                <w:szCs w:val="21"/>
              </w:rPr>
            </w:pPr>
            <w:r>
              <w:rPr>
                <w:rFonts w:hint="eastAsia" w:ascii="宋体" w:hAnsi="宋体" w:cs="宋体"/>
                <w:color w:val="000000"/>
                <w:kern w:val="0"/>
                <w:sz w:val="24"/>
              </w:rPr>
              <w:t>≥95%</w:t>
            </w:r>
          </w:p>
        </w:tc>
        <w:tc>
          <w:tcPr>
            <w:tcW w:w="862" w:type="dxa"/>
            <w:tcBorders>
              <w:top w:val="single" w:color="auto" w:sz="4" w:space="0"/>
              <w:left w:val="nil"/>
              <w:right w:val="single" w:color="auto" w:sz="4" w:space="0"/>
            </w:tcBorders>
            <w:noWrap/>
            <w:vAlign w:val="center"/>
          </w:tcPr>
          <w:p>
            <w:pPr>
              <w:widowControl/>
              <w:jc w:val="left"/>
              <w:textAlignment w:val="bottom"/>
              <w:rPr>
                <w:rFonts w:hint="eastAsia" w:ascii="宋体" w:hAnsi="宋体" w:cs="宋体"/>
                <w:color w:val="000000"/>
                <w:kern w:val="0"/>
                <w:sz w:val="24"/>
              </w:rPr>
            </w:pPr>
            <w:r>
              <w:rPr>
                <w:rFonts w:hint="eastAsia" w:ascii="宋体" w:hAnsi="宋体" w:cs="宋体"/>
                <w:color w:val="000000"/>
                <w:kern w:val="0"/>
                <w:sz w:val="24"/>
              </w:rPr>
              <w:t>97%</w:t>
            </w:r>
          </w:p>
        </w:tc>
        <w:tc>
          <w:tcPr>
            <w:tcW w:w="563" w:type="dxa"/>
            <w:gridSpan w:val="2"/>
            <w:tcBorders>
              <w:top w:val="single" w:color="auto" w:sz="4" w:space="0"/>
              <w:left w:val="nil"/>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right w:val="single" w:color="auto" w:sz="4" w:space="0"/>
            </w:tcBorders>
            <w:noWrap/>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4</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83</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hint="eastAsia"/>
        </w:rPr>
      </w:pPr>
    </w:p>
    <w:p>
      <w:pPr>
        <w:rPr>
          <w:rFonts w:hint="eastAsia"/>
        </w:rPr>
      </w:pPr>
    </w:p>
    <w:p>
      <w:pPr>
        <w:rPr>
          <w:rFonts w:hint="eastAsia"/>
        </w:rPr>
      </w:pP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1NzI4ZWM1ZGQwN2I3MjU3NjE5ZGE5NGFmZjMwZDUifQ=="/>
  </w:docVars>
  <w:rsids>
    <w:rsidRoot w:val="00BD6E9F"/>
    <w:rsid w:val="0044398C"/>
    <w:rsid w:val="004A408C"/>
    <w:rsid w:val="007B50FD"/>
    <w:rsid w:val="00BD6E9F"/>
    <w:rsid w:val="00D90CE2"/>
    <w:rsid w:val="00E3661D"/>
    <w:rsid w:val="50DA48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character" w:customStyle="1" w:styleId="8">
    <w:name w:val="font21"/>
    <w:basedOn w:val="5"/>
    <w:uiPriority w:val="0"/>
    <w:rPr>
      <w:rFonts w:hint="eastAsia" w:ascii="宋体" w:hAnsi="宋体" w:eastAsia="宋体" w:cs="宋体"/>
      <w:color w:val="000000"/>
      <w:sz w:val="20"/>
      <w:szCs w:val="20"/>
      <w:u w:val="none"/>
    </w:rPr>
  </w:style>
  <w:style w:type="character" w:customStyle="1" w:styleId="9">
    <w:name w:val="font31"/>
    <w:basedOn w:val="5"/>
    <w:uiPriority w:val="0"/>
    <w:rPr>
      <w:rFonts w:hint="eastAsia" w:ascii="宋体" w:hAnsi="宋体" w:eastAsia="宋体" w:cs="宋体"/>
      <w:color w:val="000000"/>
      <w:sz w:val="20"/>
      <w:szCs w:val="20"/>
      <w:u w:val="none"/>
    </w:rPr>
  </w:style>
  <w:style w:type="character" w:customStyle="1" w:styleId="10">
    <w:name w:val="font51"/>
    <w:basedOn w:val="5"/>
    <w:uiPriority w:val="0"/>
    <w:rPr>
      <w:rFonts w:hint="eastAsia" w:ascii="宋体" w:hAnsi="宋体" w:eastAsia="宋体" w:cs="宋体"/>
      <w:color w:val="000000"/>
      <w:sz w:val="22"/>
      <w:szCs w:val="22"/>
      <w:u w:val="none"/>
    </w:rPr>
  </w:style>
  <w:style w:type="character" w:customStyle="1" w:styleId="11">
    <w:name w:val="font41"/>
    <w:basedOn w:val="5"/>
    <w:uiPriority w:val="0"/>
    <w:rPr>
      <w:rFonts w:hint="eastAsia" w:ascii="宋体" w:hAnsi="宋体" w:eastAsia="宋体" w:cs="宋体"/>
      <w:color w:val="000000"/>
      <w:sz w:val="20"/>
      <w:szCs w:val="20"/>
      <w:u w:val="none"/>
    </w:rPr>
  </w:style>
  <w:style w:type="character" w:customStyle="1" w:styleId="12">
    <w:name w:val="font61"/>
    <w:basedOn w:val="5"/>
    <w:uiPriority w:val="0"/>
    <w:rPr>
      <w:rFonts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4970</Words>
  <Characters>5669</Characters>
  <Lines>57</Lines>
  <Paragraphs>16</Paragraphs>
  <TotalTime>11</TotalTime>
  <ScaleCrop>false</ScaleCrop>
  <LinksUpToDate>false</LinksUpToDate>
  <CharactersWithSpaces>5988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2021-06-09T00:47:00Z</dcterms:created>
  <dc:creator>dell</dc:creator>
  <cp:lastModifiedBy>li</cp:lastModifiedBy>
  <dcterms:modified xsi:type="dcterms:W3CDTF">2022-06-07T07:11:25Z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A75E3225C09D44A091D7701D2E376EA2</vt:lpwstr>
  </property>
</Properties>
</file>