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jc w:val="center"/>
        <w:rPr>
          <w:rFonts w:hint="eastAsia" w:ascii="宋体" w:hAnsi="宋体"/>
          <w:b/>
          <w:color w:val="auto"/>
          <w:sz w:val="44"/>
          <w:szCs w:val="44"/>
          <w:highlight w:val="none"/>
          <w:lang w:eastAsia="zh-CN"/>
        </w:rPr>
      </w:pPr>
      <w:r>
        <w:rPr>
          <w:rFonts w:hint="eastAsia" w:ascii="宋体" w:hAnsi="宋体"/>
          <w:b/>
          <w:color w:val="auto"/>
          <w:sz w:val="44"/>
          <w:szCs w:val="44"/>
          <w:highlight w:val="none"/>
          <w:lang w:eastAsia="zh-CN"/>
        </w:rPr>
        <w:t>中国共产党北京市委员会党史研究室</w:t>
      </w:r>
    </w:p>
    <w:p>
      <w:pPr>
        <w:spacing w:line="600" w:lineRule="auto"/>
        <w:ind w:firstLine="2209" w:firstLineChars="500"/>
        <w:rPr>
          <w:rFonts w:hint="eastAsia" w:ascii="仿宋_GB2312" w:hAnsi="Times New Roman" w:eastAsia="仿宋_GB2312" w:cs="Times New Roman"/>
          <w:b w:val="0"/>
          <w:bCs/>
          <w:sz w:val="32"/>
          <w:szCs w:val="32"/>
          <w:highlight w:val="none"/>
          <w:lang w:val="en-US" w:eastAsia="zh-CN"/>
        </w:rPr>
      </w:pPr>
      <w:r>
        <w:rPr>
          <w:rFonts w:hint="eastAsia" w:ascii="宋体" w:hAnsi="宋体"/>
          <w:b/>
          <w:color w:val="auto"/>
          <w:sz w:val="44"/>
          <w:szCs w:val="44"/>
          <w:highlight w:val="none"/>
          <w:lang w:val="en-US" w:eastAsia="zh-CN"/>
        </w:rPr>
        <w:t>部门整体</w:t>
      </w:r>
      <w:r>
        <w:rPr>
          <w:rFonts w:hint="eastAsia" w:ascii="宋体" w:hAnsi="宋体"/>
          <w:b/>
          <w:color w:val="auto"/>
          <w:sz w:val="44"/>
          <w:szCs w:val="44"/>
          <w:highlight w:val="none"/>
        </w:rPr>
        <w:t>绩效评价报告</w:t>
      </w:r>
    </w:p>
    <w:p>
      <w:pPr>
        <w:spacing w:line="600" w:lineRule="exact"/>
        <w:ind w:firstLine="640" w:firstLineChars="200"/>
        <w:rPr>
          <w:rFonts w:hint="eastAsia" w:ascii="楷体_GB2312" w:eastAsia="楷体_GB2312"/>
          <w:color w:val="auto"/>
          <w:sz w:val="32"/>
          <w:szCs w:val="32"/>
          <w:highlight w:val="none"/>
          <w:lang w:eastAsia="zh-CN"/>
        </w:rPr>
      </w:pPr>
      <w:r>
        <w:rPr>
          <w:rFonts w:hint="eastAsia" w:ascii="仿宋_GB2312" w:hAnsi="Times New Roman" w:eastAsia="仿宋_GB2312" w:cs="Times New Roman"/>
          <w:b w:val="0"/>
          <w:bCs/>
          <w:sz w:val="32"/>
          <w:szCs w:val="32"/>
          <w:highlight w:val="none"/>
          <w:lang w:val="en-US" w:eastAsia="zh-CN"/>
        </w:rPr>
        <w:t>一</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en-US" w:eastAsia="zh-CN"/>
        </w:rPr>
        <w:t>部门概况</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Times New Roman"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（一）</w:t>
      </w:r>
      <w:r>
        <w:rPr>
          <w:rFonts w:hint="eastAsia" w:ascii="仿宋_GB2312" w:hAnsi="Times New Roman" w:eastAsia="仿宋_GB2312" w:cs="Times New Roman"/>
          <w:b w:val="0"/>
          <w:bCs/>
          <w:sz w:val="32"/>
          <w:szCs w:val="32"/>
          <w:highlight w:val="none"/>
          <w:lang w:val="en-US" w:eastAsia="zh-CN"/>
        </w:rPr>
        <w:t>机构设置及职责工作任务情况</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本部门内设综合处(人事处)、第一研究处、第二研究处、第三研究处、市志指导处、区志指导处、年鉴指导处、科研规划处、宣传教育处、文献资料处、刊物编辑部和机关党委(党建工作处)。下属事业单位有北京年鉴社和北京市方志馆。</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中国共产</w:t>
      </w:r>
      <w:bookmarkStart w:id="5" w:name="_GoBack"/>
      <w:bookmarkEnd w:id="5"/>
      <w:r>
        <w:rPr>
          <w:rFonts w:hint="eastAsia" w:ascii="仿宋_GB2312" w:hAnsi="Times New Roman" w:eastAsia="仿宋_GB2312" w:cs="Times New Roman"/>
          <w:b w:val="0"/>
          <w:bCs/>
          <w:sz w:val="32"/>
          <w:szCs w:val="32"/>
          <w:highlight w:val="none"/>
          <w:lang w:val="en-US" w:eastAsia="zh-CN"/>
        </w:rPr>
        <w:t>党北京市委员会党史研究室主要职责：制定本市党史和文献工作规划，依法治志，拟定地方志工作规划和编纂方案。研究本市党的历史，总结党的历史经验和优良传统，发挥党史资政育人作用，为新时代党的建设和市委决策服务，为教育广大党员、干部、群众和青少年服务。征集、整理、编纂本市党史文献资料，收集、整理重要口述党史资料、重要人物回忆录，编辑重要文献。开展本市党的历史、党的领袖人物及老一辈革命家精神风范的宣传普及教育，宣传党的奋斗历史、执政理念和治国理政思想。审核涉及本市党的历史的重要文稿、档案、书稿、照片，参与审核重大革命历史题材影视作品、展览、新建纪念场馆的立项和内容等。组织编纂本市地方志书、地方综合年鉴。收(征)集、保存本市地方志文献和资料，组织整理旧志，推动地方志理论研究。组织开发利用地方志资源。指导各区党史和文献工作，组织、指导、督促和检查本市地方志工作。完成市委、市政府交办的其他任务。</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北京年鉴社主要职责：负责《北京年鉴》的编辑、出版和发行工作。</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北京市方志馆主要职责：从事地方志、地情资料的收集、整理、保存、编辑、研究、展示等工作，面向社会提供咨询、借阅等服务，展开地情教育、地方文化交流交往活动等。</w:t>
      </w:r>
    </w:p>
    <w:p>
      <w:pPr>
        <w:numPr>
          <w:ilvl w:val="0"/>
          <w:numId w:val="0"/>
        </w:numPr>
        <w:spacing w:line="600" w:lineRule="exact"/>
        <w:ind w:firstLine="640" w:firstLineChars="200"/>
        <w:rPr>
          <w:rFonts w:hint="eastAsia" w:ascii="楷体_GB2312" w:eastAsia="楷体_GB2312"/>
          <w:color w:val="auto"/>
          <w:sz w:val="32"/>
          <w:szCs w:val="32"/>
          <w:highlight w:val="none"/>
        </w:rPr>
      </w:pPr>
      <w:r>
        <w:rPr>
          <w:rFonts w:hint="eastAsia" w:ascii="仿宋_GB2312" w:eastAsia="仿宋_GB2312" w:cs="Times New Roman"/>
          <w:b w:val="0"/>
          <w:bCs/>
          <w:sz w:val="32"/>
          <w:szCs w:val="32"/>
          <w:highlight w:val="none"/>
          <w:lang w:val="en-US" w:eastAsia="zh-CN"/>
        </w:rPr>
        <w:t>（二）</w:t>
      </w:r>
      <w:r>
        <w:rPr>
          <w:rFonts w:hint="eastAsia" w:ascii="仿宋_GB2312" w:hAnsi="Times New Roman" w:eastAsia="仿宋_GB2312" w:cs="Times New Roman"/>
          <w:b w:val="0"/>
          <w:bCs/>
          <w:sz w:val="32"/>
          <w:szCs w:val="32"/>
          <w:highlight w:val="none"/>
          <w:lang w:val="en-US" w:eastAsia="zh-CN"/>
        </w:rPr>
        <w:t>部门整体绩效目标设立情况</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深入领会习近平总书记关于党史和地方志工作的重要论述，在党史学习中先学一步、学深一步，充分结合新时代北京改革开放、科学发展的伟大实践，搞好全市党史地方志工作的顶层设计和谋篇布局，把党领导全市人民在实现中华民族伟大复兴中国梦过程中的生动实践作为工作重点，扎实推进，全面推动全市党史和地方志工作再上新台阶。</w:t>
      </w:r>
    </w:p>
    <w:p>
      <w:pPr>
        <w:spacing w:line="60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二</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en-US" w:eastAsia="zh-CN"/>
        </w:rPr>
        <w:t>当年预算执行情况</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2021年全年预算数7172.03万元，其中：基本支出预算数4015.36万元，项目支出预算数3156.66万元,其他资金预算数5.37万元。资金总体支出6760.21万元，其中：基本支出3712.28万元，项目支出3021.44万元，其他支出26.25万元。预算执行率为94.26%。</w:t>
      </w:r>
    </w:p>
    <w:p>
      <w:pPr>
        <w:spacing w:line="60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三</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en-US" w:eastAsia="zh-CN"/>
        </w:rPr>
        <w:t>整体绩效目标实现情况</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（一）</w:t>
      </w:r>
      <w:r>
        <w:rPr>
          <w:rFonts w:hint="eastAsia" w:ascii="仿宋_GB2312" w:hAnsi="Times New Roman" w:eastAsia="仿宋_GB2312" w:cs="Times New Roman"/>
          <w:b w:val="0"/>
          <w:bCs/>
          <w:sz w:val="32"/>
          <w:szCs w:val="32"/>
          <w:highlight w:val="none"/>
          <w:lang w:val="en-US" w:eastAsia="zh-CN"/>
        </w:rPr>
        <w:t>产出完成情况分析</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1</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en-US" w:eastAsia="zh-CN"/>
        </w:rPr>
        <w:t>产出数量</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数量指标设定为：启动以北大红楼为载体的中国共产党早期活动历史研究。完成第二轮修志规划任务。编辑出版一批高质量北京历史通俗读物。高质量编好《北京年鉴》和大事记，打造一批精品年鉴。发挥《北京党史》和《北京地方志》期刊阵地作用。加强对方志馆升级改造工作指导，举办专题展览。现阶段项目的完成情况：</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助力全市党史学习教育。</w:t>
      </w:r>
      <w:r>
        <w:rPr>
          <w:rFonts w:hint="eastAsia" w:ascii="仿宋_GB2312" w:hAnsi="Times New Roman" w:eastAsia="仿宋_GB2312" w:cs="Times New Roman"/>
          <w:b w:val="0"/>
          <w:bCs/>
          <w:sz w:val="32"/>
          <w:szCs w:val="32"/>
          <w:highlight w:val="none"/>
          <w:lang w:val="en-US" w:eastAsia="zh-CN"/>
        </w:rPr>
        <w:t>编写出版《追梦百年路：党史学习二十六讲》；联合市委宣传部举办“永远跟党走”党史知识竞赛，协助市委组织部制作100集“北京党史”慕课，与北京日报合作推出“踏寻北京红色印记”专栏（38期），与北京广播电视台推出微纪录作品《京华红色百年历程》（77期）、大型融媒体系列报道《见证初心 百集京华党史故事》，累计受众至今已经超3亿人次。《北京市党史学习教育简报》有6期刊登我室服务全市党史学习教育有关材料，其中“北京党史”慕课经验材料被中央党史学习教育简报、中宣部《宣传工作》全文刊发，得到市领导充分肯定。</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及时跟踪记录新时代生动实践。</w:t>
      </w:r>
      <w:r>
        <w:rPr>
          <w:rFonts w:hint="eastAsia" w:ascii="仿宋_GB2312" w:hAnsi="Times New Roman" w:eastAsia="仿宋_GB2312" w:cs="Times New Roman"/>
          <w:b w:val="0"/>
          <w:bCs/>
          <w:sz w:val="32"/>
          <w:szCs w:val="32"/>
          <w:highlight w:val="none"/>
          <w:lang w:val="en-US" w:eastAsia="zh-CN"/>
        </w:rPr>
        <w:t>编辑整理《习近平关于北京工作论述摘编（2013年2月—2021年1月）》；编撰出版《中国共产党北京市委执政纪事（2017.6-2019.12）》《中国共产党北京历史大事记（2019）》《中国共产党北京历史大事记（2020）》，完成《中共北京市委执政纪事（2020）》《北京年鉴（2021）》《北京市全面建成小康社会大事记》《脱贫攻坚口述史（北京卷）》编撰工作，续编北京市推进京津冀协同发展战略大事记、北京新冠肺炎疫情防控大事记及资料汇编等，全面忠实记录习近平新时代中国特色社会主义思想在京华大地的生动实践。</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高标准完成市委交办重要任务。</w:t>
      </w:r>
      <w:r>
        <w:rPr>
          <w:rFonts w:hint="eastAsia" w:ascii="仿宋_GB2312" w:hAnsi="Times New Roman" w:eastAsia="仿宋_GB2312" w:cs="Times New Roman"/>
          <w:b w:val="0"/>
          <w:bCs/>
          <w:sz w:val="32"/>
          <w:szCs w:val="32"/>
          <w:highlight w:val="none"/>
          <w:lang w:val="en-US" w:eastAsia="zh-CN"/>
        </w:rPr>
        <w:t>完成建党100周年庆祝活动有关筹办任务，配合做好北大红楼与中国共产党早期北京革命活动旧址开放前的审核把关等工作，有力保障了旧址按时集中对外开放。落实市委领导指示，梳理形成长辛店地区红色文化资源、革命历史研究成果和保护利用工作报告；整理毛泽东等老一辈革命家关于北京城市规划建设指示，以及党的一大前全国早期党员名单和简介、毛泽东在京居住地等资料，为市委决策提供支持。</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服务全国文化中心建设。</w:t>
      </w:r>
      <w:r>
        <w:rPr>
          <w:rFonts w:hint="eastAsia" w:ascii="仿宋_GB2312" w:hAnsi="Times New Roman" w:eastAsia="仿宋_GB2312" w:cs="Times New Roman"/>
          <w:b w:val="0"/>
          <w:bCs/>
          <w:sz w:val="32"/>
          <w:szCs w:val="32"/>
          <w:highlight w:val="none"/>
          <w:lang w:val="en-US" w:eastAsia="zh-CN"/>
        </w:rPr>
        <w:t>编纂出版《北京的老城》《北京大运河文化纵览》《西山永定河文化纵览》画册；推进市方志馆升级改造，影印再造北京地区旧志69种700余卷、旧年鉴52种，精心打磨《方志北京》《年鉴北京》常设展和《志说“一城三带”》专题展；《北京地方志》杂志推出西山永定河、大运河历史文化研究专刊。</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着力抓好五年规划落实。</w:t>
      </w:r>
      <w:r>
        <w:rPr>
          <w:rFonts w:hint="eastAsia" w:ascii="仿宋_GB2312" w:hAnsi="Times New Roman" w:eastAsia="仿宋_GB2312" w:cs="Times New Roman"/>
          <w:b w:val="0"/>
          <w:bCs/>
          <w:sz w:val="32"/>
          <w:szCs w:val="32"/>
          <w:highlight w:val="none"/>
          <w:lang w:val="en-US" w:eastAsia="zh-CN"/>
        </w:rPr>
        <w:t>一是抓好党史研究、志鉴编修。推进《中国共产党北京历史》（第三卷）编撰；指导完成16区党史基本著作审查验收和出版工作；推进第二轮志书重大选题备案审查和出版；完成《北京抗日战争志》编纂，21部北京市“中国传统村落志”进入出版环节，《西城区天桥街道志》入选中国名镇志文化工程；巩固市区两级地方综合年鉴当年编纂、当年出版成果，指导全国首部商务中心区年鉴创刊，《北京年鉴》等8部年鉴荣获第八届全国地方志优秀成果（年鉴类），《北京朝阳年鉴（2020）》入选中国精品年鉴、全国重版品读年鉴（共4本），全市年鉴质量稳步提升。征集党史地方志资料5000余份，加强与外省市进行图书交换，启动口述史工作，夯实存史基础。二是着力打造精品力作。围绕迎接党的二十大和市第十三次党代会召开，策划编撰《党的十九大以来北京发展纪实》，不断写好讲好新时代北京故事。围绕三大爱国主义教育主题片区，以伟大建党精神的活水源头为主题，编撰出版《北大红楼与中国共产党创建历史丛书》（8本），入选中宣部2021年主题出版重点出版物选题、国家新闻出版署2021年农家书屋增补书目，已经制作成有声书通过广播电台面向读者播放。深化细化专题研究，策划编撰《北平抗日斗争历史丛书》（12本），不断写好讲好北京党史故事。围绕北京老城保护、“三条文化带”建设和中轴线申遗，编撰完成北京“一城三带”历史丛书（5本）。三是发挥铸魂育人功能。打造宣传品牌，围绕庆祝建党百年，组织全市党史地方志系统开展“共享伟大荣光 共铸复兴伟业”史志宣传月活动，举办庆祝中国共产党成立100周年首场新闻发布会之党史地方志专场，策划实施159个重点项目，293家部门参与，受众达1600万余人次，人民日报、新华社等上百家媒体广泛报道。充分利用“史志北京”“北京市方志馆”微信公众号开展史志宣传，一批文章被“学习强国”“北京组工”等转载；《北京党史》《北京地方志》杂志推出“庆祝中国共产党成立100周年”“党的历史经验研究”“北大红楼历史文化研究”等专栏专刊。</w:t>
      </w:r>
    </w:p>
    <w:p>
      <w:pPr>
        <w:numPr>
          <w:ilvl w:val="0"/>
          <w:numId w:val="0"/>
        </w:num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2</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en-US" w:eastAsia="zh-CN"/>
        </w:rPr>
        <w:t>产出质量</w:t>
      </w:r>
    </w:p>
    <w:p>
      <w:pPr>
        <w:numPr>
          <w:ilvl w:val="0"/>
          <w:numId w:val="0"/>
        </w:num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质量指标设定为：打造一批精品力作。牢固树立群众观点解决实际问题。提升公共服务水平。达成以下质量成果：</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助力全市党史学习教育。</w:t>
      </w:r>
      <w:r>
        <w:rPr>
          <w:rFonts w:hint="eastAsia" w:ascii="仿宋_GB2312" w:hAnsi="Times New Roman" w:eastAsia="仿宋_GB2312" w:cs="Times New Roman"/>
          <w:b w:val="0"/>
          <w:bCs/>
          <w:sz w:val="32"/>
          <w:szCs w:val="32"/>
          <w:highlight w:val="none"/>
          <w:lang w:val="en-US" w:eastAsia="zh-CN"/>
        </w:rPr>
        <w:t>党史宣传见成效，累计受众至今已经超3亿人次。《北京市党史学习教育简报》有6期刊登我室服务全市党史学习教育有关材料，其中“北京党史”慕课经验材料被中央党史学习教育简报、中宣部《宣传工作》全文刊发，得到市领导充分肯定。</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及时跟踪记录新时代生动实践。</w:t>
      </w:r>
      <w:r>
        <w:rPr>
          <w:rFonts w:hint="eastAsia" w:ascii="仿宋_GB2312" w:hAnsi="Times New Roman" w:eastAsia="仿宋_GB2312" w:cs="Times New Roman"/>
          <w:b w:val="0"/>
          <w:bCs/>
          <w:sz w:val="32"/>
          <w:szCs w:val="32"/>
          <w:highlight w:val="none"/>
          <w:lang w:val="en-US" w:eastAsia="zh-CN"/>
        </w:rPr>
        <w:t>出版《习近平关于北京工作论述摘编（2022年版）》，发往全市处级以上领导班干部和各支部；出版《中国共产党北京市委执政纪事（2017.6-2019.12）》《中国共产党北京历史大事记》（2019）（2020），完成《北京年鉴》（2021）等。</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高标准完成市委交办重要任务。</w:t>
      </w:r>
      <w:r>
        <w:rPr>
          <w:rFonts w:hint="eastAsia" w:ascii="仿宋_GB2312" w:hAnsi="Times New Roman" w:eastAsia="仿宋_GB2312" w:cs="Times New Roman"/>
          <w:b w:val="0"/>
          <w:bCs/>
          <w:sz w:val="32"/>
          <w:szCs w:val="32"/>
          <w:highlight w:val="none"/>
          <w:lang w:val="en-US" w:eastAsia="zh-CN"/>
        </w:rPr>
        <w:t>完成建党100周年庆祝活动有关筹办任务，有力保障了旧址按时集中对外开放。落实市委领导指示，梳理形成长辛店地区红色文化资源、革命历史研究成果和保护利用工作报告；整理毛泽东等老一辈革命家关于北京城市规划建设指示，以及党的一大前全国早期党员名单和简介、毛泽东在京居住地等资料，为市委决策提供支持。</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服务全国文化中心建设。</w:t>
      </w:r>
      <w:r>
        <w:rPr>
          <w:rFonts w:hint="eastAsia" w:ascii="仿宋_GB2312" w:hAnsi="Times New Roman" w:eastAsia="仿宋_GB2312" w:cs="Times New Roman"/>
          <w:b w:val="0"/>
          <w:bCs/>
          <w:sz w:val="32"/>
          <w:szCs w:val="32"/>
          <w:highlight w:val="none"/>
          <w:lang w:val="en-US" w:eastAsia="zh-CN"/>
        </w:rPr>
        <w:t>出版《北京的老城》《北京大运河文化纵览》《西山永定河文化纵览》画册；实现市方志馆升级改造，影印再造北京地区旧志69种700余卷、旧年鉴52种，《方志北京》《年鉴北京》常设展和《志说“一城三带”》专题展对外开放；《北京地方志》杂志推出的西山永定河、大运河历史文化研究专刊，受到欢迎。</w:t>
      </w:r>
    </w:p>
    <w:p>
      <w:pPr>
        <w:spacing w:line="560" w:lineRule="exact"/>
        <w:ind w:firstLine="643"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bCs w:val="0"/>
          <w:sz w:val="32"/>
          <w:szCs w:val="32"/>
          <w:highlight w:val="none"/>
          <w:lang w:val="en-US" w:eastAsia="zh-CN"/>
        </w:rPr>
        <w:t>着力抓好五年规划落实。</w:t>
      </w:r>
      <w:r>
        <w:rPr>
          <w:rFonts w:hint="eastAsia" w:ascii="仿宋_GB2312" w:hAnsi="Times New Roman" w:eastAsia="仿宋_GB2312" w:cs="Times New Roman"/>
          <w:b w:val="0"/>
          <w:bCs/>
          <w:sz w:val="32"/>
          <w:szCs w:val="32"/>
          <w:highlight w:val="none"/>
          <w:lang w:val="en-US" w:eastAsia="zh-CN"/>
        </w:rPr>
        <w:t>一是抓好党史研究、志鉴编修。相关书刊质量符合新闻出版署关于出版物质量标准。《西城区天桥街道志》入选中国名镇志文化工程；《北京年鉴》等8部年鉴荣获第八届全国地方志优秀成果（年鉴类），《北京朝阳年鉴（2020）》入选中国精品年鉴、全国重版品读年鉴（共4本），全市年鉴质量稳步提升。征集党史地方志资料夯实存史基础。二是着力打造精品力作。围绕迎接党的二十大和市第十三次党代会召开，策划编撰《党的十九大以来北京发展纪实》，不断写好讲好新时代北京故事。《北大红楼与中国共产党创建历史丛书》（8本），入选中宣部2021年主题出版重点出版物选题、国家新闻出版署2021年农家书屋增补书目。三是发挥铸魂育人功能。打造宣传品牌，围绕庆祝建党百年，组织全市党史地方志系统开展“共享伟大荣光 共铸复兴伟业”史志宣传月活动，人民日报、新华社等上百家媒体广泛报道。“史志北京”“北京市方志馆”微信公众号一批文章被“学习强国”“北京组工”等转载；《北京党史》《北京地方志》杂志推出“庆祝中国共产党成立100周年”“党的历史经验研究”“北大红楼历史文化研究”等专栏专刊。</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3</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en-US" w:eastAsia="zh-CN"/>
        </w:rPr>
        <w:t>产出进度</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zh-CN" w:eastAsia="zh-CN"/>
        </w:rPr>
        <w:t>根据部门整体产出完成目标情况分析，年度重点工作全部按照计划要求完成。通过年度各项工作有序推进落实，有效保障了</w:t>
      </w:r>
      <w:r>
        <w:rPr>
          <w:rFonts w:hint="eastAsia" w:ascii="仿宋_GB2312" w:hAnsi="Times New Roman" w:eastAsia="仿宋_GB2312" w:cs="Times New Roman"/>
          <w:b w:val="0"/>
          <w:bCs/>
          <w:sz w:val="32"/>
          <w:szCs w:val="32"/>
          <w:highlight w:val="none"/>
          <w:lang w:val="en-US" w:eastAsia="zh-CN"/>
        </w:rPr>
        <w:t>北京史志工作</w:t>
      </w:r>
      <w:r>
        <w:rPr>
          <w:rFonts w:hint="eastAsia" w:ascii="仿宋_GB2312" w:hAnsi="Times New Roman" w:eastAsia="仿宋_GB2312" w:cs="Times New Roman"/>
          <w:b w:val="0"/>
          <w:bCs/>
          <w:sz w:val="32"/>
          <w:szCs w:val="32"/>
          <w:highlight w:val="none"/>
          <w:lang w:val="zh-CN" w:eastAsia="zh-CN"/>
        </w:rPr>
        <w:t>实施进度及产出时效性。</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hAnsi="Times New Roman" w:eastAsia="仿宋_GB2312" w:cs="Times New Roman"/>
          <w:b w:val="0"/>
          <w:bCs/>
          <w:sz w:val="32"/>
          <w:szCs w:val="32"/>
          <w:highlight w:val="none"/>
          <w:lang w:val="en-US" w:eastAsia="zh-CN"/>
        </w:rPr>
        <w:t>4</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zh-CN" w:eastAsia="zh-CN"/>
        </w:rPr>
        <w:t xml:space="preserve">产出成本 </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hAnsi="Times New Roman" w:eastAsia="仿宋_GB2312" w:cs="Times New Roman"/>
          <w:b w:val="0"/>
          <w:bCs/>
          <w:sz w:val="32"/>
          <w:szCs w:val="32"/>
          <w:highlight w:val="none"/>
          <w:lang w:val="zh-CN" w:eastAsia="zh-CN"/>
        </w:rPr>
        <w:t xml:space="preserve">根据全年度成本支出情况分析，经费支出符合部门履职范围，部门总体资金支出控制在预算范围内，未出现超支情况，部门整体成本控制情况较好。合理控制部门经费支出成本；有效履行预算资金审批使用相关规定，有效控制各项费用支出，经济业务事项支出严格按合同执行。                 </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eastAsia="仿宋_GB2312" w:cs="Times New Roman"/>
          <w:b w:val="0"/>
          <w:bCs/>
          <w:sz w:val="32"/>
          <w:szCs w:val="32"/>
          <w:highlight w:val="none"/>
          <w:lang w:val="en-US" w:eastAsia="zh-CN"/>
        </w:rPr>
        <w:t>（二）</w:t>
      </w:r>
      <w:r>
        <w:rPr>
          <w:rFonts w:hint="eastAsia" w:ascii="仿宋_GB2312" w:hAnsi="Times New Roman" w:eastAsia="仿宋_GB2312" w:cs="Times New Roman"/>
          <w:b w:val="0"/>
          <w:bCs/>
          <w:sz w:val="32"/>
          <w:szCs w:val="32"/>
          <w:highlight w:val="none"/>
          <w:lang w:val="zh-CN" w:eastAsia="zh-CN"/>
        </w:rPr>
        <w:t>效果实现情况分析</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1.</w:t>
      </w:r>
      <w:r>
        <w:rPr>
          <w:rFonts w:hint="eastAsia" w:ascii="仿宋_GB2312" w:hAnsi="Times New Roman" w:eastAsia="仿宋_GB2312" w:cs="Times New Roman"/>
          <w:b w:val="0"/>
          <w:bCs/>
          <w:sz w:val="32"/>
          <w:szCs w:val="32"/>
          <w:highlight w:val="none"/>
          <w:lang w:val="zh-CN" w:eastAsia="zh-CN"/>
        </w:rPr>
        <w:t>经济效益</w:t>
      </w:r>
      <w:r>
        <w:rPr>
          <w:rFonts w:hint="eastAsia" w:ascii="仿宋_GB2312" w:hAnsi="Times New Roman" w:eastAsia="仿宋_GB2312" w:cs="Times New Roman"/>
          <w:b w:val="0"/>
          <w:bCs/>
          <w:sz w:val="32"/>
          <w:szCs w:val="32"/>
          <w:highlight w:val="none"/>
          <w:lang w:val="en-US" w:eastAsia="zh-CN"/>
        </w:rPr>
        <w:t xml:space="preserve"> </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不涉及。</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eastAsia="仿宋_GB2312" w:cs="Times New Roman"/>
          <w:b w:val="0"/>
          <w:bCs/>
          <w:sz w:val="32"/>
          <w:szCs w:val="32"/>
          <w:highlight w:val="none"/>
          <w:lang w:val="en-US" w:eastAsia="zh-CN"/>
        </w:rPr>
        <w:t>2.</w:t>
      </w:r>
      <w:r>
        <w:rPr>
          <w:rFonts w:hint="eastAsia" w:ascii="仿宋_GB2312" w:hAnsi="Times New Roman" w:eastAsia="仿宋_GB2312" w:cs="Times New Roman"/>
          <w:b w:val="0"/>
          <w:bCs/>
          <w:sz w:val="32"/>
          <w:szCs w:val="32"/>
          <w:highlight w:val="none"/>
          <w:lang w:val="zh-CN" w:eastAsia="zh-CN"/>
        </w:rPr>
        <w:t>社会效益</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hAnsi="Times New Roman" w:eastAsia="仿宋_GB2312" w:cs="Times New Roman"/>
          <w:b w:val="0"/>
          <w:bCs/>
          <w:sz w:val="32"/>
          <w:szCs w:val="32"/>
          <w:highlight w:val="none"/>
          <w:lang w:val="zh-CN" w:eastAsia="zh-CN"/>
        </w:rPr>
        <w:t>效益指标设定为：聚焦主责主业服务大局。围绕党史地方志发展中遇到的重点难点关节点解决问题。加强精细化管理，不断健全完善各项制度，建设新时代高素质骨干队伍。</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hAnsi="Times New Roman" w:eastAsia="仿宋_GB2312" w:cs="Times New Roman"/>
          <w:b w:val="0"/>
          <w:bCs/>
          <w:sz w:val="32"/>
          <w:szCs w:val="32"/>
          <w:highlight w:val="none"/>
          <w:lang w:val="en-US" w:eastAsia="zh-CN"/>
        </w:rPr>
        <w:t>通过实施史志业务经费项目，发挥党史地方志存史资政育人的社会效益：</w:t>
      </w:r>
      <w:r>
        <w:rPr>
          <w:rFonts w:hint="eastAsia" w:ascii="仿宋_GB2312" w:hAnsi="Times New Roman" w:eastAsia="仿宋_GB2312" w:cs="Times New Roman"/>
          <w:b w:val="0"/>
          <w:bCs/>
          <w:sz w:val="32"/>
          <w:szCs w:val="32"/>
          <w:highlight w:val="none"/>
          <w:lang w:val="zh-CN" w:eastAsia="zh-CN"/>
        </w:rPr>
        <w:t>助力全市党史学习教育，我室服务全市党史学习教育有关材料，得到市领导充分肯定；及时跟踪记录新时代生动实践，全面忠实记录习近平新时代中国特色社会主义思想在京华大地的生动实践；高标准完成市委交办重要任务，为市委决策提供支持；服务全国文化中心建设，充分发挥史志部门作用。</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3.</w:t>
      </w:r>
      <w:r>
        <w:rPr>
          <w:rFonts w:hint="eastAsia" w:ascii="仿宋_GB2312" w:hAnsi="Times New Roman" w:eastAsia="仿宋_GB2312" w:cs="Times New Roman"/>
          <w:b w:val="0"/>
          <w:bCs/>
          <w:sz w:val="32"/>
          <w:szCs w:val="32"/>
          <w:highlight w:val="none"/>
          <w:lang w:val="zh-CN" w:eastAsia="zh-CN"/>
        </w:rPr>
        <w:t>环境效益</w:t>
      </w:r>
      <w:r>
        <w:rPr>
          <w:rFonts w:hint="eastAsia" w:ascii="仿宋_GB2312" w:hAnsi="Times New Roman" w:eastAsia="仿宋_GB2312" w:cs="Times New Roman"/>
          <w:b w:val="0"/>
          <w:bCs/>
          <w:sz w:val="32"/>
          <w:szCs w:val="32"/>
          <w:highlight w:val="none"/>
          <w:lang w:val="en-US" w:eastAsia="zh-CN"/>
        </w:rPr>
        <w:t xml:space="preserve"> </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不涉及。</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eastAsia="仿宋_GB2312" w:cs="Times New Roman"/>
          <w:b w:val="0"/>
          <w:bCs/>
          <w:sz w:val="32"/>
          <w:szCs w:val="32"/>
          <w:highlight w:val="none"/>
          <w:lang w:val="en-US" w:eastAsia="zh-CN"/>
        </w:rPr>
        <w:t>4.</w:t>
      </w:r>
      <w:r>
        <w:rPr>
          <w:rFonts w:hint="eastAsia" w:ascii="仿宋_GB2312" w:hAnsi="Times New Roman" w:eastAsia="仿宋_GB2312" w:cs="Times New Roman"/>
          <w:b w:val="0"/>
          <w:bCs/>
          <w:sz w:val="32"/>
          <w:szCs w:val="32"/>
          <w:highlight w:val="none"/>
          <w:lang w:val="zh-CN" w:eastAsia="zh-CN"/>
        </w:rPr>
        <w:t>可持续性影响</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hAnsi="Times New Roman" w:eastAsia="仿宋_GB2312" w:cs="Times New Roman"/>
          <w:b w:val="0"/>
          <w:bCs/>
          <w:sz w:val="32"/>
          <w:szCs w:val="32"/>
          <w:highlight w:val="none"/>
          <w:lang w:val="zh-CN" w:eastAsia="zh-CN"/>
        </w:rPr>
        <w:t>通过党史研究、志鉴编修工作夯实存史基础。打造精品力作，不断写好讲好新时代北京故事。发挥铸魂育人功能，打造宣传品牌，持续发挥资政育人作用。</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eastAsia="仿宋_GB2312" w:cs="Times New Roman"/>
          <w:b w:val="0"/>
          <w:bCs/>
          <w:sz w:val="32"/>
          <w:szCs w:val="32"/>
          <w:highlight w:val="none"/>
          <w:lang w:val="en-US" w:eastAsia="zh-CN"/>
        </w:rPr>
        <w:t>5.</w:t>
      </w:r>
      <w:r>
        <w:rPr>
          <w:rFonts w:hint="eastAsia" w:ascii="仿宋_GB2312" w:hAnsi="Times New Roman" w:eastAsia="仿宋_GB2312" w:cs="Times New Roman"/>
          <w:b w:val="0"/>
          <w:bCs/>
          <w:sz w:val="32"/>
          <w:szCs w:val="32"/>
          <w:highlight w:val="none"/>
          <w:lang w:val="zh-CN" w:eastAsia="zh-CN"/>
        </w:rPr>
        <w:t>服务对象满意度</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hAnsi="Times New Roman" w:eastAsia="仿宋_GB2312" w:cs="Times New Roman"/>
          <w:b w:val="0"/>
          <w:bCs/>
          <w:sz w:val="32"/>
          <w:szCs w:val="32"/>
          <w:highlight w:val="none"/>
          <w:lang w:val="en-US" w:eastAsia="zh-CN"/>
        </w:rPr>
        <w:t>为准确把握读者和受众对北京党史地方志工作的真实评价，进一步挖掘公众实际需求，在一定范围内开展了满意度调查，通过网络问卷调查、现场问卷调查、电话回访等方式，形成分级分类的满意度评价结果。服务对象满意度指标≥95%。</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四</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en-US" w:eastAsia="zh-CN"/>
        </w:rPr>
        <w:t>预算管理情况分析</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（一）</w:t>
      </w:r>
      <w:r>
        <w:rPr>
          <w:rFonts w:hint="eastAsia" w:ascii="仿宋_GB2312" w:hAnsi="Times New Roman" w:eastAsia="仿宋_GB2312" w:cs="Times New Roman"/>
          <w:b w:val="0"/>
          <w:bCs/>
          <w:sz w:val="32"/>
          <w:szCs w:val="32"/>
          <w:highlight w:val="none"/>
          <w:lang w:val="en-US" w:eastAsia="zh-CN"/>
        </w:rPr>
        <w:t>财务管理</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hAnsi="Times New Roman" w:eastAsia="仿宋_GB2312" w:cs="Times New Roman"/>
          <w:b w:val="0"/>
          <w:bCs/>
          <w:sz w:val="32"/>
          <w:szCs w:val="32"/>
          <w:highlight w:val="none"/>
          <w:lang w:val="en-US" w:eastAsia="zh-CN"/>
        </w:rPr>
        <w:t>1</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zh-CN" w:eastAsia="zh-CN"/>
        </w:rPr>
        <w:t>财务管理制度健全性</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内控制度方面，根据财政部《关于印发&lt;行政事业单位内部控制规范(试行)&gt;的通知）（财会[2012]21号）及《北京市财政局关于北京市贯彻&lt;行政事业单位内部控制规范(试行)&gt;的实施意见》(京财会[2014]125号)文件，以及北京市财政局、审计局等部门相关要求，结合部门业务财务融合管理实际需求，进一步优化完善部门内控管理机制，实现部门预算管理流程、收支管理流程、合同管理流程、资产管理流程，部门经济业务层面内部控制流程建立较为健全。财务管理制度建立方面，根据合署办公新情况，在原有内控手册基础上，制定部门《</w:t>
      </w:r>
      <w:bookmarkStart w:id="0" w:name="_Toc469932431"/>
      <w:bookmarkStart w:id="1" w:name="_Toc436232239"/>
      <w:bookmarkStart w:id="2" w:name="_Toc436232897"/>
      <w:r>
        <w:rPr>
          <w:rFonts w:hint="eastAsia" w:ascii="仿宋_GB2312" w:hAnsi="Times New Roman" w:eastAsia="仿宋_GB2312" w:cs="Times New Roman"/>
          <w:b w:val="0"/>
          <w:bCs/>
          <w:sz w:val="32"/>
          <w:szCs w:val="32"/>
          <w:highlight w:val="none"/>
          <w:lang w:val="en-US" w:eastAsia="zh-CN"/>
        </w:rPr>
        <w:t>“三重一大”决策制度</w:t>
      </w:r>
      <w:bookmarkEnd w:id="0"/>
      <w:bookmarkEnd w:id="1"/>
      <w:bookmarkEnd w:id="2"/>
      <w:r>
        <w:rPr>
          <w:rFonts w:hint="eastAsia" w:ascii="仿宋_GB2312" w:hAnsi="Times New Roman" w:eastAsia="仿宋_GB2312" w:cs="Times New Roman"/>
          <w:b w:val="0"/>
          <w:bCs/>
          <w:sz w:val="32"/>
          <w:szCs w:val="32"/>
          <w:highlight w:val="none"/>
          <w:lang w:val="en-US" w:eastAsia="zh-CN"/>
        </w:rPr>
        <w:t>（试行）》《财务管理制度(试行)》《政府采购管理办法(试行)》《合同管理办法(试行)》。</w:t>
      </w:r>
    </w:p>
    <w:p>
      <w:pPr>
        <w:spacing w:line="560" w:lineRule="exact"/>
        <w:ind w:firstLine="640" w:firstLineChars="200"/>
        <w:rPr>
          <w:rFonts w:hint="eastAsia" w:ascii="仿宋_GB2312" w:hAnsi="Times New Roman" w:eastAsia="仿宋_GB2312" w:cs="Times New Roman"/>
          <w:b w:val="0"/>
          <w:bCs/>
          <w:sz w:val="32"/>
          <w:szCs w:val="32"/>
          <w:highlight w:val="none"/>
          <w:lang w:val="zh-CN" w:eastAsia="zh-CN"/>
        </w:rPr>
      </w:pPr>
      <w:r>
        <w:rPr>
          <w:rFonts w:hint="eastAsia" w:ascii="仿宋_GB2312" w:hAnsi="Times New Roman" w:eastAsia="仿宋_GB2312" w:cs="Times New Roman"/>
          <w:b w:val="0"/>
          <w:bCs/>
          <w:sz w:val="32"/>
          <w:szCs w:val="32"/>
          <w:highlight w:val="none"/>
          <w:lang w:val="en-US" w:eastAsia="zh-CN"/>
        </w:rPr>
        <w:t>2</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zh-CN" w:eastAsia="zh-CN"/>
        </w:rPr>
        <w:t>资金使用合规性和安全性</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严格按照北京市财政局有关资金管理规定、《中共北京市委党史研究室 北京市地方志编纂委员会办公室财务管理制度(试行)》等管理办法执行。聘请第三方对本部门全年度资金审计和重点项目绩效评审，通过现场财务抽凭，未发现截留、挤占、挪用 、虚列支出等情况，资金使用合规性较好。在资金使用监管上，严格落实“三重一大”制度，实行六岗审核报销流程，会计核算方面，各项会计凭证资料真实完整，保存规范。</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3.会计基础信息完善性</w:t>
      </w:r>
    </w:p>
    <w:p>
      <w:pPr>
        <w:spacing w:line="560" w:lineRule="exact"/>
        <w:ind w:firstLine="640" w:firstLineChars="200"/>
        <w:rPr>
          <w:rFonts w:hint="eastAsia" w:ascii="仿宋_GB2312" w:hAnsi="仿宋_GB2312" w:eastAsia="仿宋_GB2312" w:cs="仿宋_GB2312"/>
          <w:b w:val="0"/>
          <w:bCs/>
          <w:sz w:val="32"/>
          <w:szCs w:val="32"/>
          <w:highlight w:val="none"/>
          <w:lang w:val="zh-CN" w:eastAsia="zh-CN"/>
        </w:rPr>
      </w:pPr>
      <w:r>
        <w:rPr>
          <w:rFonts w:hint="eastAsia" w:ascii="仿宋_GB2312" w:hAnsi="仿宋_GB2312" w:eastAsia="仿宋_GB2312" w:cs="仿宋_GB2312"/>
          <w:b w:val="0"/>
          <w:bCs/>
          <w:sz w:val="32"/>
          <w:szCs w:val="32"/>
          <w:highlight w:val="none"/>
          <w:lang w:val="en-US" w:eastAsia="zh-CN"/>
        </w:rPr>
        <w:t>在费用报销及合同付款过程中，严格审批原始凭证，对内容不全、手续不完备的原始凭证以及未审批完成的支出不予办理支付。基础数据信息和会计信息资料能够做到真实、完整、准确。</w:t>
      </w:r>
    </w:p>
    <w:p>
      <w:pPr>
        <w:spacing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资产管理</w:t>
      </w:r>
      <w:r>
        <w:rPr>
          <w:rFonts w:hint="eastAsia" w:ascii="仿宋_GB2312" w:hAnsi="仿宋_GB2312" w:eastAsia="仿宋_GB2312" w:cs="仿宋_GB2312"/>
          <w:color w:val="auto"/>
          <w:sz w:val="32"/>
          <w:szCs w:val="32"/>
          <w:highlight w:val="none"/>
          <w:lang w:val="en-US" w:eastAsia="zh-CN"/>
        </w:rPr>
        <w:t xml:space="preserve"> </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截至2021年12月31日，本部门资产总额账面净值3738.31万元。其中，流动资产430.24万元，占资产总额11.51%；固定资产净值2957.80万元，占资产总额78.85%；无形资产净值350.27万元，占资产总额9.37%。</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本部门制定《财务管理制度(试行)》，明确要求资产管理要建立健全资产管理制度，加强和规范资产配置、使用和处置管理，维护资产安全完整，保障事业健康发展。2021年，针对机构改革之后我部门所属三家单位固定资产购置、报废、调拨数量较大，事项复杂，资产管理信息系统数据不准确，资产账与财务账有差异等情况，我们进一步加强资产管理，对我室2019年至2020年机构改革期间及历史遗留的资产系统账与财务账不一致情况进行全面核对，通过查阅凭证、翻看明细账、核对资产卡片、查找相关资产信息资料等方式，将交接不清、数据传递有误等问题一一梳理清楚并进行调账。经内审会计师事务所确认，固定资产实现账账一致。</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进一步优化资产管理信息系统，实现与内控系统在线对账，确保资产数据真实、完整、准确。提高资产配置工作力度，按照法律法规、招标及合同文件，严把资产审核关，组织相关专家进行严格评审与按期验收，确保产品、工程及服务质量，保障室中心工作。</w:t>
      </w:r>
    </w:p>
    <w:p>
      <w:p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rPr>
        <w:t>绩效管理</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zh-CN" w:eastAsia="zh-CN"/>
        </w:rPr>
        <w:t>本部门高度重视绩效管理工作，</w:t>
      </w:r>
      <w:r>
        <w:rPr>
          <w:rFonts w:hint="eastAsia" w:ascii="仿宋_GB2312" w:hAnsi="仿宋_GB2312" w:eastAsia="仿宋_GB2312" w:cs="仿宋_GB2312"/>
          <w:b w:val="0"/>
          <w:bCs/>
          <w:sz w:val="32"/>
          <w:szCs w:val="32"/>
          <w:highlight w:val="none"/>
          <w:lang w:val="en-US" w:eastAsia="zh-CN"/>
        </w:rPr>
        <w:t>以提升绩效管理水平作为提升部门履职能力的重要方面，以绩效评价为抓手，认真分析事前事中事后全过程项目材料，重视绩效评价成果应用，找差距，补短板。较上一年绩效工作，在参评预算项目全面性、完善立项论证、健全项目管理机制、项目效果反馈等方面有效明显提升。</w:t>
      </w:r>
    </w:p>
    <w:p>
      <w:pPr>
        <w:spacing w:line="560" w:lineRule="exact"/>
        <w:ind w:firstLine="640" w:firstLineChars="200"/>
        <w:rPr>
          <w:rFonts w:hint="eastAsia" w:ascii="仿宋_GB2312" w:hAnsi="仿宋_GB2312" w:eastAsia="仿宋_GB2312" w:cs="仿宋_GB2312"/>
          <w:b w:val="0"/>
          <w:bCs/>
          <w:sz w:val="32"/>
          <w:szCs w:val="32"/>
          <w:highlight w:val="none"/>
          <w:lang w:val="zh-CN" w:eastAsia="zh-CN"/>
        </w:rPr>
      </w:pPr>
      <w:r>
        <w:rPr>
          <w:rFonts w:hint="eastAsia" w:ascii="仿宋_GB2312" w:hAnsi="仿宋_GB2312" w:eastAsia="仿宋_GB2312" w:cs="仿宋_GB2312"/>
          <w:b w:val="0"/>
          <w:bCs/>
          <w:sz w:val="32"/>
          <w:szCs w:val="32"/>
          <w:highlight w:val="none"/>
          <w:lang w:val="en-US" w:eastAsia="zh-CN"/>
        </w:rPr>
        <w:t>思想上高度重视，</w:t>
      </w:r>
      <w:r>
        <w:rPr>
          <w:rFonts w:hint="eastAsia" w:ascii="仿宋_GB2312" w:hAnsi="仿宋_GB2312" w:eastAsia="仿宋_GB2312" w:cs="仿宋_GB2312"/>
          <w:b w:val="0"/>
          <w:bCs/>
          <w:sz w:val="32"/>
          <w:szCs w:val="32"/>
          <w:highlight w:val="none"/>
          <w:lang w:val="zh-CN" w:eastAsia="zh-CN"/>
        </w:rPr>
        <w:t>将绩效理念深度融入预算编制、执行和监督全过程，构建事前、事中、事后绩效管理闭环 ，扎实做好各项绩效管理工作。</w:t>
      </w:r>
    </w:p>
    <w:p>
      <w:pPr>
        <w:spacing w:line="560" w:lineRule="exact"/>
        <w:ind w:firstLine="640" w:firstLineChars="200"/>
        <w:rPr>
          <w:rFonts w:hint="eastAsia" w:ascii="仿宋_GB2312" w:hAnsi="仿宋_GB2312" w:eastAsia="仿宋_GB2312" w:cs="仿宋_GB2312"/>
          <w:b w:val="0"/>
          <w:bCs/>
          <w:sz w:val="32"/>
          <w:szCs w:val="32"/>
          <w:highlight w:val="none"/>
          <w:lang w:val="zh-CN" w:eastAsia="zh-CN"/>
        </w:rPr>
      </w:pPr>
      <w:r>
        <w:rPr>
          <w:rFonts w:hint="eastAsia" w:ascii="仿宋_GB2312" w:hAnsi="仿宋_GB2312" w:eastAsia="仿宋_GB2312" w:cs="仿宋_GB2312"/>
          <w:b w:val="0"/>
          <w:bCs/>
          <w:sz w:val="32"/>
          <w:szCs w:val="32"/>
          <w:highlight w:val="none"/>
          <w:lang w:val="en-US" w:eastAsia="zh-CN"/>
        </w:rPr>
        <w:t>组织保障有力。成立部门绩效自评工作领导小组，分管室领导担任组长，各处（馆）负责人为小组成员，综合处作为领导小组办公室，有力组织协调绩效自评工作。</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开展培训提升绩效工作专业水平。聘请第三方开展绩效自评启动培训，聘请财政专家结合绩效评审工作开展培训，有针对性提升处长和项目负责人的绩效工作能力。</w:t>
      </w:r>
    </w:p>
    <w:p>
      <w:pPr>
        <w:spacing w:line="560" w:lineRule="exact"/>
        <w:ind w:firstLine="640" w:firstLineChars="200"/>
        <w:rPr>
          <w:rFonts w:hint="eastAsia" w:ascii="仿宋_GB2312" w:hAnsi="仿宋_GB2312" w:eastAsia="仿宋_GB2312" w:cs="仿宋_GB2312"/>
          <w:b w:val="0"/>
          <w:bCs/>
          <w:sz w:val="32"/>
          <w:szCs w:val="32"/>
          <w:highlight w:val="none"/>
          <w:lang w:val="zh-CN" w:eastAsia="zh-CN"/>
        </w:rPr>
      </w:pPr>
      <w:r>
        <w:rPr>
          <w:rFonts w:hint="eastAsia" w:ascii="仿宋_GB2312" w:hAnsi="仿宋_GB2312" w:eastAsia="仿宋_GB2312" w:cs="仿宋_GB2312"/>
          <w:b w:val="0"/>
          <w:bCs/>
          <w:sz w:val="32"/>
          <w:szCs w:val="32"/>
          <w:highlight w:val="none"/>
          <w:lang w:val="zh-CN" w:eastAsia="zh-CN"/>
        </w:rPr>
        <w:t>加强绩效目标管理。按照市财政局要求，将2021年预算项目绩效目标填报范围</w:t>
      </w:r>
      <w:r>
        <w:rPr>
          <w:rFonts w:hint="eastAsia" w:ascii="仿宋_GB2312" w:hAnsi="仿宋_GB2312" w:eastAsia="仿宋_GB2312" w:cs="仿宋_GB2312"/>
          <w:b w:val="0"/>
          <w:bCs/>
          <w:sz w:val="32"/>
          <w:szCs w:val="32"/>
          <w:highlight w:val="none"/>
          <w:lang w:val="en-US" w:eastAsia="zh-CN"/>
        </w:rPr>
        <w:t>落实到</w:t>
      </w:r>
      <w:r>
        <w:rPr>
          <w:rFonts w:hint="eastAsia" w:ascii="仿宋_GB2312" w:hAnsi="仿宋_GB2312" w:eastAsia="仿宋_GB2312" w:cs="仿宋_GB2312"/>
          <w:b w:val="0"/>
          <w:bCs/>
          <w:sz w:val="32"/>
          <w:szCs w:val="32"/>
          <w:highlight w:val="none"/>
          <w:lang w:val="zh-CN" w:eastAsia="zh-CN"/>
        </w:rPr>
        <w:t>全部项目，完成了</w:t>
      </w:r>
      <w:r>
        <w:rPr>
          <w:rFonts w:hint="eastAsia" w:ascii="仿宋_GB2312" w:hAnsi="仿宋_GB2312" w:eastAsia="仿宋_GB2312" w:cs="仿宋_GB2312"/>
          <w:b w:val="0"/>
          <w:bCs/>
          <w:sz w:val="32"/>
          <w:szCs w:val="32"/>
          <w:highlight w:val="none"/>
          <w:lang w:val="en-US" w:eastAsia="zh-CN"/>
        </w:rPr>
        <w:t>10</w:t>
      </w:r>
      <w:r>
        <w:rPr>
          <w:rFonts w:hint="eastAsia" w:ascii="仿宋_GB2312" w:hAnsi="仿宋_GB2312" w:eastAsia="仿宋_GB2312" w:cs="仿宋_GB2312"/>
          <w:b w:val="0"/>
          <w:bCs/>
          <w:sz w:val="32"/>
          <w:szCs w:val="32"/>
          <w:highlight w:val="none"/>
          <w:lang w:val="zh-CN" w:eastAsia="zh-CN"/>
        </w:rPr>
        <w:t>个项目绩效目标申报表的审核及系统录入工作。</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zh-CN" w:eastAsia="zh-CN"/>
        </w:rPr>
        <w:t>开展事后绩效自评。</w:t>
      </w:r>
      <w:r>
        <w:rPr>
          <w:rFonts w:hint="eastAsia" w:ascii="仿宋_GB2312" w:hAnsi="仿宋_GB2312" w:eastAsia="仿宋_GB2312" w:cs="仿宋_GB2312"/>
          <w:b w:val="0"/>
          <w:bCs/>
          <w:sz w:val="32"/>
          <w:szCs w:val="32"/>
          <w:highlight w:val="none"/>
          <w:lang w:val="en-US" w:eastAsia="zh-CN"/>
        </w:rPr>
        <w:t>对2021年度部门项目实施了绩效评价，评价项目10个，占部门非涉密项目总数的100%，涉及金额3148.62万元。</w:t>
      </w:r>
    </w:p>
    <w:p>
      <w:pPr>
        <w:pageBreakBefore w:val="0"/>
        <w:numPr>
          <w:ilvl w:val="0"/>
          <w:numId w:val="0"/>
        </w:numPr>
        <w:kinsoku/>
        <w:wordWrap/>
        <w:overflowPunct/>
        <w:topLinePunct w:val="0"/>
        <w:autoSpaceDN/>
        <w:bidi w:val="0"/>
        <w:spacing w:line="560" w:lineRule="exact"/>
        <w:ind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rPr>
        <w:t>结转结余率</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2021年</w:t>
      </w:r>
      <w:r>
        <w:rPr>
          <w:rFonts w:hint="eastAsia" w:ascii="仿宋_GB2312" w:hAnsi="仿宋_GB2312" w:eastAsia="仿宋_GB2312" w:cs="仿宋_GB2312"/>
          <w:b w:val="0"/>
          <w:bCs/>
          <w:sz w:val="32"/>
          <w:szCs w:val="32"/>
          <w:highlight w:val="none"/>
          <w:lang w:val="zh-CN" w:eastAsia="zh-CN"/>
        </w:rPr>
        <w:t>结转结余</w:t>
      </w:r>
      <w:r>
        <w:rPr>
          <w:rFonts w:hint="eastAsia" w:ascii="仿宋_GB2312" w:hAnsi="仿宋_GB2312" w:eastAsia="仿宋_GB2312" w:cs="仿宋_GB2312"/>
          <w:b w:val="0"/>
          <w:bCs/>
          <w:sz w:val="32"/>
          <w:szCs w:val="32"/>
          <w:highlight w:val="none"/>
          <w:lang w:val="en-US" w:eastAsia="zh-CN"/>
        </w:rPr>
        <w:t>总额330.48万元，全年支出预算资金数7090.69万元，结转结余率为4.66%；2020 年结转结余资金总额为304.16万元，全年支出预算资金数为5682.25万元，结转结余率为5.35% 。2021年度部门结转结余率较上年度下降12.93%。</w:t>
      </w:r>
    </w:p>
    <w:p>
      <w:pPr>
        <w:numPr>
          <w:ilvl w:val="0"/>
          <w:numId w:val="0"/>
        </w:numPr>
        <w:spacing w:line="600" w:lineRule="exact"/>
        <w:ind w:leftChars="200" w:firstLine="320" w:firstLineChars="1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rPr>
        <w:t>部门预决算差异率</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2021年本部门年初预算数为7172.03万元，部门年度决算数为7090.69万元，差异率为1.13%。部门预决算差异率远低于市级平均差异率 28.30% ，部门预决算差异率控制情况较好。</w:t>
      </w:r>
    </w:p>
    <w:p>
      <w:pPr>
        <w:spacing w:line="560" w:lineRule="exact"/>
        <w:ind w:firstLine="640" w:firstLineChars="200"/>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b w:val="0"/>
          <w:bCs/>
          <w:sz w:val="32"/>
          <w:szCs w:val="32"/>
          <w:highlight w:val="none"/>
          <w:lang w:val="en-US" w:eastAsia="zh-CN"/>
        </w:rPr>
        <w:t>五、总体评价结论</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（一）</w:t>
      </w:r>
      <w:r>
        <w:rPr>
          <w:rFonts w:hint="eastAsia" w:ascii="仿宋_GB2312" w:hAnsi="Times New Roman" w:eastAsia="仿宋_GB2312" w:cs="Times New Roman"/>
          <w:b w:val="0"/>
          <w:bCs/>
          <w:sz w:val="32"/>
          <w:szCs w:val="32"/>
          <w:highlight w:val="none"/>
          <w:lang w:val="en-US" w:eastAsia="zh-CN"/>
        </w:rPr>
        <w:t>评价得分情况</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2021年本部门整体绩效评价综合评价得分95分，其中，当年预算执行情况18.85分，整体绩效目标实现情况57分，预算管理情况20分，综合评价等级为“优”。具体评分见《</w:t>
      </w:r>
      <w:bookmarkStart w:id="3" w:name="_Toc23936"/>
      <w:bookmarkStart w:id="4" w:name="_Toc10673"/>
      <w:r>
        <w:rPr>
          <w:rFonts w:hint="eastAsia" w:ascii="仿宋_GB2312" w:hAnsi="Times New Roman" w:eastAsia="仿宋_GB2312" w:cs="Times New Roman"/>
          <w:b w:val="0"/>
          <w:bCs/>
          <w:sz w:val="32"/>
          <w:szCs w:val="32"/>
          <w:highlight w:val="none"/>
          <w:lang w:val="en-US" w:eastAsia="zh-CN"/>
        </w:rPr>
        <w:t>中共北京市委党史研究室2021年部门整体绩效评价指标体系评分表</w:t>
      </w:r>
      <w:bookmarkEnd w:id="3"/>
      <w:bookmarkEnd w:id="4"/>
      <w:r>
        <w:rPr>
          <w:rFonts w:hint="eastAsia" w:ascii="仿宋_GB2312" w:hAnsi="Times New Roman" w:eastAsia="仿宋_GB2312" w:cs="Times New Roman"/>
          <w:b w:val="0"/>
          <w:bCs/>
          <w:sz w:val="32"/>
          <w:szCs w:val="32"/>
          <w:highlight w:val="none"/>
          <w:lang w:val="en-US" w:eastAsia="zh-CN"/>
        </w:rPr>
        <w:t>》。</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eastAsia="仿宋_GB2312" w:cs="Times New Roman"/>
          <w:b w:val="0"/>
          <w:bCs/>
          <w:sz w:val="32"/>
          <w:szCs w:val="32"/>
          <w:highlight w:val="none"/>
          <w:lang w:val="en-US" w:eastAsia="zh-CN"/>
        </w:rPr>
        <w:t>（二）</w:t>
      </w:r>
      <w:r>
        <w:rPr>
          <w:rFonts w:hint="eastAsia" w:ascii="仿宋_GB2312" w:hAnsi="Times New Roman" w:eastAsia="仿宋_GB2312" w:cs="Times New Roman"/>
          <w:b w:val="0"/>
          <w:bCs/>
          <w:sz w:val="32"/>
          <w:szCs w:val="32"/>
          <w:highlight w:val="none"/>
          <w:lang w:val="en-US" w:eastAsia="zh-CN"/>
        </w:rPr>
        <w:t>存在的问题及原因分析</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部门整体绩效目标与中长期发展规划缺乏有效衔接。整体绩效目标设定主要依据为部门职责和年度重点工作任务，中长期规划从可扩展、可执行角度制定，明确到各年度的表述较少，怎样以中长期发展规划为参照考量年度绩效，以及如何科学呈现年度绩效在中长期规划中的意义，需要进一步探索。</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部门整体绩效目标细化、量化程度不足。部门整体绩效目标的全面覆盖和细化量化的平衡难度较大，由于一些任务是年初布置，在设定绩效目标的时点有些工作尚未有具体内容支撑，更难以准确预计可实现成果，导致绩效目标设置不够细化、难以量化。</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绩效管理过程中对项目的统筹管理顶层设计上的呈现还需进一步加强。项目预算管理统筹不足，缺少“提纲携领”资料，年度重点和保障重点与普通项目层次区分不明显，项目分类的科学合理性不足。</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六</w:t>
      </w:r>
      <w:r>
        <w:rPr>
          <w:rFonts w:hint="eastAsia" w:ascii="仿宋_GB2312" w:eastAsia="仿宋_GB2312" w:cs="Times New Roman"/>
          <w:b w:val="0"/>
          <w:bCs/>
          <w:sz w:val="32"/>
          <w:szCs w:val="32"/>
          <w:highlight w:val="none"/>
          <w:lang w:val="en-US" w:eastAsia="zh-CN"/>
        </w:rPr>
        <w:t>、</w:t>
      </w:r>
      <w:r>
        <w:rPr>
          <w:rFonts w:hint="eastAsia" w:ascii="仿宋_GB2312" w:hAnsi="Times New Roman" w:eastAsia="仿宋_GB2312" w:cs="Times New Roman"/>
          <w:b w:val="0"/>
          <w:bCs/>
          <w:sz w:val="32"/>
          <w:szCs w:val="32"/>
          <w:highlight w:val="none"/>
          <w:lang w:val="en-US" w:eastAsia="zh-CN"/>
        </w:rPr>
        <w:t>措施建议</w:t>
      </w:r>
    </w:p>
    <w:p>
      <w:pPr>
        <w:spacing w:line="560" w:lineRule="exact"/>
        <w:ind w:firstLine="640" w:firstLineChars="200"/>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提高绩效目标和指标设定的科学性，总体目标应按照子项目的重要程度和资金规模突出重点兼顾全面，产出指标和效益指标对应目标实现程度进行相应的分类细化量化，提高项目可考核性。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按照项目管理的方式，进一步提高管理的精细化水平，为今后类似项目的决策、预算测算、方案编制提供可借鉴的经验。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Times New Roman" w:eastAsia="仿宋_GB2312" w:cs="Times New Roman"/>
          <w:b w:val="0"/>
          <w:bCs/>
          <w:sz w:val="32"/>
          <w:szCs w:val="32"/>
          <w:highlight w:val="none"/>
          <w:lang w:val="en-US" w:eastAsia="zh-CN"/>
        </w:rPr>
      </w:pPr>
      <w:r>
        <w:rPr>
          <w:rFonts w:hint="eastAsia" w:ascii="仿宋_GB2312" w:hAnsi="Times New Roman" w:eastAsia="仿宋_GB2312" w:cs="Times New Roman"/>
          <w:b w:val="0"/>
          <w:bCs/>
          <w:sz w:val="32"/>
          <w:szCs w:val="32"/>
          <w:highlight w:val="none"/>
          <w:lang w:val="en-US" w:eastAsia="zh-CN"/>
        </w:rPr>
        <w:t>结合五年规划的重点任务目标，对列入年度工作计划重点项目加大前期可行性方案论证，做实做细项目工作方案具体实施路径组织方式和资源保障，对活动项目要考虑风险防控措施。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wZDFkYzRlZGFjN2I3MTFlYjU5NGJmNjU5MDlmYTcifQ=="/>
  </w:docVars>
  <w:rsids>
    <w:rsidRoot w:val="4C300600"/>
    <w:rsid w:val="2F634EE2"/>
    <w:rsid w:val="39260453"/>
    <w:rsid w:val="49E16C07"/>
    <w:rsid w:val="4C300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line="360" w:lineRule="auto"/>
      <w:ind w:firstLine="200" w:firstLineChars="200"/>
    </w:pPr>
    <w:rPr>
      <w:szCs w:val="21"/>
    </w:rPr>
  </w:style>
  <w:style w:type="paragraph" w:customStyle="1" w:styleId="3">
    <w:name w:val="正文文本 21"/>
    <w:basedOn w:val="1"/>
    <w:qFormat/>
    <w:uiPriority w:val="0"/>
    <w:pPr>
      <w:spacing w:line="360" w:lineRule="auto"/>
      <w:ind w:firstLine="200" w:firstLineChars="200"/>
    </w:pPr>
    <w:rPr>
      <w:szCs w:val="21"/>
    </w:rPr>
  </w:style>
  <w:style w:type="paragraph" w:customStyle="1" w:styleId="6">
    <w:name w:val="正文首行缩进1"/>
    <w:basedOn w:val="2"/>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2022-08-23T09:05:00Z</dcterms:created>
  <dc:creator>BJDS</dc:creator>
  <cp:lastModifiedBy>BJDS</cp:lastModifiedBy>
  <dcterms:modified xsi:type="dcterms:W3CDTF">2022-08-23T09:33:30Z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A948DF51D451476896CDA56134DF0720</vt:lpwstr>
  </property>
</Properties>
</file>