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20" w:lineRule="exact"/>
        <w:rPr>
          <w:rFonts w:ascii="黑体" w:hAnsi="黑体" w:eastAsia="黑体"/>
          <w:sz w:val="32"/>
          <w:szCs w:val="32"/>
        </w:rPr>
      </w:pPr>
    </w:p>
    <w:p>
      <w:pPr>
        <w:spacing w:after="240" w:line="540" w:lineRule="exact"/>
        <w:jc w:val="center"/>
        <w:rPr>
          <w:rFonts w:ascii="仿宋_GB2312" w:eastAsia="黑体"/>
          <w:b/>
          <w:bCs/>
          <w:sz w:val="48"/>
          <w:szCs w:val="48"/>
        </w:rPr>
      </w:pPr>
    </w:p>
    <w:p>
      <w:pPr>
        <w:spacing w:after="240" w:line="540" w:lineRule="exact"/>
        <w:jc w:val="center"/>
        <w:rPr>
          <w:rFonts w:ascii="仿宋_GB2312" w:eastAsia="黑体"/>
          <w:b/>
          <w:bCs/>
          <w:sz w:val="48"/>
          <w:szCs w:val="48"/>
        </w:rPr>
      </w:pPr>
    </w:p>
    <w:p>
      <w:pPr>
        <w:spacing w:after="312" w:afterLines="100" w:line="560" w:lineRule="exact"/>
        <w:jc w:val="center"/>
        <w:rPr>
          <w:rFonts w:ascii="方正小标宋简体" w:hAnsi="Leelawadee UI" w:eastAsia="方正小标宋简体" w:cs="Leelawadee UI"/>
          <w:bCs/>
          <w:kern w:val="0"/>
          <w:sz w:val="44"/>
          <w:szCs w:val="28"/>
        </w:rPr>
      </w:pPr>
      <w:r>
        <w:rPr>
          <w:rFonts w:hint="eastAsia" w:ascii="方正小标宋简体" w:hAnsi="Leelawadee UI" w:eastAsia="方正小标宋简体" w:cs="Leelawadee UI"/>
          <w:bCs/>
          <w:kern w:val="0"/>
          <w:sz w:val="44"/>
          <w:szCs w:val="28"/>
        </w:rPr>
        <w:t>北京市市级财政支出项目</w:t>
      </w:r>
    </w:p>
    <w:p>
      <w:pPr>
        <w:spacing w:after="312" w:afterLines="100" w:line="560" w:lineRule="exact"/>
        <w:jc w:val="center"/>
        <w:rPr>
          <w:rFonts w:ascii="方正小标宋简体" w:hAnsi="Leelawadee UI" w:eastAsia="方正小标宋简体" w:cs="Leelawadee UI"/>
          <w:bCs/>
          <w:kern w:val="0"/>
          <w:sz w:val="44"/>
          <w:szCs w:val="28"/>
        </w:rPr>
      </w:pPr>
      <w:r>
        <w:rPr>
          <w:rFonts w:hint="eastAsia" w:ascii="方正小标宋简体" w:hAnsi="Leelawadee UI" w:eastAsia="方正小标宋简体" w:cs="Leelawadee UI"/>
          <w:bCs/>
          <w:kern w:val="0"/>
          <w:sz w:val="44"/>
          <w:szCs w:val="28"/>
        </w:rPr>
        <w:t>绩效评价报告</w:t>
      </w:r>
    </w:p>
    <w:p>
      <w:pPr>
        <w:snapToGrid w:val="0"/>
        <w:spacing w:after="312" w:afterLines="100" w:line="300" w:lineRule="auto"/>
        <w:rPr>
          <w:rFonts w:eastAsia="仿宋_GB2312"/>
          <w:b/>
          <w:bCs/>
          <w:sz w:val="36"/>
          <w:szCs w:val="20"/>
        </w:rPr>
      </w:pPr>
    </w:p>
    <w:p>
      <w:pPr>
        <w:snapToGrid w:val="0"/>
        <w:spacing w:after="312" w:afterLines="100" w:line="300" w:lineRule="auto"/>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pacing w:after="312" w:afterLines="100" w:line="560" w:lineRule="exact"/>
        <w:ind w:firstLine="640" w:firstLineChars="200"/>
        <w:rPr>
          <w:rFonts w:ascii="仿宋_GB2312" w:hAnsi="宋体" w:eastAsia="仿宋_GB2312"/>
          <w:bCs/>
          <w:kern w:val="0"/>
          <w:sz w:val="32"/>
          <w:szCs w:val="28"/>
        </w:rPr>
      </w:pPr>
      <w:r>
        <w:rPr>
          <w:rFonts w:hint="eastAsia" w:ascii="仿宋_GB2312" w:hAnsi="宋体" w:eastAsia="仿宋_GB2312"/>
          <w:bCs/>
          <w:kern w:val="0"/>
          <w:sz w:val="32"/>
          <w:szCs w:val="28"/>
        </w:rPr>
        <w:t>主管部门</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北京市人民政府参事室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rPr>
        <w:t xml:space="preserve">      </w:t>
      </w:r>
    </w:p>
    <w:p>
      <w:pPr>
        <w:spacing w:after="312" w:afterLines="100" w:line="560" w:lineRule="exact"/>
        <w:ind w:firstLine="640" w:firstLineChars="200"/>
        <w:rPr>
          <w:rFonts w:ascii="仿宋_GB2312" w:hAnsi="宋体" w:eastAsia="仿宋_GB2312"/>
          <w:bCs/>
          <w:kern w:val="0"/>
          <w:sz w:val="32"/>
          <w:szCs w:val="28"/>
        </w:rPr>
      </w:pPr>
      <w:r>
        <w:rPr>
          <w:rFonts w:hint="eastAsia" w:ascii="仿宋_GB2312" w:hAnsi="宋体" w:eastAsia="仿宋_GB2312"/>
          <w:bCs/>
          <w:kern w:val="0"/>
          <w:sz w:val="32"/>
          <w:szCs w:val="28"/>
        </w:rPr>
        <w:t>项目单位</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北京市人民政府参事室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rPr>
        <w:t xml:space="preserve">                                       </w:t>
      </w:r>
    </w:p>
    <w:p>
      <w:pPr>
        <w:spacing w:after="312" w:afterLines="100" w:line="560" w:lineRule="exact"/>
        <w:ind w:firstLine="640" w:firstLineChars="200"/>
        <w:rPr>
          <w:rFonts w:ascii="仿宋_GB2312" w:hAnsi="宋体" w:eastAsia="仿宋_GB2312"/>
          <w:bCs/>
          <w:kern w:val="0"/>
          <w:sz w:val="32"/>
          <w:szCs w:val="28"/>
        </w:rPr>
      </w:pPr>
      <w:r>
        <w:rPr>
          <w:rFonts w:hint="eastAsia" w:ascii="仿宋_GB2312" w:hAnsi="宋体" w:eastAsia="仿宋_GB2312"/>
          <w:bCs/>
          <w:kern w:val="0"/>
          <w:sz w:val="32"/>
          <w:szCs w:val="28"/>
        </w:rPr>
        <w:t>项目名称</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《北京文史》出版经费项目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u w:val="single"/>
          <w:lang w:val="en-US" w:eastAsia="zh-CN"/>
        </w:rPr>
        <w:t xml:space="preserve">   </w:t>
      </w:r>
      <w:r>
        <w:rPr>
          <w:rFonts w:hint="eastAsia" w:ascii="仿宋_GB2312" w:hAnsi="宋体" w:eastAsia="仿宋_GB2312"/>
          <w:bCs/>
          <w:kern w:val="0"/>
          <w:sz w:val="32"/>
          <w:szCs w:val="28"/>
          <w:u w:val="single"/>
        </w:rPr>
        <w:t xml:space="preserve"> </w:t>
      </w:r>
      <w:r>
        <w:rPr>
          <w:rFonts w:hint="eastAsia" w:ascii="仿宋_GB2312" w:hAnsi="宋体" w:eastAsia="仿宋_GB2312"/>
          <w:bCs/>
          <w:kern w:val="0"/>
          <w:sz w:val="32"/>
          <w:szCs w:val="28"/>
        </w:rPr>
        <w:t xml:space="preserve">                            </w:t>
      </w:r>
    </w:p>
    <w:p>
      <w:pPr>
        <w:spacing w:line="480" w:lineRule="auto"/>
        <w:jc w:val="center"/>
        <w:rPr>
          <w:rFonts w:ascii="黑体" w:eastAsia="黑体"/>
          <w:b/>
          <w:sz w:val="32"/>
          <w:szCs w:val="20"/>
        </w:rPr>
      </w:pPr>
    </w:p>
    <w:p>
      <w:pPr>
        <w:pStyle w:val="2"/>
        <w:rPr>
          <w:rFonts w:ascii="黑体" w:eastAsia="黑体"/>
          <w:sz w:val="32"/>
          <w:szCs w:val="20"/>
        </w:rPr>
      </w:pPr>
    </w:p>
    <w:p/>
    <w:p>
      <w:pPr>
        <w:spacing w:line="480" w:lineRule="auto"/>
        <w:jc w:val="center"/>
        <w:rPr>
          <w:rFonts w:ascii="黑体" w:eastAsia="黑体"/>
          <w:b/>
          <w:sz w:val="32"/>
          <w:szCs w:val="20"/>
        </w:rPr>
      </w:pPr>
      <w:r>
        <w:rPr>
          <w:rFonts w:hint="eastAsia" w:ascii="黑体" w:eastAsia="黑体"/>
          <w:b/>
          <w:sz w:val="32"/>
          <w:szCs w:val="20"/>
        </w:rPr>
        <w:t xml:space="preserve">2022年5月   </w:t>
      </w:r>
    </w:p>
    <w:p>
      <w:pPr>
        <w:spacing w:line="480" w:lineRule="auto"/>
        <w:jc w:val="center"/>
        <w:rPr>
          <w:rFonts w:ascii="方正小标宋简体" w:hAnsi="Leelawadee UI" w:eastAsia="方正小标宋简体" w:cs="Leelawadee UI"/>
          <w:bCs/>
          <w:kern w:val="0"/>
          <w:sz w:val="44"/>
          <w:szCs w:val="28"/>
        </w:rPr>
        <w:sectPr>
          <w:pgSz w:w="11906" w:h="16838"/>
          <w:pgMar w:top="2098" w:right="1474" w:bottom="1984" w:left="1587" w:header="851" w:footer="992" w:gutter="0"/>
          <w:cols w:space="720" w:num="1"/>
          <w:docGrid w:type="lines" w:linePitch="312" w:charSpace="0"/>
        </w:sectPr>
      </w:pPr>
    </w:p>
    <w:p>
      <w:pPr>
        <w:pStyle w:val="2"/>
        <w:spacing w:before="0" w:after="0"/>
        <w:jc w:val="center"/>
      </w:pPr>
      <w:r>
        <w:drawing>
          <wp:inline distT="0" distB="0" distL="114300" distR="114300">
            <wp:extent cx="2559685" cy="3469005"/>
            <wp:effectExtent l="0" t="0" r="254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559685" cy="3469005"/>
                    </a:xfrm>
                    <a:prstGeom prst="rect">
                      <a:avLst/>
                    </a:prstGeom>
                    <a:noFill/>
                    <a:ln>
                      <a:noFill/>
                    </a:ln>
                  </pic:spPr>
                </pic:pic>
              </a:graphicData>
            </a:graphic>
          </wp:inline>
        </w:drawing>
      </w:r>
      <w:r>
        <w:rPr>
          <w:rFonts w:hint="eastAsia"/>
        </w:rPr>
        <w:t xml:space="preserve"> </w:t>
      </w:r>
      <w:r>
        <w:drawing>
          <wp:inline distT="0" distB="0" distL="114300" distR="114300">
            <wp:extent cx="2559685" cy="3462020"/>
            <wp:effectExtent l="0" t="0" r="254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2559685" cy="3462020"/>
                    </a:xfrm>
                    <a:prstGeom prst="rect">
                      <a:avLst/>
                    </a:prstGeom>
                    <a:noFill/>
                    <a:ln>
                      <a:noFill/>
                    </a:ln>
                  </pic:spPr>
                </pic:pic>
              </a:graphicData>
            </a:graphic>
          </wp:inline>
        </w:drawing>
      </w:r>
    </w:p>
    <w:p>
      <w:pPr>
        <w:jc w:val="center"/>
        <w:rPr>
          <w:rFonts w:ascii="仿宋_GB2312" w:hAnsi="仿宋_GB2312" w:eastAsia="仿宋_GB2312" w:cs="仿宋_GB2312"/>
          <w:sz w:val="32"/>
          <w:szCs w:val="32"/>
        </w:rPr>
      </w:pPr>
      <w:r>
        <w:rPr>
          <w:rFonts w:hint="eastAsia" w:ascii="仿宋_GB2312" w:hAnsi="仿宋_GB2312" w:eastAsia="仿宋_GB2312" w:cs="仿宋_GB2312"/>
          <w:sz w:val="32"/>
          <w:szCs w:val="32"/>
        </w:rPr>
        <w:t>2021年《北京文史》第1期、第2期封面</w:t>
      </w:r>
    </w:p>
    <w:p>
      <w:pPr>
        <w:jc w:val="center"/>
        <w:rPr>
          <w:sz w:val="32"/>
          <w:szCs w:val="32"/>
        </w:rPr>
      </w:pPr>
      <w:r>
        <w:rPr>
          <w:sz w:val="32"/>
          <w:szCs w:val="32"/>
        </w:rPr>
        <w:drawing>
          <wp:inline distT="0" distB="0" distL="114300" distR="114300">
            <wp:extent cx="2559685" cy="3474085"/>
            <wp:effectExtent l="0" t="0" r="254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2559685" cy="3474085"/>
                    </a:xfrm>
                    <a:prstGeom prst="rect">
                      <a:avLst/>
                    </a:prstGeom>
                    <a:noFill/>
                    <a:ln>
                      <a:noFill/>
                    </a:ln>
                  </pic:spPr>
                </pic:pic>
              </a:graphicData>
            </a:graphic>
          </wp:inline>
        </w:drawing>
      </w:r>
      <w:r>
        <w:rPr>
          <w:rFonts w:hint="eastAsia"/>
          <w:sz w:val="32"/>
          <w:szCs w:val="32"/>
        </w:rPr>
        <w:t xml:space="preserve"> </w:t>
      </w:r>
      <w:r>
        <w:rPr>
          <w:sz w:val="32"/>
          <w:szCs w:val="32"/>
        </w:rPr>
        <w:drawing>
          <wp:inline distT="0" distB="0" distL="114300" distR="114300">
            <wp:extent cx="2559685" cy="3471545"/>
            <wp:effectExtent l="0" t="0" r="254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2559685" cy="3471545"/>
                    </a:xfrm>
                    <a:prstGeom prst="rect">
                      <a:avLst/>
                    </a:prstGeom>
                    <a:noFill/>
                    <a:ln>
                      <a:noFill/>
                    </a:ln>
                  </pic:spPr>
                </pic:pic>
              </a:graphicData>
            </a:graphic>
          </wp:inline>
        </w:drawing>
      </w:r>
    </w:p>
    <w:p>
      <w:pPr>
        <w:jc w:val="center"/>
        <w:rPr>
          <w:rFonts w:ascii="仿宋_GB2312" w:hAnsi="仿宋_GB2312" w:eastAsia="仿宋_GB2312" w:cs="仿宋_GB2312"/>
          <w:sz w:val="32"/>
          <w:szCs w:val="32"/>
        </w:rPr>
      </w:pPr>
      <w:r>
        <w:rPr>
          <w:rFonts w:hint="eastAsia" w:ascii="仿宋_GB2312" w:hAnsi="仿宋_GB2312" w:eastAsia="仿宋_GB2312" w:cs="仿宋_GB2312"/>
          <w:sz w:val="32"/>
          <w:szCs w:val="32"/>
        </w:rPr>
        <w:t>2021年《北京文史》第3期、第4期封面</w:t>
      </w:r>
    </w:p>
    <w:p>
      <w:pPr>
        <w:pStyle w:val="2"/>
        <w:rPr>
          <w:rFonts w:ascii="仿宋_GB2312" w:hAnsi="仿宋_GB2312" w:eastAsia="仿宋_GB2312" w:cs="仿宋_GB2312"/>
        </w:rPr>
        <w:sectPr>
          <w:pgSz w:w="11906" w:h="16838"/>
          <w:pgMar w:top="2098" w:right="1474" w:bottom="1984" w:left="1587" w:header="851" w:footer="992" w:gutter="0"/>
          <w:cols w:space="720" w:num="1"/>
          <w:docGrid w:type="lines" w:linePitch="312" w:charSpace="0"/>
        </w:sectPr>
      </w:pPr>
    </w:p>
    <w:p>
      <w:pPr>
        <w:spacing w:before="156" w:beforeLines="50" w:after="156" w:afterLines="50" w:line="560" w:lineRule="exact"/>
        <w:jc w:val="center"/>
        <w:rPr>
          <w:rFonts w:ascii="方正小标宋简体" w:hAnsi="方正小标宋简体" w:eastAsia="方正小标宋简体" w:cs="方正小标宋简体"/>
          <w:b/>
          <w:sz w:val="44"/>
          <w:szCs w:val="44"/>
        </w:rPr>
      </w:pPr>
      <w:r>
        <w:rPr>
          <w:rFonts w:hint="eastAsia" w:ascii="方正小标宋简体" w:hAnsi="方正小标宋简体" w:eastAsia="方正小标宋简体" w:cs="方正小标宋简体"/>
          <w:b/>
          <w:sz w:val="44"/>
          <w:szCs w:val="44"/>
        </w:rPr>
        <w:t>目  录</w:t>
      </w:r>
    </w:p>
    <w:sdt>
      <w:sdtPr>
        <w:rPr>
          <w:rFonts w:ascii="宋体" w:hAnsi="宋体" w:eastAsia="宋体"/>
          <w:b/>
          <w:bCs/>
        </w:rPr>
        <w:id w:val="147479465"/>
        <w15:color w:val="DBDBDB"/>
        <w:docPartObj>
          <w:docPartGallery w:val="Table of Contents"/>
          <w:docPartUnique/>
        </w:docPartObj>
      </w:sdtPr>
      <w:sdtEndPr>
        <w:rPr>
          <w:rFonts w:ascii="Cambria" w:hAnsi="Cambria" w:eastAsia="宋体" w:cs="Cambria"/>
          <w:b/>
          <w:bCs/>
          <w:sz w:val="28"/>
          <w:szCs w:val="28"/>
        </w:rPr>
      </w:sdtEndPr>
      <w:sdtContent>
        <w:p>
          <w:pPr>
            <w:jc w:val="center"/>
          </w:pPr>
        </w:p>
        <w:p>
          <w:pPr>
            <w:pStyle w:val="12"/>
            <w:tabs>
              <w:tab w:val="right" w:leader="dot" w:pos="8306"/>
            </w:tabs>
            <w:rPr>
              <w:rFonts w:ascii="仿宋_GB2312" w:hAnsi="仿宋_GB2312" w:eastAsia="仿宋_GB2312" w:cs="仿宋_GB2312"/>
              <w:b/>
              <w:bCs/>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TOC \o "1-3" \h \u </w:instrText>
          </w:r>
          <w:r>
            <w:rPr>
              <w:rFonts w:hint="eastAsia" w:ascii="仿宋_GB2312" w:hAnsi="仿宋_GB2312" w:eastAsia="仿宋_GB2312" w:cs="仿宋_GB2312"/>
              <w:sz w:val="32"/>
              <w:szCs w:val="32"/>
            </w:rPr>
            <w:fldChar w:fldCharType="separate"/>
          </w:r>
          <w:r>
            <w:fldChar w:fldCharType="begin"/>
          </w:r>
          <w:r>
            <w:instrText xml:space="preserve"> HYPERLINK \l "_Toc22338" </w:instrText>
          </w:r>
          <w:r>
            <w:fldChar w:fldCharType="separate"/>
          </w:r>
          <w:r>
            <w:rPr>
              <w:rFonts w:hint="eastAsia" w:ascii="仿宋_GB2312" w:hAnsi="仿宋_GB2312" w:eastAsia="仿宋_GB2312" w:cs="仿宋_GB2312"/>
              <w:b/>
              <w:bCs/>
              <w:sz w:val="32"/>
              <w:szCs w:val="32"/>
            </w:rPr>
            <w:t>一、基本情况</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_Toc22338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"_Toc15655" </w:instrText>
          </w:r>
          <w:r>
            <w:fldChar w:fldCharType="separate"/>
          </w:r>
          <w:r>
            <w:rPr>
              <w:rFonts w:hint="eastAsia" w:ascii="仿宋_GB2312" w:hAnsi="仿宋_GB2312" w:eastAsia="仿宋_GB2312" w:cs="仿宋_GB2312"/>
              <w:sz w:val="32"/>
              <w:szCs w:val="32"/>
            </w:rPr>
            <w:t>（一）项目概况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_Toc15655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"_Toc26095" </w:instrText>
          </w:r>
          <w:r>
            <w:fldChar w:fldCharType="separate"/>
          </w:r>
          <w:r>
            <w:rPr>
              <w:rFonts w:hint="eastAsia" w:ascii="仿宋_GB2312" w:hAnsi="仿宋_GB2312" w:eastAsia="仿宋_GB2312" w:cs="仿宋_GB2312"/>
              <w:sz w:val="32"/>
              <w:szCs w:val="32"/>
            </w:rPr>
            <w:t>（二）项目绩效目标</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_Toc26095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3</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"_Toc10718" </w:instrText>
          </w:r>
          <w:r>
            <w:fldChar w:fldCharType="separate"/>
          </w:r>
          <w:r>
            <w:rPr>
              <w:rFonts w:hint="eastAsia" w:ascii="仿宋_GB2312" w:hAnsi="仿宋_GB2312" w:eastAsia="仿宋_GB2312" w:cs="仿宋_GB2312"/>
              <w:b/>
              <w:bCs/>
              <w:sz w:val="32"/>
              <w:szCs w:val="32"/>
            </w:rPr>
            <w:t>二、绩效评价工作开展情况</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_Toc10718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3</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"_Toc31270" </w:instrText>
          </w:r>
          <w:r>
            <w:fldChar w:fldCharType="separate"/>
          </w:r>
          <w:r>
            <w:rPr>
              <w:rFonts w:hint="eastAsia" w:ascii="仿宋_GB2312" w:hAnsi="仿宋_GB2312" w:eastAsia="仿宋_GB2312" w:cs="仿宋_GB2312"/>
              <w:sz w:val="32"/>
              <w:szCs w:val="32"/>
            </w:rPr>
            <w:t>（一）绩效评价目的、对象和范围</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_Toc31270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"_Toc28735" </w:instrText>
          </w:r>
          <w:r>
            <w:fldChar w:fldCharType="separate"/>
          </w:r>
          <w:r>
            <w:rPr>
              <w:rFonts w:hint="eastAsia" w:ascii="仿宋_GB2312" w:hAnsi="仿宋_GB2312" w:eastAsia="仿宋_GB2312" w:cs="仿宋_GB2312"/>
              <w:sz w:val="32"/>
              <w:szCs w:val="32"/>
            </w:rPr>
            <w:t>（二）绩效评价要求</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_Toc28735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"_Toc26514" </w:instrText>
          </w:r>
          <w:r>
            <w:fldChar w:fldCharType="separate"/>
          </w:r>
          <w:r>
            <w:rPr>
              <w:rFonts w:hint="eastAsia" w:ascii="仿宋_GB2312" w:hAnsi="仿宋_GB2312" w:eastAsia="仿宋_GB2312" w:cs="仿宋_GB2312"/>
              <w:sz w:val="32"/>
              <w:szCs w:val="32"/>
            </w:rPr>
            <w:t>（三）绩效评价工作过程</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_Toc26514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5</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"_Toc2419" </w:instrText>
          </w:r>
          <w:r>
            <w:fldChar w:fldCharType="separate"/>
          </w:r>
          <w:r>
            <w:rPr>
              <w:rFonts w:hint="eastAsia" w:ascii="仿宋_GB2312" w:hAnsi="仿宋_GB2312" w:eastAsia="仿宋_GB2312" w:cs="仿宋_GB2312"/>
              <w:b/>
              <w:bCs/>
              <w:sz w:val="32"/>
              <w:szCs w:val="32"/>
            </w:rPr>
            <w:t>三、综合评价情况及评价结论</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_Toc2419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6</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"_Toc3640" </w:instrText>
          </w:r>
          <w:r>
            <w:fldChar w:fldCharType="separate"/>
          </w:r>
          <w:r>
            <w:rPr>
              <w:rFonts w:hint="eastAsia" w:ascii="仿宋_GB2312" w:hAnsi="仿宋_GB2312" w:eastAsia="仿宋_GB2312" w:cs="仿宋_GB2312"/>
              <w:b/>
              <w:bCs/>
              <w:sz w:val="32"/>
              <w:szCs w:val="32"/>
            </w:rPr>
            <w:t>四、绩效评价指标分析</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_Toc3640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6</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"_Toc31453" </w:instrText>
          </w:r>
          <w:r>
            <w:fldChar w:fldCharType="separate"/>
          </w:r>
          <w:r>
            <w:rPr>
              <w:rFonts w:hint="eastAsia" w:ascii="仿宋_GB2312" w:hAnsi="仿宋_GB2312" w:eastAsia="仿宋_GB2312" w:cs="仿宋_GB2312"/>
              <w:sz w:val="32"/>
              <w:szCs w:val="32"/>
            </w:rPr>
            <w:t>（一）项目决策情况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_Toc31453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6</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"_Toc21886" </w:instrText>
          </w:r>
          <w:r>
            <w:fldChar w:fldCharType="separate"/>
          </w:r>
          <w:r>
            <w:rPr>
              <w:rFonts w:hint="eastAsia" w:ascii="仿宋_GB2312" w:hAnsi="仿宋_GB2312" w:eastAsia="仿宋_GB2312" w:cs="仿宋_GB2312"/>
              <w:sz w:val="32"/>
              <w:szCs w:val="32"/>
            </w:rPr>
            <w:t>（二）项目过程情况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_Toc21886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"_Toc28573" </w:instrText>
          </w:r>
          <w:r>
            <w:fldChar w:fldCharType="separate"/>
          </w:r>
          <w:r>
            <w:rPr>
              <w:rFonts w:hint="eastAsia" w:ascii="仿宋_GB2312" w:hAnsi="仿宋_GB2312" w:eastAsia="仿宋_GB2312" w:cs="仿宋_GB2312"/>
              <w:sz w:val="32"/>
              <w:szCs w:val="32"/>
            </w:rPr>
            <w:t>（三）项目产出情况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_Toc28573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11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ascii="仿宋_GB2312" w:hAnsi="仿宋_GB2312" w:eastAsia="仿宋_GB2312" w:cs="仿宋_GB2312"/>
              <w:sz w:val="32"/>
              <w:szCs w:val="32"/>
            </w:rPr>
          </w:pPr>
          <w:r>
            <w:fldChar w:fldCharType="begin"/>
          </w:r>
          <w:r>
            <w:instrText xml:space="preserve"> HYPERLINK \l "_Toc16425" </w:instrText>
          </w:r>
          <w:r>
            <w:fldChar w:fldCharType="separate"/>
          </w:r>
          <w:r>
            <w:rPr>
              <w:rFonts w:hint="eastAsia" w:ascii="仿宋_GB2312" w:hAnsi="仿宋_GB2312" w:eastAsia="仿宋_GB2312" w:cs="仿宋_GB2312"/>
              <w:sz w:val="32"/>
              <w:szCs w:val="32"/>
            </w:rPr>
            <w:t>（四）项目效益情况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_Toc16425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11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"_Toc23290" </w:instrText>
          </w:r>
          <w:r>
            <w:fldChar w:fldCharType="separate"/>
          </w:r>
          <w:r>
            <w:rPr>
              <w:rFonts w:hint="eastAsia" w:ascii="仿宋_GB2312" w:hAnsi="仿宋_GB2312" w:eastAsia="仿宋_GB2312" w:cs="仿宋_GB2312"/>
              <w:b/>
              <w:bCs/>
              <w:sz w:val="32"/>
              <w:szCs w:val="32"/>
            </w:rPr>
            <w:t>五、项目中存在的问题</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_Toc23290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12</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"_Toc27029" </w:instrText>
          </w:r>
          <w:r>
            <w:fldChar w:fldCharType="separate"/>
          </w:r>
          <w:r>
            <w:rPr>
              <w:rFonts w:hint="eastAsia" w:ascii="仿宋_GB2312" w:hAnsi="仿宋_GB2312" w:eastAsia="仿宋_GB2312" w:cs="仿宋_GB2312"/>
              <w:b/>
              <w:bCs/>
              <w:sz w:val="32"/>
              <w:szCs w:val="32"/>
            </w:rPr>
            <w:t>六、有关建议</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_Toc27029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13</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"_Toc21325" </w:instrText>
          </w:r>
          <w:r>
            <w:fldChar w:fldCharType="separate"/>
          </w:r>
          <w:r>
            <w:rPr>
              <w:rFonts w:hint="eastAsia" w:ascii="仿宋_GB2312" w:hAnsi="仿宋_GB2312" w:eastAsia="仿宋_GB2312" w:cs="仿宋_GB2312"/>
              <w:b/>
              <w:bCs/>
              <w:sz w:val="32"/>
              <w:szCs w:val="32"/>
            </w:rPr>
            <w:t>七、其他需要说明的问题</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_Toc21325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13</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ascii="仿宋_GB2312" w:hAnsi="仿宋_GB2312" w:eastAsia="仿宋_GB2312" w:cs="仿宋_GB2312"/>
              <w:b/>
              <w:bCs/>
              <w:sz w:val="32"/>
              <w:szCs w:val="32"/>
            </w:rPr>
          </w:pPr>
          <w:r>
            <w:fldChar w:fldCharType="begin"/>
          </w:r>
          <w:r>
            <w:instrText xml:space="preserve"> HYPERLINK \l "_Toc32121" </w:instrText>
          </w:r>
          <w:r>
            <w:fldChar w:fldCharType="separate"/>
          </w:r>
          <w:r>
            <w:rPr>
              <w:rFonts w:hint="eastAsia" w:ascii="仿宋_GB2312" w:hAnsi="仿宋_GB2312" w:eastAsia="仿宋_GB2312" w:cs="仿宋_GB2312"/>
              <w:b/>
              <w:bCs/>
              <w:sz w:val="32"/>
              <w:szCs w:val="32"/>
            </w:rPr>
            <w:t>八、附件</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_Toc32121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14</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2"/>
            <w:sectPr>
              <w:footerReference r:id="rId3" w:type="default"/>
              <w:pgSz w:w="11906" w:h="16838"/>
              <w:pgMar w:top="1440" w:right="1800" w:bottom="1440" w:left="1800" w:header="851" w:footer="992" w:gutter="0"/>
              <w:cols w:space="425" w:num="1"/>
              <w:docGrid w:type="lines" w:linePitch="312" w:charSpace="0"/>
            </w:sectPr>
          </w:pPr>
          <w:r>
            <w:rPr>
              <w:rFonts w:hint="eastAsia" w:ascii="仿宋_GB2312" w:hAnsi="仿宋_GB2312" w:eastAsia="仿宋_GB2312" w:cs="仿宋_GB2312"/>
              <w:sz w:val="32"/>
              <w:szCs w:val="32"/>
            </w:rPr>
            <w:fldChar w:fldCharType="end"/>
          </w:r>
        </w:p>
      </w:sdtContent>
    </w:sdt>
    <w:p>
      <w:pPr>
        <w:spacing w:before="156" w:beforeLines="50" w:after="156" w:afterLines="50" w:line="560" w:lineRule="exact"/>
        <w:jc w:val="center"/>
        <w:rPr>
          <w:rFonts w:ascii="方正小标宋简体" w:hAnsi="方正小标宋简体" w:eastAsia="方正小标宋简体" w:cs="方正小标宋简体"/>
          <w:bCs/>
          <w:sz w:val="44"/>
          <w:szCs w:val="44"/>
        </w:rPr>
      </w:pPr>
      <w:r>
        <w:rPr>
          <w:rFonts w:hint="eastAsia" w:ascii="方正小标宋简体" w:hAnsi="方正小标宋简体" w:eastAsia="方正小标宋简体" w:cs="方正小标宋简体"/>
          <w:bCs/>
          <w:sz w:val="44"/>
          <w:szCs w:val="44"/>
        </w:rPr>
        <w:t>《北京文史》出版经费项目</w:t>
      </w:r>
      <w:r>
        <w:rPr>
          <w:rFonts w:hint="eastAsia" w:ascii="方正小标宋简体" w:hAnsi="Calibri" w:eastAsia="方正小标宋简体"/>
          <w:bCs/>
          <w:sz w:val="44"/>
          <w:szCs w:val="44"/>
        </w:rPr>
        <w:t>支出</w:t>
      </w:r>
      <w:r>
        <w:rPr>
          <w:rFonts w:hint="eastAsia" w:ascii="方正小标宋简体" w:hAnsi="Calibri" w:eastAsia="方正小标宋简体"/>
          <w:bCs/>
          <w:sz w:val="44"/>
          <w:szCs w:val="44"/>
        </w:rPr>
        <w:br w:type="textWrapping"/>
      </w:r>
      <w:r>
        <w:rPr>
          <w:rFonts w:hint="eastAsia" w:ascii="方正小标宋简体" w:hAnsi="Calibri" w:eastAsia="方正小标宋简体"/>
          <w:bCs/>
          <w:sz w:val="44"/>
          <w:szCs w:val="44"/>
        </w:rPr>
        <w:t>绩效评价报告</w:t>
      </w:r>
    </w:p>
    <w:p>
      <w:pPr>
        <w:ind w:firstLine="640" w:firstLineChars="200"/>
        <w:rPr>
          <w:rFonts w:ascii="黑体" w:hAnsi="黑体" w:eastAsia="黑体" w:cs="黑体"/>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黑体" w:hAnsi="黑体" w:eastAsia="黑体" w:cs="黑体"/>
          <w:sz w:val="32"/>
          <w:szCs w:val="32"/>
        </w:rPr>
      </w:pPr>
      <w:bookmarkStart w:id="0" w:name="_Toc22338"/>
      <w:r>
        <w:rPr>
          <w:rFonts w:hint="eastAsia" w:ascii="黑体" w:hAnsi="黑体" w:eastAsia="黑体" w:cs="黑体"/>
          <w:sz w:val="32"/>
          <w:szCs w:val="32"/>
        </w:rPr>
        <w:t>一、基本情况</w:t>
      </w:r>
      <w:bookmarkEnd w:id="0"/>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ascii="楷体" w:hAnsi="楷体" w:eastAsia="楷体" w:cs="楷体"/>
          <w:b/>
          <w:bCs/>
          <w:sz w:val="32"/>
          <w:szCs w:val="32"/>
        </w:rPr>
      </w:pPr>
      <w:bookmarkStart w:id="1" w:name="_Toc15655"/>
      <w:r>
        <w:rPr>
          <w:rFonts w:hint="eastAsia" w:ascii="楷体" w:hAnsi="楷体" w:eastAsia="楷体" w:cs="楷体"/>
          <w:b/>
          <w:bCs/>
          <w:sz w:val="32"/>
          <w:szCs w:val="32"/>
        </w:rPr>
        <w:t>（一）项目概况</w:t>
      </w:r>
      <w:bookmarkEnd w:id="1"/>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1.项目背景</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习近平总书记提出：“要提倡多读书，建设书香社会，不断提升人民思想境界、增强人民精神力量，中华民族的精神世界就能更加厚重深邃。”</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北京文史》期刊编辑出版工作就是要以习近平新时代中国特色社会主义思想为指导，认真贯彻习近平总书记系列重要讲话精神，紧密联系、认真领会党的十八大、十九大全会精神，坚持正确的舆论导向和出版方向，坚持理论联系实际，充分发挥参事室、文史馆优势，发挥参事、馆员专长，实现从以往为文史馆工作服务，转向为社会服务，集中介绍、宣传北京历史文化知识和研究成果，多方面、多角度地反映北京历史文化重要信息，弘扬中华优秀传统文化、讲好北京故事，以促进满足人民文化需求和增强人民精神力量相统一，推进社会主义文化强国建设。北京市人民政府参事室（以下简称“市参事室”）组织开展《北京文史》出版经费项目（以下简称“该项目”）绩效评价工作。</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2.项目单位工作职能介绍</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根据北京市机构编制委员会办公室下发的《关于成立北京市文史研究中心的函》（京编办事〔2005〕43号）中“三、北京市文史研究中心的主要职责：负责《北京</w:t>
      </w:r>
      <w:r>
        <w:rPr>
          <w:rFonts w:hint="eastAsia" w:ascii="仿宋_GB2312" w:hAnsi="仿宋_GB2312" w:eastAsia="仿宋_GB2312" w:cs="仿宋_GB2312"/>
          <w:color w:val="auto"/>
          <w:sz w:val="32"/>
          <w:szCs w:val="32"/>
        </w:rPr>
        <w:t>文史</w:t>
      </w:r>
      <w:r>
        <w:rPr>
          <w:rFonts w:hint="eastAsia" w:ascii="仿宋_GB2312" w:hAnsi="仿宋_GB2312" w:eastAsia="仿宋_GB2312" w:cs="仿宋_GB2312"/>
          <w:sz w:val="32"/>
          <w:szCs w:val="32"/>
        </w:rPr>
        <w:t>》的编辑出版以及文史资料的收集、整理、编辑”的要求，开展《北京文史》编辑出版工作。该项目与市参事室职责范围相符，属于部门履职所需。</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3.项目内容</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rPr>
        <w:t>《北京文史</w:t>
      </w:r>
      <w:r>
        <w:rPr>
          <w:rFonts w:hint="eastAsia" w:ascii="仿宋_GB2312" w:hAnsi="仿宋" w:eastAsia="仿宋_GB2312" w:cs="DejaVu Sans"/>
          <w:sz w:val="32"/>
        </w:rPr>
        <w:t>》期刊是北京市人民政府参事室主办的内部资料性出版物。</w:t>
      </w:r>
      <w:r>
        <w:rPr>
          <w:rFonts w:hint="eastAsia" w:ascii="仿宋_GB2312" w:hAnsi="仿宋_GB2312" w:eastAsia="仿宋_GB2312" w:cs="仿宋_GB2312"/>
          <w:sz w:val="32"/>
          <w:szCs w:val="32"/>
        </w:rPr>
        <w:t>设有悠悠长河、风仪冠代、人文地理、翰墨中华、戏苑春秋、坐拥书城、往事摭忆、雅玩珍藏、世风流变、体坛纪事、光影一瞬等栏目。</w:t>
      </w:r>
      <w:r>
        <w:rPr>
          <w:rFonts w:hint="eastAsia" w:ascii="仿宋_GB2312" w:hAnsi="仿宋" w:eastAsia="仿宋_GB2312" w:cs="DejaVu Sans"/>
          <w:sz w:val="32"/>
        </w:rPr>
        <w:t>准印证号：京内资准字1721-L0028。刊物由北京市文史研究中心编辑出版赠阅。</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4.实施情况</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该项目按要求报全年《北京文史》组稿计划，每期报当期组稿工作安排上党组会、主任办公会审议通过后执行。编辑人员根据制定的选题规划进行约稿。组稿人准备约稿提纲，经领导审阅后告知作者；提纲应包括：写作目的、主要内容、文体结构、字数要求、图片质量要求、截稿时间等；稿件进行三审，即实行三审制：组稿人初审，编委二审，室馆领导终审；设计排版；进行编辑校对，实行四校制，即编审一校、二校、三校，副主编（中心主任）审读，执行主编签发印刷；印刷装订；出版赠阅。</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5.资金投入和使用情况</w:t>
      </w:r>
    </w:p>
    <w:p>
      <w:pPr>
        <w:keepNext w:val="0"/>
        <w:keepLines w:val="0"/>
        <w:pageBreakBefore w:val="0"/>
        <w:kinsoku/>
        <w:overflowPunct/>
        <w:topLinePunct w:val="0"/>
        <w:autoSpaceDE/>
        <w:autoSpaceDN/>
        <w:bidi w:val="0"/>
        <w:adjustRightInd/>
        <w:snapToGrid/>
        <w:spacing w:line="560" w:lineRule="exact"/>
        <w:ind w:firstLine="640" w:firstLineChars="200"/>
        <w:rPr>
          <w:rFonts w:eastAsia="仿宋_GB2312"/>
        </w:rPr>
      </w:pPr>
      <w:r>
        <w:rPr>
          <w:rFonts w:hint="eastAsia" w:ascii="仿宋_GB2312" w:hAnsi="仿宋_GB2312" w:eastAsia="仿宋_GB2312" w:cs="仿宋_GB2312"/>
          <w:sz w:val="32"/>
          <w:szCs w:val="32"/>
        </w:rPr>
        <w:t>该项目为延续性项目，财政批复预算98.114万元，截至2021年12月31日，该项目实际支出91.647749万元，预算执行率为93.41%。</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2" w:name="_Toc26095"/>
      <w:r>
        <w:rPr>
          <w:rFonts w:hint="eastAsia" w:ascii="楷体" w:hAnsi="楷体" w:eastAsia="楷体" w:cs="楷体"/>
          <w:b/>
          <w:bCs/>
          <w:sz w:val="32"/>
          <w:szCs w:val="32"/>
        </w:rPr>
        <w:t>（二）项目绩效目标</w:t>
      </w:r>
      <w:bookmarkEnd w:id="2"/>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1.总体目标</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（1）权威介绍和分析北京的历史文化；</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（2）多方面、多角度反映北京历史文化重要信息，深度挖掘人文北京的历史文化内涵；</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（3）推进树立首都“大文化”发展理念，坚持继承与发展并重，力争打造高品位的优秀刊物及文化读本。</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2.阶段性目标</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（1）产出数量：每期发稿30篇，每期印刷7000册，每期赠阅6000册。</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（2）产出质量：刊物自采自编率100%；首发率85%；每期字数20万字；发表图片300幅。</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（3）产出进度：每季度出版一期。</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（4）产出成本：每期制作、印刷费12.38万元；每期劳稿费、图片费、劳务费11.80万元；资料费、参观观摩费0.40万元。</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5）效益指标：介绍和分析北京的历史文化，树立首都“大文化”发展理念，坚持继承与发展并重；反映北京历史文化重要信息，挖掘北京丰富的文史资源，扩大文化传播交流范围；深度挖掘人文北京的历史文化内涵，力争打造高品位的优秀刊物及文化读本。</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 w:eastAsia="仿宋_GB2312" w:cs="DejaVu Sans"/>
          <w:sz w:val="32"/>
        </w:rPr>
        <w:t>（6）服务对象满意度指标：馆员、参事满意率98%；专家、学者满意率98%；各界读者满意率98%。</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3" w:name="_Toc10718"/>
      <w:r>
        <w:rPr>
          <w:rFonts w:hint="eastAsia" w:ascii="黑体" w:hAnsi="黑体" w:eastAsia="黑体" w:cs="黑体"/>
          <w:sz w:val="32"/>
          <w:szCs w:val="32"/>
        </w:rPr>
        <w:t>二、绩效评价工作开展情况</w:t>
      </w:r>
      <w:bookmarkEnd w:id="3"/>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4" w:name="_Toc29063"/>
      <w:bookmarkStart w:id="5" w:name="_Toc12902"/>
      <w:bookmarkStart w:id="6" w:name="_Toc31270"/>
      <w:bookmarkStart w:id="7" w:name="_Toc489"/>
      <w:bookmarkStart w:id="8" w:name="_Toc26354"/>
      <w:r>
        <w:rPr>
          <w:rFonts w:hint="eastAsia" w:ascii="楷体" w:hAnsi="楷体" w:eastAsia="楷体" w:cs="楷体"/>
          <w:b/>
          <w:bCs/>
          <w:sz w:val="32"/>
          <w:szCs w:val="32"/>
        </w:rPr>
        <w:t>（一）绩效评价目的、对象和范围</w:t>
      </w:r>
      <w:bookmarkEnd w:id="4"/>
      <w:bookmarkEnd w:id="5"/>
      <w:bookmarkEnd w:id="6"/>
      <w:bookmarkEnd w:id="7"/>
      <w:bookmarkEnd w:id="8"/>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bookmarkStart w:id="9" w:name="_Toc865"/>
      <w:bookmarkStart w:id="10" w:name="_Toc23389"/>
      <w:bookmarkStart w:id="11" w:name="_Toc18633"/>
      <w:r>
        <w:rPr>
          <w:rFonts w:hint="eastAsia" w:ascii="仿宋_GB2312" w:hAnsi="仿宋_GB2312" w:eastAsia="仿宋_GB2312" w:cs="仿宋_GB2312"/>
          <w:b/>
          <w:bCs/>
          <w:sz w:val="32"/>
          <w:szCs w:val="32"/>
        </w:rPr>
        <w:t>1.评价目的及对象</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通过部门评价，对</w:t>
      </w:r>
      <w:r>
        <w:rPr>
          <w:rFonts w:hint="eastAsia" w:ascii="仿宋_GB2312" w:eastAsia="仿宋_GB2312"/>
          <w:sz w:val="32"/>
        </w:rPr>
        <w:t>《北京文史》出版经费项目</w:t>
      </w:r>
      <w:r>
        <w:rPr>
          <w:rFonts w:hint="eastAsia" w:ascii="仿宋_GB2312" w:hAnsi="楷体" w:eastAsia="仿宋_GB2312"/>
          <w:bCs/>
          <w:kern w:val="0"/>
          <w:sz w:val="32"/>
          <w:szCs w:val="28"/>
        </w:rPr>
        <w:t>整体情况进行分析，全面、客观地反映市参事室组织项目实施的工作成效，对项目决策、项目过程、项目产出、项目效益方面存在的不足提出合理化建议，使预算管理更加科学、完善，进而规范资金的使用管理，提高资金使用效益和效率。</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2.评价范围</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对</w:t>
      </w:r>
      <w:r>
        <w:rPr>
          <w:rFonts w:hint="eastAsia" w:ascii="仿宋_GB2312" w:eastAsia="仿宋_GB2312"/>
          <w:sz w:val="32"/>
        </w:rPr>
        <w:t>《北京文史》出版经费</w:t>
      </w:r>
      <w:r>
        <w:rPr>
          <w:rFonts w:hint="eastAsia" w:ascii="仿宋_GB2312" w:hAnsi="楷体" w:eastAsia="仿宋_GB2312"/>
          <w:bCs/>
          <w:kern w:val="0"/>
          <w:sz w:val="32"/>
          <w:szCs w:val="28"/>
        </w:rPr>
        <w:t>项目</w:t>
      </w:r>
      <w:r>
        <w:rPr>
          <w:rFonts w:hint="eastAsia" w:ascii="仿宋_GB2312" w:hAnsi="仿宋_GB2312" w:eastAsia="仿宋_GB2312" w:cs="仿宋_GB2312"/>
          <w:sz w:val="32"/>
          <w:szCs w:val="32"/>
        </w:rPr>
        <w:t>91.647749</w:t>
      </w:r>
      <w:r>
        <w:rPr>
          <w:rFonts w:hint="eastAsia" w:ascii="仿宋_GB2312" w:eastAsia="仿宋_GB2312" w:cs="宋体"/>
          <w:kern w:val="0"/>
          <w:sz w:val="32"/>
          <w:szCs w:val="32"/>
        </w:rPr>
        <w:t>万元的</w:t>
      </w:r>
      <w:r>
        <w:rPr>
          <w:rFonts w:hint="eastAsia" w:ascii="仿宋_GB2312" w:hAnsi="楷体" w:eastAsia="仿宋_GB2312"/>
          <w:bCs/>
          <w:kern w:val="0"/>
          <w:sz w:val="32"/>
          <w:szCs w:val="28"/>
        </w:rPr>
        <w:t>资金支出情况开展部门评价。</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12" w:name="_Toc8742"/>
      <w:bookmarkStart w:id="13" w:name="_Toc28735"/>
      <w:r>
        <w:rPr>
          <w:rFonts w:hint="eastAsia" w:ascii="楷体" w:hAnsi="楷体" w:eastAsia="楷体" w:cs="楷体"/>
          <w:b/>
          <w:bCs/>
          <w:sz w:val="32"/>
          <w:szCs w:val="32"/>
        </w:rPr>
        <w:t>（二）绩效评价</w:t>
      </w:r>
      <w:bookmarkEnd w:id="9"/>
      <w:bookmarkEnd w:id="10"/>
      <w:bookmarkEnd w:id="11"/>
      <w:r>
        <w:rPr>
          <w:rFonts w:hint="eastAsia" w:ascii="楷体" w:hAnsi="楷体" w:eastAsia="楷体" w:cs="楷体"/>
          <w:b/>
          <w:bCs/>
          <w:sz w:val="32"/>
          <w:szCs w:val="32"/>
        </w:rPr>
        <w:t>要求</w:t>
      </w:r>
      <w:bookmarkEnd w:id="12"/>
      <w:bookmarkEnd w:id="13"/>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bookmarkStart w:id="14" w:name="_Toc19417"/>
      <w:bookmarkStart w:id="15" w:name="_Toc30042"/>
      <w:bookmarkStart w:id="16" w:name="_Toc11590"/>
      <w:r>
        <w:rPr>
          <w:rFonts w:hint="eastAsia" w:ascii="仿宋_GB2312" w:hAnsi="仿宋_GB2312" w:eastAsia="仿宋_GB2312" w:cs="仿宋_GB2312"/>
          <w:b/>
          <w:bCs/>
          <w:sz w:val="32"/>
          <w:szCs w:val="32"/>
        </w:rPr>
        <w:t>1.绩效评价原则</w:t>
      </w:r>
    </w:p>
    <w:p>
      <w:pPr>
        <w:pStyle w:val="32"/>
        <w:keepNext w:val="0"/>
        <w:keepLines w:val="0"/>
        <w:pageBreakBefore w:val="0"/>
        <w:kinsoku/>
        <w:overflowPunct/>
        <w:topLinePunct w:val="0"/>
        <w:autoSpaceDE/>
        <w:autoSpaceDN/>
        <w:bidi w:val="0"/>
        <w:adjustRightInd/>
        <w:snapToGrid/>
        <w:spacing w:line="560" w:lineRule="exact"/>
        <w:ind w:firstLine="640"/>
        <w:rPr>
          <w:rFonts w:ascii="仿宋_GB2312" w:eastAsia="仿宋_GB2312"/>
          <w:sz w:val="32"/>
          <w:szCs w:val="32"/>
        </w:rPr>
      </w:pPr>
      <w:r>
        <w:rPr>
          <w:rFonts w:hint="eastAsia" w:ascii="仿宋_GB2312" w:eastAsia="仿宋_GB2312"/>
          <w:sz w:val="32"/>
          <w:szCs w:val="32"/>
        </w:rPr>
        <w:t>按照《北京市项目支出绩效评价管理办法》（京财绩效〔2020〕2146号）的要求，部门评价指标的确定应当与评价对象密切相关，全面反映项目决策、项目过程、产出和效益；优先选取最具代表性、最能直接反映产出和效益的核心指标；指标设定应当明确、具体、可衡量，数据及佐证资料应当可采集、可获得。</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2.评价指标体系及评价标准</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eastAsia="仿宋_GB2312"/>
          <w:sz w:val="32"/>
        </w:rPr>
      </w:pPr>
      <w:r>
        <w:rPr>
          <w:rFonts w:hint="eastAsia" w:ascii="仿宋_GB2312" w:eastAsia="仿宋_GB2312"/>
          <w:sz w:val="32"/>
        </w:rPr>
        <w:t>此次绩效评价指标体系共分为四级，项目决策（10分），主要从项目立项、绩效目标和资金投入三类指标进行部门评价。其中，项目立项细化为立项依据充分性和立项程序规范性；绩效目标细化为绩效目标合理性和绩效指标明确性；资金投入细化为预算编制科学性和资金分配合理性。项目过程（20分），主要细化为资金管理和组织实施两类指标。其中，资金管理细化为资金到位率、预算执行率、资金使用合规性；组织实施细化为管理制度健全性和制度执行有效性。项目产出（40分）细化为产出数量、产出质量、产出时效和产出成本。项目效益（30分）细化为效益和满意度。（详见附件4）</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3.评价方法</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本次部门评价遵循“客观、公正、科学、规范”的原则，结合项目的特点，采用比较法、因素分析法、专家评议法等方法开展评价工作。</w:t>
      </w:r>
      <w:r>
        <w:rPr>
          <w:rFonts w:hint="eastAsia" w:ascii="仿宋_GB2312" w:hAnsi="仿宋" w:eastAsia="仿宋_GB2312" w:cs="仿宋"/>
          <w:sz w:val="32"/>
          <w:szCs w:val="32"/>
        </w:rPr>
        <w:t>根据项目特点，</w:t>
      </w:r>
      <w:r>
        <w:rPr>
          <w:rFonts w:hint="eastAsia" w:ascii="仿宋_GB2312" w:eastAsia="仿宋_GB2312"/>
          <w:sz w:val="32"/>
          <w:szCs w:val="32"/>
        </w:rPr>
        <w:t>评价</w:t>
      </w:r>
      <w:r>
        <w:rPr>
          <w:rFonts w:hint="eastAsia" w:ascii="仿宋_GB2312" w:hAnsi="楷体" w:eastAsia="仿宋_GB2312"/>
          <w:bCs/>
          <w:kern w:val="0"/>
          <w:sz w:val="32"/>
          <w:szCs w:val="28"/>
        </w:rPr>
        <w:t>工作组</w:t>
      </w:r>
      <w:r>
        <w:rPr>
          <w:rFonts w:hint="eastAsia" w:ascii="仿宋_GB2312" w:hAnsi="仿宋" w:eastAsia="仿宋_GB2312" w:cs="仿宋"/>
          <w:sz w:val="32"/>
          <w:szCs w:val="32"/>
        </w:rPr>
        <w:t>遴选3名专家组成评价专家组，通过函评方式评价该项目，专家就指标体系内容进行评分，并出具了评价意见。</w:t>
      </w:r>
      <w:r>
        <w:rPr>
          <w:rFonts w:hint="eastAsia" w:ascii="仿宋_GB2312" w:eastAsia="仿宋_GB2312"/>
          <w:sz w:val="32"/>
          <w:szCs w:val="32"/>
        </w:rPr>
        <w:t>评价</w:t>
      </w:r>
      <w:r>
        <w:rPr>
          <w:rFonts w:hint="eastAsia" w:ascii="仿宋_GB2312" w:hAnsi="楷体" w:eastAsia="仿宋_GB2312"/>
          <w:bCs/>
          <w:kern w:val="0"/>
          <w:sz w:val="32"/>
          <w:szCs w:val="28"/>
        </w:rPr>
        <w:t>工作组通过对项目资料进行逐一核实了解项目资金的使用和取得的效益情况，结合评价专家组意见，完成部门评价报告撰写。</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17" w:name="_Toc27075"/>
      <w:bookmarkStart w:id="18" w:name="_Toc26514"/>
      <w:r>
        <w:rPr>
          <w:rFonts w:hint="eastAsia" w:ascii="楷体" w:hAnsi="楷体" w:eastAsia="楷体" w:cs="楷体"/>
          <w:b/>
          <w:bCs/>
          <w:sz w:val="32"/>
          <w:szCs w:val="32"/>
        </w:rPr>
        <w:t>（三）绩效评价工作过程</w:t>
      </w:r>
      <w:bookmarkEnd w:id="14"/>
      <w:bookmarkEnd w:id="15"/>
      <w:bookmarkEnd w:id="16"/>
      <w:bookmarkEnd w:id="17"/>
      <w:bookmarkEnd w:id="18"/>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bookmarkStart w:id="19" w:name="_Toc26742"/>
      <w:bookmarkStart w:id="20" w:name="_Toc23070"/>
      <w:bookmarkStart w:id="21" w:name="_Toc9546"/>
      <w:r>
        <w:rPr>
          <w:rFonts w:hint="eastAsia" w:ascii="仿宋_GB2312" w:hAnsi="楷体" w:eastAsia="仿宋_GB2312"/>
          <w:bCs/>
          <w:kern w:val="0"/>
          <w:sz w:val="32"/>
          <w:szCs w:val="28"/>
        </w:rPr>
        <w:t>1.4月14日前根据《</w:t>
      </w:r>
      <w:r>
        <w:rPr>
          <w:rFonts w:hint="eastAsia" w:ascii="仿宋_GB2312" w:hAnsi="楷体" w:eastAsia="仿宋_GB2312"/>
          <w:bCs/>
          <w:kern w:val="0"/>
          <w:sz w:val="32"/>
          <w:szCs w:val="28"/>
          <w:lang w:val="en"/>
        </w:rPr>
        <w:t>北京市财政局关于开展2022年全面预算绩效管理工作的通知</w:t>
      </w:r>
      <w:r>
        <w:rPr>
          <w:rFonts w:hint="eastAsia" w:ascii="仿宋_GB2312" w:hAnsi="楷体" w:eastAsia="仿宋_GB2312"/>
          <w:bCs/>
          <w:kern w:val="0"/>
          <w:sz w:val="32"/>
          <w:szCs w:val="28"/>
        </w:rPr>
        <w:t>》（京财</w:t>
      </w:r>
      <w:r>
        <w:rPr>
          <w:rFonts w:ascii="仿宋_GB2312" w:hAnsi="楷体" w:eastAsia="仿宋_GB2312"/>
          <w:bCs/>
          <w:kern w:val="0"/>
          <w:sz w:val="32"/>
          <w:szCs w:val="28"/>
          <w:lang w:val="en"/>
        </w:rPr>
        <w:t>绩效</w:t>
      </w:r>
      <w:r>
        <w:rPr>
          <w:rFonts w:hint="eastAsia" w:ascii="仿宋_GB2312" w:hAnsi="楷体" w:eastAsia="仿宋_GB2312"/>
          <w:bCs/>
          <w:kern w:val="0"/>
          <w:sz w:val="32"/>
          <w:szCs w:val="28"/>
        </w:rPr>
        <w:t>〔</w:t>
      </w:r>
      <w:r>
        <w:rPr>
          <w:rFonts w:ascii="仿宋_GB2312" w:hAnsi="楷体" w:eastAsia="仿宋_GB2312"/>
          <w:bCs/>
          <w:kern w:val="0"/>
          <w:sz w:val="32"/>
          <w:szCs w:val="28"/>
          <w:lang w:val="en"/>
        </w:rPr>
        <w:t>2022</w:t>
      </w:r>
      <w:r>
        <w:rPr>
          <w:rFonts w:hint="eastAsia" w:ascii="仿宋_GB2312" w:hAnsi="楷体" w:eastAsia="仿宋_GB2312"/>
          <w:bCs/>
          <w:kern w:val="0"/>
          <w:sz w:val="32"/>
          <w:szCs w:val="28"/>
        </w:rPr>
        <w:t>〕</w:t>
      </w:r>
      <w:r>
        <w:rPr>
          <w:rFonts w:ascii="仿宋_GB2312" w:hAnsi="楷体" w:eastAsia="仿宋_GB2312"/>
          <w:bCs/>
          <w:kern w:val="0"/>
          <w:sz w:val="32"/>
          <w:szCs w:val="28"/>
          <w:lang w:val="en"/>
        </w:rPr>
        <w:t>669</w:t>
      </w:r>
      <w:r>
        <w:rPr>
          <w:rFonts w:hint="eastAsia" w:ascii="仿宋_GB2312" w:hAnsi="楷体" w:eastAsia="仿宋_GB2312"/>
          <w:bCs/>
          <w:kern w:val="0"/>
          <w:sz w:val="32"/>
          <w:szCs w:val="28"/>
        </w:rPr>
        <w:t>号）的要求，成立评价工作组。制定实施方案、明确评价组织机构、人员分工、评价范围、具体时间安排等内容。并按照工作方案要求，组织开展绩效评价。</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2.5月6日前收集资料。项目实施部门根据部门评价资料清单，结合评价对象实际情况收集项目资料。项目实施部门将收集的资料及绩效报告提交评价工作组。</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3.5月11日前评价工作组对所收集资料进行核实和全面分析，并遴选专家，组成专家评价组。会同专家细化评价指标，制定绩效评价指标体系。</w:t>
      </w:r>
    </w:p>
    <w:p>
      <w:pPr>
        <w:keepNext w:val="0"/>
        <w:keepLines w:val="0"/>
        <w:pageBreakBefore w:val="0"/>
        <w:kinsoku/>
        <w:overflowPunct/>
        <w:topLinePunct w:val="0"/>
        <w:autoSpaceDE/>
        <w:autoSpaceDN/>
        <w:bidi w:val="0"/>
        <w:adjustRightInd/>
        <w:snapToGrid/>
        <w:spacing w:line="560" w:lineRule="exact"/>
        <w:ind w:firstLine="640" w:firstLineChars="200"/>
        <w:rPr>
          <w:rFonts w:eastAsia="仿宋_GB2312"/>
        </w:rPr>
      </w:pPr>
      <w:r>
        <w:rPr>
          <w:rFonts w:hint="eastAsia" w:ascii="仿宋_GB2312" w:hAnsi="楷体" w:eastAsia="仿宋_GB2312"/>
          <w:bCs/>
          <w:kern w:val="0"/>
          <w:sz w:val="32"/>
          <w:szCs w:val="28"/>
        </w:rPr>
        <w:t>4.5月13日前补充资料。项目实施部门根据评价工作组的意见，补充绩效评价资料。</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5.5月16日组织专家进行评价。评价工作组将项目资料发送专家，由专家对绩效实现情况进行评价和打分，并出具评价意见。</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楷体" w:eastAsia="仿宋_GB2312"/>
          <w:bCs/>
          <w:kern w:val="0"/>
          <w:sz w:val="32"/>
          <w:szCs w:val="28"/>
        </w:rPr>
      </w:pPr>
      <w:r>
        <w:rPr>
          <w:rFonts w:hint="eastAsia" w:ascii="仿宋_GB2312" w:hAnsi="楷体" w:eastAsia="仿宋_GB2312"/>
          <w:bCs/>
          <w:kern w:val="0"/>
          <w:sz w:val="32"/>
          <w:szCs w:val="28"/>
        </w:rPr>
        <w:t>6.5月18日前，完成《北京文史》出版经费项目部门评价绩效报告。</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22" w:name="_Toc2419"/>
      <w:bookmarkStart w:id="23" w:name="_Toc14577"/>
      <w:r>
        <w:rPr>
          <w:rFonts w:hint="eastAsia" w:ascii="黑体" w:hAnsi="黑体" w:eastAsia="黑体" w:cs="黑体"/>
          <w:sz w:val="32"/>
          <w:szCs w:val="32"/>
        </w:rPr>
        <w:t>三、综合评价情况及评价结论</w:t>
      </w:r>
      <w:bookmarkEnd w:id="19"/>
      <w:bookmarkEnd w:id="20"/>
      <w:bookmarkEnd w:id="21"/>
      <w:bookmarkEnd w:id="22"/>
      <w:bookmarkEnd w:id="23"/>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eastAsia="仿宋_GB2312"/>
          <w:sz w:val="32"/>
        </w:rPr>
      </w:pPr>
      <w:bookmarkStart w:id="24" w:name="_Hlk103632434"/>
      <w:r>
        <w:rPr>
          <w:rFonts w:hint="eastAsia" w:ascii="仿宋_GB2312" w:eastAsia="仿宋_GB2312"/>
          <w:sz w:val="32"/>
        </w:rPr>
        <w:t>《北京文史》出版经费项目</w:t>
      </w:r>
      <w:bookmarkEnd w:id="24"/>
      <w:r>
        <w:rPr>
          <w:rFonts w:hint="eastAsia" w:ascii="仿宋_GB2312" w:eastAsia="仿宋_GB2312"/>
          <w:sz w:val="32"/>
        </w:rPr>
        <w:t>部门评价综合得分89.33分，其中项目决策7.63分、项目过程18.87分、项目产出40.00分，项目效益22.83分，绩效评定结论为“良”。</w:t>
      </w:r>
    </w:p>
    <w:p>
      <w:pPr>
        <w:keepNext w:val="0"/>
        <w:keepLines w:val="0"/>
        <w:pageBreakBefore w:val="0"/>
        <w:kinsoku/>
        <w:overflowPunct/>
        <w:topLinePunct w:val="0"/>
        <w:autoSpaceDE/>
        <w:autoSpaceDN/>
        <w:bidi w:val="0"/>
        <w:adjustRightInd/>
        <w:snapToGrid/>
        <w:spacing w:line="560" w:lineRule="exact"/>
        <w:jc w:val="center"/>
        <w:rPr>
          <w:b/>
        </w:rPr>
      </w:pPr>
      <w:r>
        <w:rPr>
          <w:rFonts w:hint="eastAsia" w:eastAsia="仿宋_GB2312"/>
          <w:b/>
          <w:sz w:val="32"/>
          <w:szCs w:val="32"/>
        </w:rPr>
        <w:t>项目部门评价结论一览表</w:t>
      </w:r>
    </w:p>
    <w:tbl>
      <w:tblPr>
        <w:tblStyle w:val="16"/>
        <w:tblW w:w="8301" w:type="dxa"/>
        <w:tblInd w:w="0" w:type="dxa"/>
        <w:tblLayout w:type="autofit"/>
        <w:tblCellMar>
          <w:top w:w="0" w:type="dxa"/>
          <w:left w:w="0" w:type="dxa"/>
          <w:bottom w:w="0" w:type="dxa"/>
          <w:right w:w="0" w:type="dxa"/>
        </w:tblCellMar>
      </w:tblPr>
      <w:tblGrid>
        <w:gridCol w:w="3066"/>
        <w:gridCol w:w="2235"/>
        <w:gridCol w:w="3000"/>
      </w:tblGrid>
      <w:tr>
        <w:tblPrEx>
          <w:tblCellMar>
            <w:top w:w="0" w:type="dxa"/>
            <w:left w:w="0" w:type="dxa"/>
            <w:bottom w:w="0" w:type="dxa"/>
            <w:right w:w="0" w:type="dxa"/>
          </w:tblCellMar>
        </w:tblPrEx>
        <w:trPr>
          <w:trHeight w:val="737" w:hRule="atLeast"/>
        </w:trPr>
        <w:tc>
          <w:tcPr>
            <w:tcW w:w="3066" w:type="dxa"/>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评价内容</w:t>
            </w:r>
          </w:p>
        </w:tc>
        <w:tc>
          <w:tcPr>
            <w:tcW w:w="2235" w:type="dxa"/>
            <w:tcBorders>
              <w:top w:val="single" w:color="000000" w:sz="8" w:space="0"/>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分值</w:t>
            </w:r>
          </w:p>
        </w:tc>
        <w:tc>
          <w:tcPr>
            <w:tcW w:w="3000" w:type="dxa"/>
            <w:tcBorders>
              <w:top w:val="single" w:color="000000" w:sz="8" w:space="0"/>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评价得分</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项目决策</w:t>
            </w:r>
          </w:p>
        </w:tc>
        <w:tc>
          <w:tcPr>
            <w:tcW w:w="2235"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10</w:t>
            </w:r>
          </w:p>
        </w:tc>
        <w:tc>
          <w:tcPr>
            <w:tcW w:w="3000"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 xml:space="preserve">7.63 </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项目过程</w:t>
            </w:r>
          </w:p>
        </w:tc>
        <w:tc>
          <w:tcPr>
            <w:tcW w:w="2235"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20</w:t>
            </w:r>
          </w:p>
        </w:tc>
        <w:tc>
          <w:tcPr>
            <w:tcW w:w="3000"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 xml:space="preserve">18.87 </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项目产出</w:t>
            </w:r>
          </w:p>
        </w:tc>
        <w:tc>
          <w:tcPr>
            <w:tcW w:w="2235"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40</w:t>
            </w:r>
          </w:p>
        </w:tc>
        <w:tc>
          <w:tcPr>
            <w:tcW w:w="3000"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 xml:space="preserve">40.00 </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项目效益</w:t>
            </w:r>
          </w:p>
        </w:tc>
        <w:tc>
          <w:tcPr>
            <w:tcW w:w="2235"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30</w:t>
            </w:r>
          </w:p>
        </w:tc>
        <w:tc>
          <w:tcPr>
            <w:tcW w:w="3000"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 xml:space="preserve">22.83 </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综合得分</w:t>
            </w:r>
          </w:p>
        </w:tc>
        <w:tc>
          <w:tcPr>
            <w:tcW w:w="2235"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100</w:t>
            </w:r>
          </w:p>
        </w:tc>
        <w:tc>
          <w:tcPr>
            <w:tcW w:w="3000" w:type="dxa"/>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suppressLineNumbers w:val="0"/>
              <w:kinsoku/>
              <w:overflowPunct/>
              <w:topLinePunct w:val="0"/>
              <w:autoSpaceDE/>
              <w:autoSpaceDN/>
              <w:bidi w:val="0"/>
              <w:adjustRightInd/>
              <w:snapToGrid/>
              <w:spacing w:line="560" w:lineRule="exact"/>
              <w:jc w:val="center"/>
              <w:textAlignment w:val="center"/>
              <w:rPr>
                <w:rFonts w:hint="eastAsia" w:ascii="仿宋_GB2312" w:hAnsi="仿宋_GB2312" w:eastAsia="仿宋_GB2312" w:cs="仿宋_GB2312"/>
                <w:sz w:val="28"/>
                <w:szCs w:val="28"/>
              </w:rPr>
            </w:pPr>
            <w:r>
              <w:rPr>
                <w:rFonts w:hint="eastAsia" w:ascii="仿宋_GB2312" w:hAnsi="仿宋_GB2312" w:eastAsia="仿宋_GB2312" w:cs="仿宋_GB2312"/>
                <w:i w:val="0"/>
                <w:iCs w:val="0"/>
                <w:color w:val="000000"/>
                <w:kern w:val="0"/>
                <w:sz w:val="28"/>
                <w:szCs w:val="28"/>
                <w:u w:val="none"/>
                <w:lang w:val="en-US" w:eastAsia="zh-CN" w:bidi="ar"/>
              </w:rPr>
              <w:t xml:space="preserve">89.33 </w:t>
            </w:r>
          </w:p>
        </w:tc>
      </w:tr>
      <w:tr>
        <w:tblPrEx>
          <w:tblCellMar>
            <w:top w:w="0" w:type="dxa"/>
            <w:left w:w="0" w:type="dxa"/>
            <w:bottom w:w="0" w:type="dxa"/>
            <w:right w:w="0" w:type="dxa"/>
          </w:tblCellMar>
        </w:tblPrEx>
        <w:trPr>
          <w:trHeight w:val="737" w:hRule="atLeast"/>
        </w:trPr>
        <w:tc>
          <w:tcPr>
            <w:tcW w:w="3066" w:type="dxa"/>
            <w:tcBorders>
              <w:top w:val="nil"/>
              <w:left w:val="single" w:color="000000" w:sz="8" w:space="0"/>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绩效评定级别</w:t>
            </w:r>
          </w:p>
        </w:tc>
        <w:tc>
          <w:tcPr>
            <w:tcW w:w="5235" w:type="dxa"/>
            <w:gridSpan w:val="2"/>
            <w:tcBorders>
              <w:top w:val="nil"/>
              <w:left w:val="nil"/>
              <w:bottom w:val="single" w:color="000000" w:sz="8" w:space="0"/>
              <w:right w:val="single" w:color="000000" w:sz="8" w:space="0"/>
            </w:tcBorders>
            <w:tcMar>
              <w:top w:w="15" w:type="dxa"/>
              <w:left w:w="15" w:type="dxa"/>
              <w:right w:w="15" w:type="dxa"/>
            </w:tcMar>
            <w:vAlign w:val="center"/>
          </w:tcPr>
          <w:p>
            <w:pPr>
              <w:keepNext w:val="0"/>
              <w:keepLines w:val="0"/>
              <w:pageBreakBefore w:val="0"/>
              <w:widowControl/>
              <w:kinsoku/>
              <w:overflowPunct/>
              <w:topLinePunct w:val="0"/>
              <w:autoSpaceDE/>
              <w:autoSpaceDN/>
              <w:bidi w:val="0"/>
              <w:adjustRightInd/>
              <w:snapToGrid/>
              <w:spacing w:line="560" w:lineRule="exact"/>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良</w:t>
            </w:r>
          </w:p>
        </w:tc>
      </w:tr>
    </w:tbl>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25" w:name="_Toc3640"/>
      <w:r>
        <w:rPr>
          <w:rFonts w:hint="eastAsia" w:ascii="黑体" w:hAnsi="黑体" w:eastAsia="黑体" w:cs="黑体"/>
          <w:sz w:val="32"/>
          <w:szCs w:val="32"/>
        </w:rPr>
        <w:t>四、绩效评价指标分析</w:t>
      </w:r>
      <w:bookmarkEnd w:id="25"/>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26" w:name="_Toc31453"/>
      <w:r>
        <w:rPr>
          <w:rFonts w:hint="eastAsia" w:ascii="楷体" w:hAnsi="楷体" w:eastAsia="楷体" w:cs="楷体"/>
          <w:b/>
          <w:bCs/>
          <w:sz w:val="32"/>
          <w:szCs w:val="32"/>
        </w:rPr>
        <w:t>（一）项目决策情况</w:t>
      </w:r>
      <w:bookmarkEnd w:id="26"/>
    </w:p>
    <w:p>
      <w:pPr>
        <w:keepNext w:val="0"/>
        <w:keepLines w:val="0"/>
        <w:pageBreakBefore w:val="0"/>
        <w:kinsoku/>
        <w:overflowPunct/>
        <w:topLinePunct w:val="0"/>
        <w:autoSpaceDE/>
        <w:autoSpaceDN/>
        <w:bidi w:val="0"/>
        <w:adjustRightInd/>
        <w:snapToGrid/>
        <w:spacing w:line="560" w:lineRule="exact"/>
        <w:ind w:firstLine="640"/>
        <w:rPr>
          <w:rFonts w:ascii="仿宋_GB2312"/>
          <w:sz w:val="32"/>
          <w:szCs w:val="32"/>
        </w:rPr>
      </w:pPr>
      <w:r>
        <w:rPr>
          <w:rFonts w:hint="eastAsia" w:ascii="仿宋_GB2312" w:hAnsi="仿宋" w:eastAsia="仿宋_GB2312" w:cs="DejaVu Sans"/>
          <w:sz w:val="32"/>
        </w:rPr>
        <w:t>近年来，以习近平新时代中国特色社会主义思想为指导，以传播北京历史文化知识，反映北京重要文化信息，建设人文北京，弘扬中华民族优秀文化为目的，落实北京市文史研究中心工作职责，编辑出版《北京文史》刊物，努力做好文史资料收集、整理、编辑工作。坚持继承与发展并重，挖掘北京丰富的文史资源，扩大文化传播交流范围，力争为打造高品位的优秀刊物及文化贡献力量。</w:t>
      </w:r>
      <w:r>
        <w:rPr>
          <w:rFonts w:hint="eastAsia" w:ascii="仿宋_GB2312" w:hAnsi="仿宋_GB2312" w:eastAsia="仿宋_GB2312" w:cs="仿宋_GB2312"/>
          <w:sz w:val="32"/>
          <w:szCs w:val="32"/>
        </w:rPr>
        <w:t>《北京文史》自1992年创刊已良好运行近三十年，依托首都人才荟萃、历史文化积淀深厚的独特优势不断发展。2021年度在往年工作经验的基础上，依据《2021—2025年〈北京文史〉选题设想》《2021年文史研究中心工作计划》等文件，《2021年〈北京文史〉组稿计划》经党组会、主任办公会审议通过，继续开展《北京文史》出版工作，制定了全年总体目标，出版进度、质量达到既定标准。</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 w:eastAsia="仿宋_GB2312" w:cs="DejaVu Sans"/>
          <w:sz w:val="32"/>
        </w:rPr>
      </w:pPr>
      <w:r>
        <w:rPr>
          <w:rFonts w:hint="eastAsia" w:ascii="仿宋_GB2312" w:hAnsi="仿宋_GB2312" w:eastAsia="仿宋_GB2312" w:cs="仿宋_GB2312"/>
          <w:sz w:val="32"/>
          <w:szCs w:val="32"/>
        </w:rPr>
        <w:t>2021年该项目作为延续性项目按照预算编报要求组织预算申报，</w:t>
      </w:r>
      <w:r>
        <w:rPr>
          <w:rFonts w:hint="eastAsia" w:ascii="仿宋_GB2312" w:hAnsi="仿宋" w:eastAsia="仿宋_GB2312" w:cs="DejaVu Sans"/>
          <w:sz w:val="32"/>
        </w:rPr>
        <w:t>设定了总体目标及阶段性指标，但部分绩效指标设置不够明确，细化量化程度不够。</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27" w:name="_Toc21886"/>
      <w:r>
        <w:rPr>
          <w:rFonts w:hint="eastAsia" w:ascii="楷体" w:hAnsi="楷体" w:eastAsia="楷体" w:cs="楷体"/>
          <w:b/>
          <w:bCs/>
          <w:sz w:val="32"/>
          <w:szCs w:val="32"/>
        </w:rPr>
        <w:t>（二）项目过程情况</w:t>
      </w:r>
      <w:bookmarkEnd w:id="27"/>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1.资金管理</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（1）资金投入</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2021年2月15日，根据《北京市财政局关于批复北京市人民政府参事室2021年预算的函》（京财科文指〔2021〕88号），批复该项目支出预算共计98.114万元，全部为财政资金，分别为劳务费47.00万元、其他商品和服务支出0.80万元、办公费0.80万元和印刷费49.514万元。项目资金实际到账98.114万元。</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（2）资金使用情况</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color w:val="FF0000"/>
          <w:sz w:val="32"/>
          <w:szCs w:val="32"/>
        </w:rPr>
      </w:pPr>
      <w:r>
        <w:rPr>
          <w:rFonts w:hint="eastAsia" w:ascii="仿宋_GB2312" w:hAnsi="仿宋_GB2312" w:eastAsia="仿宋_GB2312" w:cs="仿宋_GB2312"/>
          <w:sz w:val="32"/>
          <w:szCs w:val="32"/>
        </w:rPr>
        <w:t>截至2021年12月31日，该项目实际支出91.647749万元，预算执行率为93.41%，第一、二季度支出32.407572万元；第三季度支出22.355933万元；第四季度支出36.884244万元，资金结余6.466251万元。按照经济科目划分，劳务费41.212445万元，印刷费49.514万元，办公费0.788704万元，其他商品和服务支出0.1326万元。预算执行与项目实施匹配度较好，各项经费使用均控制在预算范围内。</w:t>
      </w:r>
    </w:p>
    <w:p>
      <w:pPr>
        <w:keepNext w:val="0"/>
        <w:keepLines w:val="0"/>
        <w:pageBreakBefore w:val="0"/>
        <w:kinsoku/>
        <w:wordWrap w:val="0"/>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20"/>
        </w:rPr>
      </w:pPr>
      <w:r>
        <w:rPr>
          <w:rFonts w:hint="eastAsia" w:ascii="仿宋_GB2312" w:hAnsi="仿宋_GB2312" w:eastAsia="仿宋_GB2312" w:cs="仿宋_GB2312"/>
          <w:sz w:val="32"/>
          <w:szCs w:val="20"/>
        </w:rPr>
        <w:t>项目开展按照《市政府参事室（市文史馆）关于加强风险防控完善领导班子“三重一大”决策的制度（试行）》《市政府参事室（市文史馆）财务管理制度》《市政府参事室（市文史馆）票据管理办法》《市政府参事室（市文史馆）资金支出管理办法》《市政府参事室（市文史馆）采购工作管理办法》《市政府参事室（市文史馆）货币资金管理办法》《市政府参事室（市文史馆）合同管理办法》《文史研究中心廉政风险防控管理工作实施细则》《〈北京文史〉稿费、图片费发放标准》《〈北京文史〉期刊、专辑出入库管理制度》《〈北京文史〉期刊、专辑赠阅（发行）制度》《文史研究中心编辑工作管理制度》《工作人员职业道德准则》《工作人员日常行为规范》等制度执行，合理安排项目采购、合同签订、资金支付、稿费图片费、赠阅发行等相关事宜。</w:t>
      </w:r>
    </w:p>
    <w:p>
      <w:pPr>
        <w:keepNext w:val="0"/>
        <w:keepLines w:val="0"/>
        <w:pageBreakBefore w:val="0"/>
        <w:kinsoku/>
        <w:wordWrap w:val="0"/>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20"/>
        </w:rPr>
      </w:pPr>
      <w:r>
        <w:rPr>
          <w:rFonts w:hint="eastAsia" w:ascii="仿宋_GB2312" w:hAnsi="仿宋_GB2312" w:eastAsia="仿宋_GB2312" w:cs="仿宋_GB2312"/>
          <w:sz w:val="32"/>
          <w:szCs w:val="20"/>
        </w:rPr>
        <w:t>在项目经费支出过程中，按照《市政府参事室（市文史馆）资金支出管理办法》规定执行。该项目资金支付手续齐全，会计信息真实，项目执行较为规范。</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2.项目管理</w:t>
      </w:r>
    </w:p>
    <w:p>
      <w:pPr>
        <w:keepNext w:val="0"/>
        <w:keepLines w:val="0"/>
        <w:pageBreakBefore w:val="0"/>
        <w:kinsoku/>
        <w:wordWrap w:val="0"/>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（1）项目人员组织</w:t>
      </w:r>
    </w:p>
    <w:p>
      <w:pPr>
        <w:keepNext w:val="0"/>
        <w:keepLines w:val="0"/>
        <w:pageBreakBefore w:val="0"/>
        <w:kinsoku/>
        <w:wordWrap w:val="0"/>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该项目编制了《2021年〈北京文史〉刊物编辑出版实施方案》，规定了各岗位人员职责和岗位工作内容。包括①执行主编：分管文史中心工作的业务副主任为《北京文史》刊物执行主编及各类专辑编委，负责整个刊物编辑出版全过程的组织领导、监督、检查；</w:t>
      </w:r>
      <w:r>
        <w:rPr>
          <w:rFonts w:ascii="仿宋_GB2312" w:hAnsi="仿宋_GB2312" w:eastAsia="仿宋_GB2312" w:cs="仿宋_GB2312"/>
          <w:sz w:val="32"/>
          <w:szCs w:val="32"/>
        </w:rPr>
        <w:t>②</w:t>
      </w:r>
      <w:r>
        <w:rPr>
          <w:rFonts w:hint="eastAsia" w:ascii="仿宋_GB2312" w:hAnsi="仿宋_GB2312" w:eastAsia="仿宋_GB2312" w:cs="仿宋_GB2312"/>
          <w:sz w:val="32"/>
          <w:szCs w:val="32"/>
        </w:rPr>
        <w:t>编审：协助执行主编、副主编为刊物、专辑内容、文字和图片把关；</w:t>
      </w:r>
      <w:r>
        <w:rPr>
          <w:rFonts w:ascii="仿宋_GB2312" w:hAnsi="仿宋_GB2312" w:eastAsia="仿宋_GB2312" w:cs="仿宋_GB2312"/>
          <w:sz w:val="32"/>
          <w:szCs w:val="32"/>
        </w:rPr>
        <w:t>③</w:t>
      </w:r>
      <w:r>
        <w:rPr>
          <w:rFonts w:hint="eastAsia" w:ascii="仿宋_GB2312" w:hAnsi="仿宋_GB2312" w:eastAsia="仿宋_GB2312" w:cs="仿宋_GB2312"/>
          <w:sz w:val="32"/>
          <w:szCs w:val="32"/>
        </w:rPr>
        <w:t>编委：协助执行主编、副主编、编审制定组稿计划和约稿工作，特别是要做好重点稿件约稿的联系、沟通工作以保证质量，并在组约稿件过程中，凭借自身广泛的社会关系，为编辑部组稿人员提供更多组约稿件的信息和线索；④文史中心主任：负责文史研究中心全面工作，《北京文史》副主编，负责各类专辑统筹工作，协助《北京文史》执行主编及各专辑主编做好编审工作；经常与顾问、编委保持联系；⑤文史中心副主任：协助中心主任完成《北京文史》及专辑组稿计划落实、修改和稿件遴选工作，负责经费及稿费制作、发放、刊物赠阅、通联工作，对文史中心工作进行协调；负责督促编辑部工作人员认真完成刊物的编辑、出版工作；⑥文史中心工作人员（编辑）：参与策划每期刊物所分管版块选题的制定、组稿及文章编辑、校对与图片收集整理工作；负责所分管的各专辑选题的制定、组稿工作，组织安排相关工作会议，做好记录、纪要、总结等文字材料。</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（2）采购和合同方面</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北京市文史研究中心按照《中华人民共和国采购法》及北京市财政局有关政府采购的相关规定，2021年《北京文史》期刊制作印刷项目经北京广缘文化艺术有限公司、北京新视觉印刷有限公司和北京旺盛世纪彩色印刷有限公司三方比价，确定由北京旺盛世纪彩色印刷有限公司承接2021年《北京文史》制作印刷项目，项目金额49.514万元。该印刷公司为北京市定点印刷企业。于2021年3月25日与该公司签订《北京文史》期刊制作印刷合同书。合同签订后资金按照合同约定于每期刊物印刷制作完成5日后将每期制作印刷费12.3785万元（含税）通过汇款方式支付给乙方，共计四期。上述合同均经过相应审批。</w:t>
      </w:r>
    </w:p>
    <w:p>
      <w:pPr>
        <w:keepNext w:val="0"/>
        <w:keepLines w:val="0"/>
        <w:pageBreakBefore w:val="0"/>
        <w:kinsoku/>
        <w:overflowPunct/>
        <w:topLinePunct w:val="0"/>
        <w:autoSpaceDE/>
        <w:autoSpaceDN/>
        <w:bidi w:val="0"/>
        <w:adjustRightInd/>
        <w:snapToGrid/>
        <w:spacing w:line="560" w:lineRule="exact"/>
        <w:ind w:firstLine="630"/>
        <w:rPr>
          <w:rFonts w:ascii="仿宋_GB2312" w:hAnsi="仿宋_GB2312" w:eastAsia="仿宋_GB2312" w:cs="仿宋_GB2312"/>
          <w:sz w:val="32"/>
          <w:szCs w:val="32"/>
        </w:rPr>
      </w:pPr>
      <w:r>
        <w:rPr>
          <w:rFonts w:hint="eastAsia" w:ascii="仿宋_GB2312" w:hAnsi="仿宋_GB2312" w:eastAsia="仿宋_GB2312" w:cs="仿宋_GB2312"/>
          <w:sz w:val="32"/>
          <w:szCs w:val="32"/>
        </w:rPr>
        <w:t>（3）项目验收</w:t>
      </w:r>
    </w:p>
    <w:p>
      <w:pPr>
        <w:keepNext w:val="0"/>
        <w:keepLines w:val="0"/>
        <w:pageBreakBefore w:val="0"/>
        <w:kinsoku/>
        <w:overflowPunct/>
        <w:topLinePunct w:val="0"/>
        <w:autoSpaceDE/>
        <w:autoSpaceDN/>
        <w:bidi w:val="0"/>
        <w:adjustRightInd/>
        <w:snapToGrid/>
        <w:spacing w:line="560" w:lineRule="exact"/>
        <w:ind w:firstLine="630"/>
        <w:rPr>
          <w:rFonts w:ascii="仿宋_GB2312" w:hAnsi="仿宋_GB2312" w:eastAsia="仿宋_GB2312" w:cs="仿宋_GB2312"/>
          <w:sz w:val="32"/>
          <w:szCs w:val="32"/>
        </w:rPr>
      </w:pPr>
      <w:r>
        <w:rPr>
          <w:rFonts w:hint="eastAsia" w:ascii="仿宋_GB2312" w:hAnsi="仿宋_GB2312" w:eastAsia="仿宋_GB2312" w:cs="仿宋_GB2312"/>
          <w:sz w:val="32"/>
          <w:szCs w:val="32"/>
        </w:rPr>
        <w:t>印刷出版从每季度第三个月20日左右开始至第三个月底结束。刊物打样稿经文史中心负责人签字确认后，进行印刷；印刷厂在文史中心签字确认后10个工作日内将全部成品，包括期刊、底子存档（电子分色后的图片及版式等）送交编辑部；印刷厂负责按编辑部要求督印，包括制版、印刷、装订全过程，确保质量达标。成品数量、质量经文史中心验收无误后出具验收单。项目分别于2021年4月、7月、9月和12月进行验收，形成验收单，并形成《2021年度〈北京文史〉期刊验收报告》。</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28" w:name="_Toc28573"/>
      <w:bookmarkStart w:id="29" w:name="_Toc21790"/>
      <w:bookmarkStart w:id="30" w:name="_Toc12417"/>
      <w:bookmarkStart w:id="31" w:name="_Toc8133"/>
      <w:r>
        <w:rPr>
          <w:rFonts w:hint="eastAsia" w:ascii="楷体" w:hAnsi="楷体" w:eastAsia="楷体" w:cs="楷体"/>
          <w:b/>
          <w:bCs/>
          <w:sz w:val="32"/>
          <w:szCs w:val="32"/>
        </w:rPr>
        <w:t>（三）项目产出情况</w:t>
      </w:r>
      <w:bookmarkEnd w:id="28"/>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1.项目产出数量</w:t>
      </w:r>
      <w:bookmarkEnd w:id="29"/>
      <w:bookmarkEnd w:id="30"/>
      <w:bookmarkEnd w:id="31"/>
      <w:bookmarkStart w:id="32" w:name="_Toc31436"/>
      <w:bookmarkStart w:id="33" w:name="_Toc15560"/>
      <w:bookmarkStart w:id="34" w:name="_Toc16184"/>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该项目</w:t>
      </w:r>
      <w:r>
        <w:rPr>
          <w:rFonts w:hint="eastAsia" w:ascii="仿宋_GB2312" w:hAnsi="仿宋" w:eastAsia="仿宋_GB2312" w:cs="DejaVu Sans"/>
          <w:sz w:val="32"/>
        </w:rPr>
        <w:t>每期发稿32篇；刊物每期印数7000册，赠阅数量6000余册。送阅范围包括市委、市政府领导，94家中央国家机关，128家市直机关及国家与市、各区县图书馆、档案馆，在京114所院校，民主党派及统战口内单位，市政府参事、市文史馆馆员、各地文史馆、全市十六区与亦庄北京经济技术开发区主要街道办事处和部分所属社区以及刊物作者、组稿单位和部分文史爱好者。</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2.项目产出质量</w:t>
      </w:r>
      <w:bookmarkEnd w:id="32"/>
      <w:bookmarkEnd w:id="33"/>
      <w:bookmarkEnd w:id="34"/>
      <w:bookmarkStart w:id="35" w:name="_Toc2190"/>
      <w:bookmarkStart w:id="36" w:name="_Toc6753"/>
      <w:bookmarkStart w:id="37" w:name="_Toc7305"/>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 w:eastAsia="仿宋_GB2312" w:cs="DejaVu Sans"/>
          <w:sz w:val="32"/>
        </w:rPr>
      </w:pPr>
      <w:r>
        <w:rPr>
          <w:rFonts w:hint="eastAsia" w:ascii="仿宋_GB2312" w:hAnsi="仿宋_GB2312" w:eastAsia="仿宋_GB2312" w:cs="仿宋_GB2312"/>
          <w:sz w:val="32"/>
          <w:szCs w:val="32"/>
        </w:rPr>
        <w:t>该项目</w:t>
      </w:r>
      <w:r>
        <w:rPr>
          <w:rFonts w:hint="eastAsia" w:ascii="仿宋_GB2312" w:hAnsi="仿宋" w:eastAsia="仿宋_GB2312" w:cs="DejaVu Sans"/>
          <w:sz w:val="32"/>
        </w:rPr>
        <w:t>刊物自采自编率100%；首发率86%；每期字数20万字；发表图片300幅。刊物出版质量符合国家新闻出版广电总局发布的《图书质量管理规定》要求，差错率不超过1/10000，刊物的整体设计和封面（包括封二、封三、封底、勒口、书脊）、扉页、插图等设计均符合国家有关技术标准和规定，设计印刷质量合格。</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3.项目产出进度</w:t>
      </w:r>
      <w:bookmarkEnd w:id="35"/>
      <w:bookmarkEnd w:id="36"/>
      <w:bookmarkEnd w:id="37"/>
      <w:bookmarkStart w:id="38" w:name="_Toc20687"/>
      <w:bookmarkStart w:id="39" w:name="_Toc566"/>
      <w:bookmarkStart w:id="40" w:name="_Toc27546"/>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 w:eastAsia="仿宋_GB2312" w:cs="DejaVu Sans"/>
          <w:sz w:val="32"/>
        </w:rPr>
      </w:pPr>
      <w:r>
        <w:rPr>
          <w:rFonts w:hint="eastAsia" w:ascii="仿宋_GB2312" w:hAnsi="仿宋_GB2312" w:eastAsia="仿宋_GB2312" w:cs="仿宋_GB2312"/>
          <w:sz w:val="32"/>
          <w:szCs w:val="32"/>
        </w:rPr>
        <w:t>该项目</w:t>
      </w:r>
      <w:r>
        <w:rPr>
          <w:rFonts w:hint="eastAsia" w:ascii="仿宋_GB2312" w:hAnsi="仿宋" w:eastAsia="仿宋_GB2312" w:cs="DejaVu Sans"/>
          <w:sz w:val="32"/>
        </w:rPr>
        <w:t>每季度出版一期，刊物每季度按时出版。</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4.项目产出成本</w:t>
      </w:r>
      <w:bookmarkEnd w:id="38"/>
      <w:bookmarkEnd w:id="39"/>
      <w:bookmarkEnd w:id="40"/>
    </w:p>
    <w:p>
      <w:pPr>
        <w:keepNext w:val="0"/>
        <w:keepLines w:val="0"/>
        <w:pageBreakBefore w:val="0"/>
        <w:kinsoku/>
        <w:overflowPunct/>
        <w:topLinePunct w:val="0"/>
        <w:autoSpaceDE/>
        <w:autoSpaceDN/>
        <w:bidi w:val="0"/>
        <w:adjustRightInd/>
        <w:snapToGrid/>
        <w:spacing w:line="560" w:lineRule="exact"/>
        <w:ind w:firstLine="640" w:firstLineChars="200"/>
        <w:rPr>
          <w:rFonts w:eastAsia="仿宋_GB2312"/>
          <w:sz w:val="32"/>
          <w:szCs w:val="32"/>
        </w:rPr>
      </w:pPr>
      <w:r>
        <w:rPr>
          <w:rFonts w:hint="eastAsia" w:ascii="仿宋_GB2312" w:hAnsi="仿宋_GB2312" w:eastAsia="仿宋_GB2312" w:cs="仿宋_GB2312"/>
          <w:sz w:val="32"/>
          <w:szCs w:val="32"/>
        </w:rPr>
        <w:t>该项目</w:t>
      </w:r>
      <w:r>
        <w:rPr>
          <w:rFonts w:hint="eastAsia" w:ascii="仿宋_GB2312" w:hAnsi="仿宋" w:eastAsia="仿宋_GB2312" w:cs="DejaVu Sans"/>
          <w:sz w:val="32"/>
        </w:rPr>
        <w:t>每期制作、印刷费12.3785万元；每期劳稿费、图片费、劳务费10.30311125万元；资料费、参观观摩0.230326万元。</w:t>
      </w:r>
    </w:p>
    <w:p>
      <w:pPr>
        <w:keepNext w:val="0"/>
        <w:keepLines w:val="0"/>
        <w:pageBreakBefore w:val="0"/>
        <w:kinsoku/>
        <w:overflowPunct/>
        <w:topLinePunct w:val="0"/>
        <w:autoSpaceDE/>
        <w:autoSpaceDN/>
        <w:bidi w:val="0"/>
        <w:adjustRightInd/>
        <w:snapToGrid/>
        <w:spacing w:line="560" w:lineRule="exact"/>
        <w:ind w:firstLine="643" w:firstLineChars="200"/>
        <w:outlineLvl w:val="1"/>
        <w:rPr>
          <w:rFonts w:ascii="楷体" w:hAnsi="楷体" w:eastAsia="楷体" w:cs="楷体"/>
          <w:b/>
          <w:bCs/>
          <w:sz w:val="32"/>
          <w:szCs w:val="32"/>
        </w:rPr>
      </w:pPr>
      <w:bookmarkStart w:id="41" w:name="_Toc16425"/>
      <w:r>
        <w:rPr>
          <w:rFonts w:hint="eastAsia" w:ascii="楷体" w:hAnsi="楷体" w:eastAsia="楷体" w:cs="楷体"/>
          <w:b/>
          <w:bCs/>
          <w:sz w:val="32"/>
          <w:szCs w:val="32"/>
        </w:rPr>
        <w:t>（四）项目效益情况</w:t>
      </w:r>
      <w:bookmarkEnd w:id="41"/>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1.效益指标</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北京文史》围绕中心工作，深入开展习近平新时代中国特色社会主义思想学习教育，围绕“一核一城三带两区”总体框架，立足于大文史的角度弘扬正能量，突出权威性、学术性、艺术性、可读性和史料性，在强化首都风范、古都风韵、时代风貌等城市特色的基础上，持续做好首都文化这篇大文章。为扎实推进全国文化中心建设，建设人文北京，弘扬中华民族优秀传统文化做出贡献。《北京文史》</w:t>
      </w:r>
      <w:r>
        <w:rPr>
          <w:rFonts w:hint="eastAsia" w:ascii="仿宋_GB2312" w:hAnsi="仿宋" w:eastAsia="仿宋_GB2312" w:cs="DejaVu Sans"/>
          <w:sz w:val="32"/>
        </w:rPr>
        <w:t>介绍和分析了北京的历史文化，树立了首都“大文化”发展理念，坚持继承与发展并重；反映了北京历史文化重要信息，挖掘北京丰富的文史资源，扩大了文化传播交流范围；深度挖掘人文北京的历史文化内涵，力争打造高品位的优秀刊物及文化读本。</w:t>
      </w:r>
    </w:p>
    <w:p>
      <w:pPr>
        <w:keepNext w:val="0"/>
        <w:keepLines w:val="0"/>
        <w:pageBreakBefore w:val="0"/>
        <w:kinsoku/>
        <w:overflowPunct/>
        <w:topLinePunct w:val="0"/>
        <w:autoSpaceDE/>
        <w:autoSpaceDN/>
        <w:bidi w:val="0"/>
        <w:adjustRightInd/>
        <w:snapToGrid/>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2.满意度指标</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 w:eastAsia="仿宋_GB2312" w:cs="DejaVu Sans"/>
          <w:sz w:val="32"/>
        </w:rPr>
        <w:t>满意度调查方式是以随刊向读者发放纸质问卷200</w:t>
      </w:r>
      <w:r>
        <w:rPr>
          <w:rFonts w:hint="eastAsia" w:ascii="仿宋_GB2312" w:hAnsi="仿宋_GB2312" w:eastAsia="仿宋_GB2312" w:cs="仿宋_GB2312"/>
          <w:sz w:val="32"/>
          <w:szCs w:val="32"/>
        </w:rPr>
        <w:t>0份，同时在刊物封底刊登电子问卷二维码鼓励读者参与读者调查相结合的形式进行，并通过不同渠道，包括电子问卷、信函回寄、亲自送交等方式，收到百余份问卷。调查结果为馆员</w:t>
      </w:r>
      <w:r>
        <w:rPr>
          <w:rFonts w:hint="eastAsia" w:ascii="仿宋_GB2312" w:hAnsi="仿宋" w:eastAsia="仿宋_GB2312" w:cs="DejaVu Sans"/>
          <w:sz w:val="32"/>
        </w:rPr>
        <w:t>、参事、专家、学者和各界读者满意率达到了95%。</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42" w:name="_Toc23290"/>
      <w:r>
        <w:rPr>
          <w:rFonts w:hint="eastAsia" w:ascii="黑体" w:hAnsi="黑体" w:eastAsia="黑体" w:cs="黑体"/>
          <w:sz w:val="32"/>
          <w:szCs w:val="32"/>
        </w:rPr>
        <w:t>五、项目中存在的问题</w:t>
      </w:r>
      <w:bookmarkEnd w:id="42"/>
    </w:p>
    <w:p>
      <w:pPr>
        <w:keepNext w:val="0"/>
        <w:keepLines w:val="0"/>
        <w:pageBreakBefore w:val="0"/>
        <w:kinsoku/>
        <w:overflowPunct/>
        <w:topLinePunct w:val="0"/>
        <w:autoSpaceDE/>
        <w:autoSpaceDN/>
        <w:bidi w:val="0"/>
        <w:adjustRightInd/>
        <w:snapToGrid/>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（一）该项目事前未进行可行性研究和专家论证、风险评估、绩效评估。</w:t>
      </w:r>
    </w:p>
    <w:p>
      <w:pPr>
        <w:keepNext w:val="0"/>
        <w:keepLines w:val="0"/>
        <w:pageBreakBefore w:val="0"/>
        <w:kinsoku/>
        <w:overflowPunct/>
        <w:topLinePunct w:val="0"/>
        <w:autoSpaceDE/>
        <w:autoSpaceDN/>
        <w:bidi w:val="0"/>
        <w:adjustRightInd/>
        <w:snapToGrid/>
        <w:spacing w:line="560" w:lineRule="exact"/>
        <w:ind w:firstLine="640"/>
        <w:rPr>
          <w:rFonts w:ascii="仿宋_GB2312" w:hAnsi="仿宋_GB2312" w:eastAsia="仿宋_GB2312" w:cs="仿宋_GB2312"/>
          <w:sz w:val="32"/>
          <w:szCs w:val="32"/>
        </w:rPr>
      </w:pPr>
      <w:r>
        <w:rPr>
          <w:rFonts w:hint="eastAsia" w:ascii="仿宋_GB2312" w:hAnsi="仿宋_GB2312" w:eastAsia="仿宋_GB2312" w:cs="仿宋_GB2312"/>
          <w:sz w:val="32"/>
          <w:szCs w:val="32"/>
        </w:rPr>
        <w:t>（二）绩效目标申报表部分指标设置不够明确，与实施内容对应性不足，如未体现每期赠阅数量的用途，缺乏可考核性，有待进一步细化、量化。</w:t>
      </w:r>
    </w:p>
    <w:p>
      <w:pPr>
        <w:keepNext w:val="0"/>
        <w:keepLines w:val="0"/>
        <w:pageBreakBefore w:val="0"/>
        <w:kinsoku/>
        <w:overflowPunct/>
        <w:topLinePunct w:val="0"/>
        <w:autoSpaceDE/>
        <w:autoSpaceDN/>
        <w:bidi w:val="0"/>
        <w:adjustRightInd/>
        <w:snapToGrid/>
        <w:spacing w:line="560" w:lineRule="exact"/>
        <w:ind w:firstLine="640"/>
        <w:rPr>
          <w:rFonts w:eastAsia="仿宋_GB2312"/>
        </w:rPr>
      </w:pPr>
      <w:r>
        <w:rPr>
          <w:rFonts w:hint="eastAsia" w:ascii="仿宋_GB2312" w:hAnsi="仿宋_GB2312" w:eastAsia="仿宋_GB2312" w:cs="仿宋_GB2312"/>
          <w:sz w:val="32"/>
          <w:szCs w:val="32"/>
        </w:rPr>
        <w:t>（三）项目出库管理存在统计表缺少领用人、库管员等信息。</w:t>
      </w:r>
    </w:p>
    <w:p>
      <w:pPr>
        <w:keepNext w:val="0"/>
        <w:keepLines w:val="0"/>
        <w:pageBreakBefore w:val="0"/>
        <w:kinsoku/>
        <w:overflowPunct/>
        <w:topLinePunct w:val="0"/>
        <w:autoSpaceDE/>
        <w:autoSpaceDN/>
        <w:bidi w:val="0"/>
        <w:adjustRightInd/>
        <w:snapToGrid/>
        <w:spacing w:line="560" w:lineRule="exact"/>
        <w:ind w:firstLine="640"/>
      </w:pPr>
      <w:r>
        <w:rPr>
          <w:rFonts w:hint="eastAsia" w:ascii="仿宋_GB2312" w:hAnsi="仿宋_GB2312" w:eastAsia="仿宋_GB2312" w:cs="仿宋_GB2312"/>
          <w:sz w:val="32"/>
          <w:szCs w:val="32"/>
        </w:rPr>
        <w:t>（四）</w:t>
      </w:r>
      <w:r>
        <w:rPr>
          <w:rFonts w:hint="eastAsia" w:ascii="仿宋_GB2312" w:hAnsi="楷体" w:eastAsia="仿宋_GB2312"/>
          <w:bCs/>
          <w:kern w:val="0"/>
          <w:sz w:val="32"/>
          <w:szCs w:val="28"/>
        </w:rPr>
        <w:t>该项目实施体现的效益资料和数据呈现不足，项目实施效果的效益证明力不足，如</w:t>
      </w:r>
      <w:r>
        <w:rPr>
          <w:rFonts w:hint="eastAsia" w:ascii="仿宋_GB2312" w:hAnsi="仿宋_GB2312" w:eastAsia="仿宋_GB2312" w:cs="仿宋_GB2312"/>
          <w:sz w:val="32"/>
          <w:szCs w:val="32"/>
        </w:rPr>
        <w:t>缺乏高品位的优秀刊物及文化读本的可衡量性证明资料；满意度调查问卷收集调查结果分析中未根据绩效目标设定的满意度对象进行区分，各群体满意度调查结果不明确。</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43" w:name="_Toc25525"/>
      <w:bookmarkStart w:id="44" w:name="_Toc29445"/>
      <w:bookmarkStart w:id="45" w:name="_Toc18568"/>
      <w:bookmarkStart w:id="46" w:name="_Toc27029"/>
      <w:bookmarkStart w:id="47" w:name="_Toc641"/>
      <w:r>
        <w:rPr>
          <w:rFonts w:hint="eastAsia" w:ascii="黑体" w:hAnsi="黑体" w:eastAsia="黑体" w:cs="黑体"/>
          <w:sz w:val="32"/>
          <w:szCs w:val="32"/>
        </w:rPr>
        <w:t>六、有关建议</w:t>
      </w:r>
      <w:bookmarkEnd w:id="43"/>
      <w:bookmarkEnd w:id="44"/>
      <w:bookmarkEnd w:id="45"/>
      <w:bookmarkEnd w:id="46"/>
      <w:bookmarkEnd w:id="47"/>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（一）项目作为延续性项目，每年项目立项应结合实施内容和项目要求进行可行性研究，引入专家论证机制，对项目进行实施风险预估和绩效评估，保证立项科学规范。</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（二）提高绩效管理意识，项目绩效目标设定应与实施内容相对应，结合实际产出和利用情况设置指标值，并细化、量化，增强可衡量性，提高项目绩效目标和指标设置的科学性、合理性。</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（三）严格按照出入库管理制度落实，明确出入库管理、登记等责任，对刊物入库进行详细登记，刊物出库需管理员填写刊物出库登记表备查等，完整体现出入库管理责任。</w:t>
      </w:r>
    </w:p>
    <w:p>
      <w:pPr>
        <w:keepNext w:val="0"/>
        <w:keepLines w:val="0"/>
        <w:pageBreakBefore w:val="0"/>
        <w:kinsoku/>
        <w:overflowPunct/>
        <w:topLinePunct w:val="0"/>
        <w:autoSpaceDE/>
        <w:autoSpaceDN/>
        <w:bidi w:val="0"/>
        <w:adjustRightInd/>
        <w:snapToGrid/>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（四）加强项目</w:t>
      </w:r>
      <w:r>
        <w:rPr>
          <w:rFonts w:hint="eastAsia" w:ascii="仿宋_GB2312" w:eastAsia="仿宋_GB2312" w:cs="宋体"/>
          <w:kern w:val="0"/>
          <w:sz w:val="32"/>
          <w:szCs w:val="32"/>
        </w:rPr>
        <w:t>效益、效果资料</w:t>
      </w:r>
      <w:r>
        <w:rPr>
          <w:rFonts w:hint="eastAsia" w:ascii="仿宋_GB2312" w:hAnsi="仿宋_GB2312" w:eastAsia="仿宋_GB2312" w:cs="仿宋_GB2312"/>
          <w:sz w:val="32"/>
          <w:szCs w:val="32"/>
        </w:rPr>
        <w:t>的归集整理，</w:t>
      </w:r>
      <w:r>
        <w:rPr>
          <w:rFonts w:hint="eastAsia" w:ascii="仿宋_GB2312" w:hAnsi="仿宋_GB2312" w:eastAsia="仿宋_GB2312" w:cs="仿宋_GB2312"/>
          <w:kern w:val="0"/>
          <w:sz w:val="32"/>
          <w:szCs w:val="32"/>
        </w:rPr>
        <w:t>注重绩效产出证明材料的充分性和完整性</w:t>
      </w:r>
      <w:r>
        <w:rPr>
          <w:rFonts w:hint="eastAsia" w:ascii="仿宋_GB2312" w:hAnsi="仿宋_GB2312" w:eastAsia="仿宋_GB2312" w:cs="仿宋_GB2312"/>
          <w:sz w:val="32"/>
          <w:szCs w:val="32"/>
        </w:rPr>
        <w:t>，</w:t>
      </w:r>
      <w:r>
        <w:rPr>
          <w:rFonts w:hint="eastAsia" w:ascii="仿宋_GB2312" w:eastAsia="仿宋_GB2312" w:cs="宋体"/>
          <w:kern w:val="0"/>
          <w:sz w:val="32"/>
          <w:szCs w:val="32"/>
        </w:rPr>
        <w:t>对应产出体现相应的效果资料</w:t>
      </w:r>
      <w:r>
        <w:rPr>
          <w:rFonts w:hint="eastAsia" w:ascii="仿宋_GB2312" w:hAnsi="仿宋_GB2312" w:eastAsia="仿宋_GB2312" w:cs="仿宋_GB2312"/>
          <w:kern w:val="0"/>
          <w:sz w:val="32"/>
          <w:szCs w:val="32"/>
        </w:rPr>
        <w:t>。注重服务对象满意度调查前期设计，明确满意度调查对象范围、数量及成果应用受益群体，充分体现服务对象满意程度。</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仿宋_GB2312" w:hAnsi="黑体" w:eastAsia="仿宋_GB2312"/>
          <w:sz w:val="32"/>
          <w:szCs w:val="32"/>
        </w:rPr>
      </w:pPr>
      <w:bookmarkStart w:id="48" w:name="_Toc18225"/>
      <w:bookmarkStart w:id="49" w:name="_Toc2361"/>
      <w:bookmarkStart w:id="50" w:name="_Toc31736"/>
      <w:bookmarkStart w:id="51" w:name="_Toc21325"/>
      <w:bookmarkStart w:id="52" w:name="_Toc14693"/>
      <w:r>
        <w:rPr>
          <w:rFonts w:hint="eastAsia" w:ascii="黑体" w:hAnsi="黑体" w:eastAsia="黑体" w:cs="黑体"/>
          <w:sz w:val="32"/>
          <w:szCs w:val="32"/>
        </w:rPr>
        <w:t>七、其他需要说明的问题</w:t>
      </w:r>
      <w:bookmarkEnd w:id="48"/>
      <w:bookmarkEnd w:id="49"/>
      <w:bookmarkEnd w:id="50"/>
      <w:bookmarkEnd w:id="51"/>
      <w:bookmarkEnd w:id="52"/>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pPr>
      <w:r>
        <w:rPr>
          <w:rFonts w:hint="eastAsia" w:ascii="仿宋_GB2312" w:eastAsia="仿宋_GB2312" w:cs="宋体"/>
          <w:kern w:val="0"/>
          <w:sz w:val="32"/>
          <w:szCs w:val="32"/>
        </w:rPr>
        <w:t>无。</w:t>
      </w:r>
    </w:p>
    <w:p>
      <w:pPr>
        <w:keepNext w:val="0"/>
        <w:keepLines w:val="0"/>
        <w:pageBreakBefore w:val="0"/>
        <w:kinsoku/>
        <w:overflowPunct/>
        <w:topLinePunct w:val="0"/>
        <w:autoSpaceDE/>
        <w:autoSpaceDN/>
        <w:bidi w:val="0"/>
        <w:adjustRightInd/>
        <w:snapToGrid/>
        <w:spacing w:line="560" w:lineRule="exact"/>
        <w:ind w:firstLine="640" w:firstLineChars="200"/>
        <w:outlineLvl w:val="0"/>
        <w:rPr>
          <w:rFonts w:ascii="黑体" w:hAnsi="黑体" w:eastAsia="黑体" w:cs="黑体"/>
          <w:sz w:val="32"/>
          <w:szCs w:val="32"/>
        </w:rPr>
      </w:pPr>
      <w:bookmarkStart w:id="53" w:name="_Toc32121"/>
      <w:bookmarkStart w:id="54" w:name="_Toc16673"/>
      <w:r>
        <w:rPr>
          <w:rFonts w:hint="eastAsia" w:ascii="黑体" w:hAnsi="黑体" w:eastAsia="黑体" w:cs="黑体"/>
          <w:sz w:val="32"/>
          <w:szCs w:val="32"/>
        </w:rPr>
        <w:t>八、附件</w:t>
      </w:r>
      <w:bookmarkEnd w:id="53"/>
      <w:bookmarkEnd w:id="54"/>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pPr>
      <w:r>
        <w:rPr>
          <w:rFonts w:hint="eastAsia" w:ascii="仿宋_GB2312" w:eastAsia="仿宋_GB2312" w:cs="宋体"/>
          <w:kern w:val="0"/>
          <w:sz w:val="32"/>
          <w:szCs w:val="32"/>
        </w:rPr>
        <w:t>1.项目预算执行情况表</w:t>
      </w:r>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pPr>
      <w:r>
        <w:rPr>
          <w:rFonts w:hint="eastAsia" w:ascii="仿宋_GB2312" w:eastAsia="仿宋_GB2312" w:cs="宋体"/>
          <w:kern w:val="0"/>
          <w:sz w:val="32"/>
          <w:szCs w:val="32"/>
        </w:rPr>
        <w:t>2.项目绩效目标完成情况及收支明细表</w:t>
      </w:r>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pPr>
      <w:r>
        <w:rPr>
          <w:rFonts w:hint="eastAsia" w:ascii="仿宋_GB2312" w:eastAsia="仿宋_GB2312" w:cs="宋体"/>
          <w:kern w:val="0"/>
          <w:sz w:val="32"/>
          <w:szCs w:val="32"/>
        </w:rPr>
        <w:t>3.专家意见汇总书</w:t>
      </w:r>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pPr>
      <w:r>
        <w:rPr>
          <w:rFonts w:hint="eastAsia" w:ascii="仿宋_GB2312" w:eastAsia="仿宋_GB2312" w:cs="宋体"/>
          <w:kern w:val="0"/>
          <w:sz w:val="32"/>
          <w:szCs w:val="32"/>
        </w:rPr>
        <w:t>4.指标体系及打分情况表</w:t>
      </w:r>
    </w:p>
    <w:p>
      <w:pPr>
        <w:keepNext w:val="0"/>
        <w:keepLines w:val="0"/>
        <w:pageBreakBefore w:val="0"/>
        <w:widowControl/>
        <w:kinsoku/>
        <w:overflowPunct/>
        <w:topLinePunct w:val="0"/>
        <w:autoSpaceDE/>
        <w:autoSpaceDN/>
        <w:bidi w:val="0"/>
        <w:adjustRightInd/>
        <w:snapToGrid/>
        <w:spacing w:line="560" w:lineRule="exact"/>
        <w:ind w:firstLine="640" w:firstLineChars="200"/>
        <w:rPr>
          <w:rFonts w:ascii="仿宋_GB2312" w:eastAsia="仿宋_GB2312" w:cs="宋体"/>
          <w:kern w:val="0"/>
          <w:sz w:val="32"/>
          <w:szCs w:val="32"/>
        </w:rPr>
        <w:sectPr>
          <w:footerReference r:id="rId4" w:type="default"/>
          <w:pgSz w:w="11906" w:h="16838"/>
          <w:pgMar w:top="1440" w:right="1800" w:bottom="1440" w:left="1800" w:header="851" w:footer="992" w:gutter="0"/>
          <w:pgNumType w:start="1"/>
          <w:cols w:space="720" w:num="1"/>
          <w:docGrid w:type="lines" w:linePitch="312" w:charSpace="0"/>
        </w:sectPr>
      </w:pPr>
      <w:r>
        <w:rPr>
          <w:rFonts w:hint="eastAsia" w:ascii="仿宋_GB2312" w:eastAsia="仿宋_GB2312" w:cs="宋体"/>
          <w:kern w:val="0"/>
          <w:sz w:val="32"/>
          <w:szCs w:val="32"/>
        </w:rPr>
        <w:t>5.反映绩效的相关图片（4幅，扉页位置）</w:t>
      </w:r>
    </w:p>
    <w:p>
      <w:pPr>
        <w:rPr>
          <w:rFonts w:ascii="黑体" w:hAnsi="黑体" w:eastAsia="黑体" w:cs="黑体"/>
          <w:sz w:val="32"/>
          <w:szCs w:val="32"/>
        </w:rPr>
      </w:pPr>
      <w:r>
        <w:rPr>
          <w:rFonts w:hint="eastAsia" w:ascii="黑体" w:hAnsi="黑体" w:eastAsia="黑体" w:cs="黑体"/>
          <w:sz w:val="32"/>
          <w:szCs w:val="32"/>
        </w:rPr>
        <w:t>附件1</w:t>
      </w:r>
    </w:p>
    <w:p>
      <w:pPr>
        <w:pStyle w:val="2"/>
      </w:pPr>
      <w:r>
        <w:drawing>
          <wp:inline distT="0" distB="0" distL="114300" distR="114300">
            <wp:extent cx="8859520" cy="4220210"/>
            <wp:effectExtent l="0" t="0" r="8255" b="889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0"/>
                    <a:stretch>
                      <a:fillRect/>
                    </a:stretch>
                  </pic:blipFill>
                  <pic:spPr>
                    <a:xfrm>
                      <a:off x="0" y="0"/>
                      <a:ext cx="8859520" cy="4220210"/>
                    </a:xfrm>
                    <a:prstGeom prst="rect">
                      <a:avLst/>
                    </a:prstGeom>
                    <a:noFill/>
                    <a:ln>
                      <a:noFill/>
                    </a:ln>
                  </pic:spPr>
                </pic:pic>
              </a:graphicData>
            </a:graphic>
          </wp:inline>
        </w:drawing>
      </w:r>
    </w:p>
    <w:p>
      <w:pPr>
        <w:pStyle w:val="2"/>
        <w:sectPr>
          <w:pgSz w:w="16838" w:h="11906" w:orient="landscape"/>
          <w:pgMar w:top="1803" w:right="1440" w:bottom="1803" w:left="1440" w:header="851" w:footer="992" w:gutter="0"/>
          <w:cols w:space="0" w:num="1"/>
          <w:docGrid w:type="lines" w:linePitch="319" w:charSpace="0"/>
        </w:sectPr>
      </w:pPr>
    </w:p>
    <w:p>
      <w:pPr>
        <w:rPr>
          <w:rFonts w:ascii="黑体" w:hAnsi="黑体" w:eastAsia="黑体" w:cs="黑体"/>
          <w:sz w:val="32"/>
          <w:szCs w:val="32"/>
        </w:rPr>
      </w:pPr>
      <w:r>
        <w:rPr>
          <w:rFonts w:hint="eastAsia" w:ascii="黑体" w:hAnsi="黑体" w:eastAsia="黑体" w:cs="黑体"/>
          <w:sz w:val="32"/>
          <w:szCs w:val="32"/>
        </w:rPr>
        <w:t>附件2</w:t>
      </w:r>
    </w:p>
    <w:p>
      <w:pPr>
        <w:pStyle w:val="2"/>
      </w:pPr>
      <w:r>
        <w:drawing>
          <wp:inline distT="0" distB="0" distL="114300" distR="114300">
            <wp:extent cx="5270500" cy="7411720"/>
            <wp:effectExtent l="0" t="0" r="6350" b="825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tretch>
                      <a:fillRect/>
                    </a:stretch>
                  </pic:blipFill>
                  <pic:spPr>
                    <a:xfrm>
                      <a:off x="0" y="0"/>
                      <a:ext cx="5270500" cy="7411720"/>
                    </a:xfrm>
                    <a:prstGeom prst="rect">
                      <a:avLst/>
                    </a:prstGeom>
                    <a:noFill/>
                    <a:ln>
                      <a:noFill/>
                    </a:ln>
                  </pic:spPr>
                </pic:pic>
              </a:graphicData>
            </a:graphic>
          </wp:inline>
        </w:drawing>
      </w:r>
    </w:p>
    <w:p>
      <w:pPr>
        <w:sectPr>
          <w:pgSz w:w="11906" w:h="16838"/>
          <w:pgMar w:top="1440" w:right="1803" w:bottom="1440" w:left="1803" w:header="851" w:footer="992" w:gutter="0"/>
          <w:cols w:space="0" w:num="1"/>
          <w:docGrid w:type="lines" w:linePitch="319" w:charSpace="0"/>
        </w:sectPr>
      </w:pPr>
    </w:p>
    <w:p>
      <w:pPr>
        <w:rPr>
          <w:rFonts w:ascii="黑体" w:hAnsi="黑体" w:eastAsia="黑体" w:cs="黑体"/>
          <w:sz w:val="32"/>
          <w:szCs w:val="32"/>
        </w:rPr>
      </w:pPr>
      <w:r>
        <w:rPr>
          <w:rFonts w:hint="eastAsia" w:ascii="黑体" w:hAnsi="黑体" w:eastAsia="黑体" w:cs="黑体"/>
          <w:sz w:val="32"/>
          <w:szCs w:val="32"/>
        </w:rPr>
        <w:t>附件3</w:t>
      </w:r>
    </w:p>
    <w:p>
      <w:pPr>
        <w:rPr>
          <w:rFonts w:hint="eastAsia" w:ascii="黑体" w:hAnsi="黑体" w:eastAsia="黑体" w:cs="黑体"/>
          <w:b/>
          <w:sz w:val="32"/>
          <w:lang w:eastAsia="zh-CN"/>
        </w:rPr>
      </w:pPr>
      <w:r>
        <w:rPr>
          <w:rFonts w:hint="eastAsia" w:ascii="黑体" w:hAnsi="黑体" w:eastAsia="黑体" w:cs="黑体"/>
          <w:b/>
          <w:sz w:val="32"/>
          <w:lang w:eastAsia="zh-CN"/>
        </w:rPr>
        <w:drawing>
          <wp:inline distT="0" distB="0" distL="114300" distR="114300">
            <wp:extent cx="5267960" cy="7452360"/>
            <wp:effectExtent l="0" t="0" r="8890" b="5715"/>
            <wp:docPr id="6" name="图片 6" descr="5-财政支出项目绩效评价专家汇总意见书-《北京文史》出版经费项目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财政支出项目绩效评价专家汇总意见书-《北京文史》出版经费项目_01"/>
                    <pic:cNvPicPr>
                      <a:picLocks noChangeAspect="1"/>
                    </pic:cNvPicPr>
                  </pic:nvPicPr>
                  <pic:blipFill>
                    <a:blip r:embed="rId12"/>
                    <a:stretch>
                      <a:fillRect/>
                    </a:stretch>
                  </pic:blipFill>
                  <pic:spPr>
                    <a:xfrm>
                      <a:off x="0" y="0"/>
                      <a:ext cx="5267960" cy="7452360"/>
                    </a:xfrm>
                    <a:prstGeom prst="rect">
                      <a:avLst/>
                    </a:prstGeom>
                  </pic:spPr>
                </pic:pic>
              </a:graphicData>
            </a:graphic>
          </wp:inline>
        </w:drawing>
      </w:r>
      <w:r>
        <w:rPr>
          <w:rFonts w:hint="eastAsia" w:ascii="黑体" w:hAnsi="黑体" w:eastAsia="黑体" w:cs="黑体"/>
          <w:b/>
          <w:sz w:val="32"/>
          <w:lang w:eastAsia="zh-CN"/>
        </w:rPr>
        <w:drawing>
          <wp:inline distT="0" distB="0" distL="114300" distR="114300">
            <wp:extent cx="5267960" cy="7452360"/>
            <wp:effectExtent l="0" t="0" r="8890" b="5715"/>
            <wp:docPr id="10" name="图片 10" descr="《北京文史》出版经费和馆员文库项目财政支出项目绩效评价专家汇总意见书-签字版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北京文史》出版经费和馆员文库项目财政支出项目绩效评价专家汇总意见书-签字版_01"/>
                    <pic:cNvPicPr>
                      <a:picLocks noChangeAspect="1"/>
                    </pic:cNvPicPr>
                  </pic:nvPicPr>
                  <pic:blipFill>
                    <a:blip r:embed="rId13"/>
                    <a:stretch>
                      <a:fillRect/>
                    </a:stretch>
                  </pic:blipFill>
                  <pic:spPr>
                    <a:xfrm>
                      <a:off x="0" y="0"/>
                      <a:ext cx="5267960" cy="7452360"/>
                    </a:xfrm>
                    <a:prstGeom prst="rect">
                      <a:avLst/>
                    </a:prstGeom>
                  </pic:spPr>
                </pic:pic>
              </a:graphicData>
            </a:graphic>
          </wp:inline>
        </w:drawing>
      </w:r>
      <w:r>
        <w:rPr>
          <w:rFonts w:hint="eastAsia" w:ascii="黑体" w:hAnsi="黑体" w:eastAsia="黑体" w:cs="黑体"/>
          <w:b/>
          <w:sz w:val="32"/>
          <w:lang w:eastAsia="zh-CN"/>
        </w:rPr>
        <w:drawing>
          <wp:inline distT="0" distB="0" distL="114300" distR="114300">
            <wp:extent cx="5267960" cy="7452360"/>
            <wp:effectExtent l="0" t="0" r="8890" b="5715"/>
            <wp:docPr id="9" name="图片 9" descr="《北京文史》出版经费和馆员文库项目财政支出项目绩效评价专家汇总意见书-签字版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北京文史》出版经费和馆员文库项目财政支出项目绩效评价专家汇总意见书-签字版_02"/>
                    <pic:cNvPicPr>
                      <a:picLocks noChangeAspect="1"/>
                    </pic:cNvPicPr>
                  </pic:nvPicPr>
                  <pic:blipFill>
                    <a:blip r:embed="rId14"/>
                    <a:stretch>
                      <a:fillRect/>
                    </a:stretch>
                  </pic:blipFill>
                  <pic:spPr>
                    <a:xfrm>
                      <a:off x="0" y="0"/>
                      <a:ext cx="5267960" cy="7452360"/>
                    </a:xfrm>
                    <a:prstGeom prst="rect">
                      <a:avLst/>
                    </a:prstGeom>
                  </pic:spPr>
                </pic:pic>
              </a:graphicData>
            </a:graphic>
          </wp:inline>
        </w:drawing>
      </w:r>
      <w:r>
        <w:rPr>
          <w:rFonts w:hint="eastAsia" w:ascii="黑体" w:hAnsi="黑体" w:eastAsia="黑体" w:cs="黑体"/>
          <w:b/>
          <w:sz w:val="32"/>
          <w:lang w:eastAsia="zh-CN"/>
        </w:rPr>
        <w:drawing>
          <wp:inline distT="0" distB="0" distL="114300" distR="114300">
            <wp:extent cx="5267960" cy="7452360"/>
            <wp:effectExtent l="0" t="0" r="8890" b="5715"/>
            <wp:docPr id="8" name="图片 8" descr="《北京文史》出版经费和馆员文库项目财政支出项目绩效评价专家汇总意见书-签字版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北京文史》出版经费和馆员文库项目财政支出项目绩效评价专家汇总意见书-签字版_03"/>
                    <pic:cNvPicPr>
                      <a:picLocks noChangeAspect="1"/>
                    </pic:cNvPicPr>
                  </pic:nvPicPr>
                  <pic:blipFill>
                    <a:blip r:embed="rId15"/>
                    <a:stretch>
                      <a:fillRect/>
                    </a:stretch>
                  </pic:blipFill>
                  <pic:spPr>
                    <a:xfrm>
                      <a:off x="0" y="0"/>
                      <a:ext cx="5267960" cy="7452360"/>
                    </a:xfrm>
                    <a:prstGeom prst="rect">
                      <a:avLst/>
                    </a:prstGeom>
                  </pic:spPr>
                </pic:pic>
              </a:graphicData>
            </a:graphic>
          </wp:inline>
        </w:drawing>
      </w:r>
    </w:p>
    <w:p>
      <w:pPr>
        <w:sectPr>
          <w:pgSz w:w="11906" w:h="16838"/>
          <w:pgMar w:top="1440" w:right="1803" w:bottom="1440" w:left="1803" w:header="851" w:footer="992" w:gutter="0"/>
          <w:cols w:space="0" w:num="1"/>
          <w:docGrid w:type="lines" w:linePitch="319" w:charSpace="0"/>
        </w:sectPr>
      </w:pPr>
    </w:p>
    <w:p>
      <w:pPr>
        <w:jc w:val="left"/>
        <w:outlineLvl w:val="3"/>
        <w:rPr>
          <w:rFonts w:ascii="黑体" w:hAnsi="黑体" w:eastAsia="黑体" w:cs="黑体"/>
          <w:b w:val="0"/>
          <w:bCs w:val="0"/>
          <w:color w:val="000000"/>
          <w:kern w:val="0"/>
          <w:sz w:val="32"/>
          <w:szCs w:val="32"/>
        </w:rPr>
      </w:pPr>
      <w:r>
        <w:rPr>
          <w:rFonts w:hint="eastAsia" w:ascii="黑体" w:hAnsi="黑体" w:eastAsia="黑体" w:cs="黑体"/>
          <w:b w:val="0"/>
          <w:bCs w:val="0"/>
          <w:sz w:val="32"/>
          <w:szCs w:val="32"/>
        </w:rPr>
        <w:t>附</w:t>
      </w:r>
      <w:bookmarkStart w:id="55" w:name="_GoBack"/>
      <w:bookmarkEnd w:id="55"/>
      <w:r>
        <w:rPr>
          <w:rFonts w:hint="eastAsia" w:ascii="黑体" w:hAnsi="黑体" w:eastAsia="黑体" w:cs="黑体"/>
          <w:b w:val="0"/>
          <w:bCs w:val="0"/>
          <w:sz w:val="32"/>
          <w:szCs w:val="32"/>
        </w:rPr>
        <w:t>件4</w:t>
      </w:r>
    </w:p>
    <w:p>
      <w:pPr>
        <w:jc w:val="center"/>
        <w:outlineLvl w:val="3"/>
        <w:rPr>
          <w:rFonts w:ascii="黑体" w:hAnsi="黑体" w:eastAsia="黑体" w:cs="黑体"/>
          <w:b/>
          <w:bCs/>
          <w:color w:val="000000"/>
          <w:kern w:val="0"/>
          <w:sz w:val="36"/>
          <w:szCs w:val="36"/>
        </w:rPr>
      </w:pPr>
      <w:r>
        <w:rPr>
          <w:rFonts w:hint="eastAsia" w:ascii="黑体" w:hAnsi="黑体" w:eastAsia="黑体" w:cs="黑体"/>
          <w:b/>
          <w:bCs/>
          <w:color w:val="000000"/>
          <w:kern w:val="0"/>
          <w:sz w:val="36"/>
          <w:szCs w:val="36"/>
        </w:rPr>
        <w:t>指标体系及打分情况表</w:t>
      </w:r>
    </w:p>
    <w:tbl>
      <w:tblPr>
        <w:tblStyle w:val="16"/>
        <w:tblW w:w="9419" w:type="dxa"/>
        <w:tblInd w:w="-416" w:type="dxa"/>
        <w:tblLayout w:type="fixed"/>
        <w:tblCellMar>
          <w:top w:w="0" w:type="dxa"/>
          <w:left w:w="108" w:type="dxa"/>
          <w:bottom w:w="0" w:type="dxa"/>
          <w:right w:w="108" w:type="dxa"/>
        </w:tblCellMar>
      </w:tblPr>
      <w:tblGrid>
        <w:gridCol w:w="1210"/>
        <w:gridCol w:w="1200"/>
        <w:gridCol w:w="1406"/>
        <w:gridCol w:w="1397"/>
        <w:gridCol w:w="1678"/>
        <w:gridCol w:w="2528"/>
      </w:tblGrid>
      <w:tr>
        <w:tblPrEx>
          <w:tblCellMar>
            <w:top w:w="0" w:type="dxa"/>
            <w:left w:w="108" w:type="dxa"/>
            <w:bottom w:w="0" w:type="dxa"/>
            <w:right w:w="108" w:type="dxa"/>
          </w:tblCellMar>
        </w:tblPrEx>
        <w:trPr>
          <w:trHeight w:val="550" w:hRule="atLeast"/>
          <w:tblHeader/>
        </w:trPr>
        <w:tc>
          <w:tcPr>
            <w:tcW w:w="121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一级指标</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二级指标</w:t>
            </w:r>
          </w:p>
        </w:tc>
        <w:tc>
          <w:tcPr>
            <w:tcW w:w="140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三级指标</w:t>
            </w:r>
          </w:p>
        </w:tc>
        <w:tc>
          <w:tcPr>
            <w:tcW w:w="139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分值</w:t>
            </w:r>
          </w:p>
        </w:tc>
        <w:tc>
          <w:tcPr>
            <w:tcW w:w="167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得分</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扣分理由</w:t>
            </w:r>
          </w:p>
        </w:tc>
      </w:tr>
      <w:tr>
        <w:tblPrEx>
          <w:tblCellMar>
            <w:top w:w="0" w:type="dxa"/>
            <w:left w:w="108" w:type="dxa"/>
            <w:bottom w:w="0" w:type="dxa"/>
            <w:right w:w="108" w:type="dxa"/>
          </w:tblCellMar>
        </w:tblPrEx>
        <w:trPr>
          <w:trHeight w:val="890" w:hRule="atLeast"/>
        </w:trPr>
        <w:tc>
          <w:tcPr>
            <w:tcW w:w="121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决策　</w:t>
            </w: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项目立项　</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立项依据</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充分性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2</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2.00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1163"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立项程序</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规范性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1</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0.77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事前缺乏可行性研究和专家论证、风险评估、绩效评估</w:t>
            </w:r>
          </w:p>
        </w:tc>
      </w:tr>
      <w:tr>
        <w:tblPrEx>
          <w:tblCellMar>
            <w:top w:w="0" w:type="dxa"/>
            <w:left w:w="108" w:type="dxa"/>
            <w:bottom w:w="0" w:type="dxa"/>
            <w:right w:w="108" w:type="dxa"/>
          </w:tblCellMar>
        </w:tblPrEx>
        <w:trPr>
          <w:trHeight w:val="1733"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绩效目标　</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绩效目标</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合理性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2</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1.10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部分绩效目标设定较为模糊，如用“力争”等词，无法考量；部分绩效目标与项目执行内容的关联度不够紧密</w:t>
            </w:r>
          </w:p>
        </w:tc>
      </w:tr>
      <w:tr>
        <w:tblPrEx>
          <w:tblCellMar>
            <w:top w:w="0" w:type="dxa"/>
            <w:left w:w="108" w:type="dxa"/>
            <w:bottom w:w="0" w:type="dxa"/>
            <w:right w:w="108" w:type="dxa"/>
          </w:tblCellMar>
        </w:tblPrEx>
        <w:trPr>
          <w:trHeight w:val="827"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绩效指标</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明确性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2</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1.10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绩效考评指标的细化度、量化度不高</w:t>
            </w:r>
          </w:p>
        </w:tc>
      </w:tr>
      <w:tr>
        <w:tblPrEx>
          <w:tblCellMar>
            <w:top w:w="0" w:type="dxa"/>
            <w:left w:w="108" w:type="dxa"/>
            <w:bottom w:w="0" w:type="dxa"/>
            <w:right w:w="108" w:type="dxa"/>
          </w:tblCellMar>
        </w:tblPrEx>
        <w:trPr>
          <w:trHeight w:val="882"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资金投入</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预算编制</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科学性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2</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1.67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预算编制没有经过科学论证，没有明确标准</w:t>
            </w:r>
          </w:p>
        </w:tc>
      </w:tr>
      <w:tr>
        <w:tblPrEx>
          <w:tblCellMar>
            <w:top w:w="0" w:type="dxa"/>
            <w:left w:w="108" w:type="dxa"/>
            <w:bottom w:w="0" w:type="dxa"/>
            <w:right w:w="108" w:type="dxa"/>
          </w:tblCellMar>
        </w:tblPrEx>
        <w:trPr>
          <w:trHeight w:val="54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资金分配</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合理性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1</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1.00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550" w:hRule="atLeast"/>
        </w:trPr>
        <w:tc>
          <w:tcPr>
            <w:tcW w:w="121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过程</w:t>
            </w: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资金管理</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资金到位率</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2</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2.00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55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预算执行率</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4</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3.70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54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资金使用</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合规性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4</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9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组织实施</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管理制度</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健全性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4.50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项目的绩效管理制度不健全</w:t>
            </w:r>
          </w:p>
        </w:tc>
      </w:tr>
      <w:tr>
        <w:tblPrEx>
          <w:tblCellMar>
            <w:top w:w="0" w:type="dxa"/>
            <w:left w:w="108" w:type="dxa"/>
            <w:bottom w:w="0" w:type="dxa"/>
            <w:right w:w="108" w:type="dxa"/>
          </w:tblCellMar>
        </w:tblPrEx>
        <w:trPr>
          <w:trHeight w:val="9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制度执行</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有效性</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4.67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出库记录信息不完整</w:t>
            </w:r>
          </w:p>
        </w:tc>
      </w:tr>
      <w:tr>
        <w:tblPrEx>
          <w:tblCellMar>
            <w:top w:w="0" w:type="dxa"/>
            <w:left w:w="108" w:type="dxa"/>
            <w:bottom w:w="0" w:type="dxa"/>
            <w:right w:w="108" w:type="dxa"/>
          </w:tblCellMar>
        </w:tblPrEx>
        <w:trPr>
          <w:trHeight w:val="810" w:hRule="atLeast"/>
        </w:trPr>
        <w:tc>
          <w:tcPr>
            <w:tcW w:w="121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产出</w:t>
            </w: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产出数量</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 xml:space="preserve">完成每期刊物发稿30篇 </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7</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7.00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1859"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完成每期刊物印刷7000册，每期赠阅6000册</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8</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8.00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756"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产出质量</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刊物自采自编率100%</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5.00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81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首发率85%</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5.00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81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刊物每期字数达到20万字、发表图片300幅</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5.00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778"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产出时效</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刊物每季度出版一期</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5.00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550"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产出成本</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成本节约率</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5.00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宋体" w:hAnsi="宋体" w:eastAsia="宋体" w:cs="宋体"/>
                <w:color w:val="000000"/>
                <w:sz w:val="22"/>
              </w:rPr>
            </w:pPr>
          </w:p>
        </w:tc>
      </w:tr>
      <w:tr>
        <w:tblPrEx>
          <w:tblCellMar>
            <w:top w:w="0" w:type="dxa"/>
            <w:left w:w="108" w:type="dxa"/>
            <w:bottom w:w="0" w:type="dxa"/>
            <w:right w:w="108" w:type="dxa"/>
          </w:tblCellMar>
        </w:tblPrEx>
        <w:trPr>
          <w:trHeight w:val="1070" w:hRule="atLeast"/>
        </w:trPr>
        <w:tc>
          <w:tcPr>
            <w:tcW w:w="121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效益</w:t>
            </w:r>
          </w:p>
        </w:tc>
        <w:tc>
          <w:tcPr>
            <w:tcW w:w="120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项目</w:t>
            </w:r>
            <w:r>
              <w:rPr>
                <w:rFonts w:hint="eastAsia" w:ascii="宋体" w:hAnsi="宋体" w:eastAsia="宋体" w:cs="宋体"/>
                <w:color w:val="000000"/>
                <w:kern w:val="0"/>
                <w:sz w:val="22"/>
                <w:lang w:bidi="ar"/>
              </w:rPr>
              <w:br w:type="textWrapping"/>
            </w:r>
            <w:r>
              <w:rPr>
                <w:rFonts w:hint="eastAsia" w:ascii="宋体" w:hAnsi="宋体" w:eastAsia="宋体" w:cs="宋体"/>
                <w:color w:val="000000"/>
                <w:kern w:val="0"/>
                <w:sz w:val="22"/>
                <w:lang w:bidi="ar"/>
              </w:rPr>
              <w:t>效益</w:t>
            </w: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介绍和分析北京的历史文化</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3.33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项目实施效益缺乏可衡量性的证明资料</w:t>
            </w:r>
          </w:p>
        </w:tc>
      </w:tr>
      <w:tr>
        <w:tblPrEx>
          <w:tblCellMar>
            <w:top w:w="0" w:type="dxa"/>
            <w:left w:w="108" w:type="dxa"/>
            <w:bottom w:w="0" w:type="dxa"/>
            <w:right w:w="108" w:type="dxa"/>
          </w:tblCellMar>
        </w:tblPrEx>
        <w:trPr>
          <w:trHeight w:val="1483"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反映北京历史文化重要信息</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实施效益可量化考核不足，缺少相关证明材料</w:t>
            </w:r>
          </w:p>
        </w:tc>
      </w:tr>
      <w:tr>
        <w:tblPrEx>
          <w:tblCellMar>
            <w:top w:w="0" w:type="dxa"/>
            <w:left w:w="108" w:type="dxa"/>
            <w:bottom w:w="0" w:type="dxa"/>
            <w:right w:w="108" w:type="dxa"/>
          </w:tblCellMar>
        </w:tblPrEx>
        <w:trPr>
          <w:trHeight w:val="1381"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深度挖掘人文北京的历史文化内涵</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4.17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实施效益可量化考核不足，缺少相关证明材料</w:t>
            </w:r>
          </w:p>
        </w:tc>
      </w:tr>
      <w:tr>
        <w:tblPrEx>
          <w:tblCellMar>
            <w:top w:w="0" w:type="dxa"/>
            <w:left w:w="108" w:type="dxa"/>
            <w:bottom w:w="0" w:type="dxa"/>
            <w:right w:w="108" w:type="dxa"/>
          </w:tblCellMar>
        </w:tblPrEx>
        <w:trPr>
          <w:trHeight w:val="1198"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馆员、参事满意度</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调查问卷设计的科学性待提升，问卷数据分析待完善</w:t>
            </w:r>
          </w:p>
        </w:tc>
      </w:tr>
      <w:tr>
        <w:tblPrEx>
          <w:tblCellMar>
            <w:top w:w="0" w:type="dxa"/>
            <w:left w:w="108" w:type="dxa"/>
            <w:bottom w:w="0" w:type="dxa"/>
            <w:right w:w="108" w:type="dxa"/>
          </w:tblCellMar>
        </w:tblPrEx>
        <w:trPr>
          <w:trHeight w:val="1117"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专家、学者满意度</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4.00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调查问卷设计的科学性待提升，支撑性数据不足</w:t>
            </w:r>
          </w:p>
        </w:tc>
      </w:tr>
      <w:tr>
        <w:tblPrEx>
          <w:tblCellMar>
            <w:top w:w="0" w:type="dxa"/>
            <w:left w:w="108" w:type="dxa"/>
            <w:bottom w:w="0" w:type="dxa"/>
            <w:right w:w="108" w:type="dxa"/>
          </w:tblCellMar>
        </w:tblPrEx>
        <w:trPr>
          <w:trHeight w:val="965" w:hRule="atLeast"/>
        </w:trPr>
        <w:tc>
          <w:tcPr>
            <w:tcW w:w="121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20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宋体" w:hAnsi="宋体" w:eastAsia="宋体" w:cs="宋体"/>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各界读者满意度</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5</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color w:val="000000"/>
                <w:sz w:val="22"/>
              </w:rPr>
            </w:pPr>
            <w:r>
              <w:rPr>
                <w:rFonts w:hint="eastAsia" w:ascii="宋体" w:hAnsi="宋体" w:eastAsia="宋体" w:cs="宋体"/>
                <w:i w:val="0"/>
                <w:iCs w:val="0"/>
                <w:color w:val="000000"/>
                <w:kern w:val="0"/>
                <w:sz w:val="22"/>
                <w:szCs w:val="22"/>
                <w:u w:val="none"/>
                <w:lang w:val="en-US" w:eastAsia="zh-CN" w:bidi="ar"/>
              </w:rPr>
              <w:t xml:space="preserve">3.33 </w:t>
            </w:r>
          </w:p>
        </w:tc>
        <w:tc>
          <w:tcPr>
            <w:tcW w:w="252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宋体" w:hAnsi="宋体" w:eastAsia="宋体" w:cs="宋体"/>
                <w:color w:val="000000"/>
                <w:sz w:val="22"/>
              </w:rPr>
            </w:pPr>
            <w:r>
              <w:rPr>
                <w:rFonts w:hint="eastAsia" w:ascii="宋体" w:hAnsi="宋体" w:eastAsia="宋体" w:cs="宋体"/>
                <w:color w:val="000000"/>
                <w:kern w:val="0"/>
                <w:sz w:val="22"/>
                <w:lang w:bidi="ar"/>
              </w:rPr>
              <w:t>调查问卷设计的科学性待提升，支撑性数据不足</w:t>
            </w:r>
          </w:p>
        </w:tc>
      </w:tr>
      <w:tr>
        <w:tblPrEx>
          <w:tblCellMar>
            <w:top w:w="0" w:type="dxa"/>
            <w:left w:w="108" w:type="dxa"/>
            <w:bottom w:w="0" w:type="dxa"/>
            <w:right w:w="108" w:type="dxa"/>
          </w:tblCellMar>
        </w:tblPrEx>
        <w:trPr>
          <w:trHeight w:val="270" w:hRule="atLeast"/>
        </w:trPr>
        <w:tc>
          <w:tcPr>
            <w:tcW w:w="12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合计</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b/>
                <w:bCs/>
                <w:color w:val="000000"/>
                <w:sz w:val="22"/>
              </w:rPr>
            </w:pPr>
          </w:p>
        </w:tc>
        <w:tc>
          <w:tcPr>
            <w:tcW w:w="140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b/>
                <w:bCs/>
                <w:color w:val="000000"/>
                <w:sz w:val="22"/>
              </w:rPr>
            </w:pP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b/>
                <w:bCs/>
                <w:color w:val="000000"/>
                <w:sz w:val="22"/>
              </w:rPr>
            </w:pPr>
            <w:r>
              <w:rPr>
                <w:rFonts w:hint="eastAsia" w:ascii="宋体" w:hAnsi="宋体" w:eastAsia="宋体" w:cs="宋体"/>
                <w:b/>
                <w:bCs/>
                <w:color w:val="000000"/>
                <w:kern w:val="0"/>
                <w:sz w:val="22"/>
                <w:lang w:bidi="ar"/>
              </w:rPr>
              <w:t>100</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ascii="宋体" w:hAnsi="宋体" w:eastAsia="宋体" w:cs="宋体"/>
                <w:b/>
                <w:bCs/>
                <w:color w:val="000000"/>
                <w:sz w:val="22"/>
              </w:rPr>
            </w:pPr>
            <w:r>
              <w:rPr>
                <w:rFonts w:hint="eastAsia" w:ascii="宋体" w:hAnsi="宋体" w:eastAsia="宋体" w:cs="宋体"/>
                <w:b/>
                <w:bCs/>
                <w:i w:val="0"/>
                <w:iCs w:val="0"/>
                <w:color w:val="000000"/>
                <w:kern w:val="0"/>
                <w:sz w:val="22"/>
                <w:szCs w:val="22"/>
                <w:u w:val="none"/>
                <w:lang w:val="en-US" w:eastAsia="zh-CN" w:bidi="ar"/>
              </w:rPr>
              <w:t xml:space="preserve">89.33 </w:t>
            </w:r>
          </w:p>
        </w:tc>
        <w:tc>
          <w:tcPr>
            <w:tcW w:w="25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宋体" w:hAnsi="宋体" w:eastAsia="宋体" w:cs="宋体"/>
                <w:b/>
                <w:bCs/>
                <w:color w:val="000000"/>
                <w:sz w:val="22"/>
              </w:rPr>
            </w:pPr>
          </w:p>
        </w:tc>
      </w:tr>
    </w:tbl>
    <w:p>
      <w:pPr>
        <w:pStyle w:val="2"/>
      </w:pPr>
    </w:p>
    <w:p/>
    <w:sectPr>
      <w:pgSz w:w="11906" w:h="16838"/>
      <w:pgMar w:top="1440" w:right="1803" w:bottom="1440" w:left="1803" w:header="851" w:footer="992" w:gutter="0"/>
      <w:cols w:space="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Leelawadee UI">
    <w:panose1 w:val="020B0502040204020203"/>
    <w:charset w:val="00"/>
    <w:family w:val="swiss"/>
    <w:pitch w:val="default"/>
    <w:sig w:usb0="83000003" w:usb1="00000000" w:usb2="00010000" w:usb3="00000001" w:csb0="00010101"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DejaVu Sans">
    <w:altName w:val="Segoe Print"/>
    <w:panose1 w:val="00000000000000000000"/>
    <w:charset w:val="00"/>
    <w:family w:val="roman"/>
    <w:pitch w:val="default"/>
    <w:sig w:usb0="00000000" w:usb1="00000000" w:usb2="0A246029" w:usb3="0400200C" w:csb0="600001FF" w:csb1="DFFF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31525389"/>
    </w:sdtPr>
    <w:sdtEndPr>
      <w:rPr>
        <w:sz w:val="21"/>
      </w:rPr>
    </w:sdtEndPr>
    <w:sdtContent>
      <w:p>
        <w:pPr>
          <w:pStyle w:val="10"/>
          <w:jc w:val="center"/>
          <w:rPr>
            <w:sz w:val="21"/>
          </w:rPr>
        </w:pPr>
        <w:r>
          <w:rPr>
            <w:sz w:val="21"/>
          </w:rPr>
          <w:fldChar w:fldCharType="begin"/>
        </w:r>
        <w:r>
          <w:rPr>
            <w:sz w:val="21"/>
          </w:rPr>
          <w:instrText xml:space="preserve">PAGE   \* MERGEFORMAT</w:instrText>
        </w:r>
        <w:r>
          <w:rPr>
            <w:sz w:val="21"/>
          </w:rPr>
          <w:fldChar w:fldCharType="separate"/>
        </w:r>
        <w:r>
          <w:rPr>
            <w:sz w:val="21"/>
            <w:lang w:val="zh-CN"/>
          </w:rPr>
          <w:t>1</w:t>
        </w:r>
        <w:r>
          <w:rPr>
            <w:sz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Z8zq8sIBAACNAwAADgAAAGRycy9lMm9Eb2MueG1srVPNjtMwEL4j8Q6W&#10;79TZSou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m5BoTbQ8LCpZ+MOkJNxXBKhdG0UXkNHt9L1sNftPk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GfM6vLCAQAAjQMAAA4AAAAAAAAAAQAgAAAAHgEAAGRycy9lMm9Eb2MueG1sUEsF&#10;BgAAAAAGAAYAWQEAAFIFAAAAAA==&#10;">
              <v:fill on="f" focussize="0,0"/>
              <v:stroke on="f"/>
              <v:imagedata o:title=""/>
              <o:lock v:ext="edit" aspectratio="f"/>
              <v:textbox inset="0mm,0mm,0mm,0mm" style="mso-fit-shape-to-text:t;">
                <w:txbxContent>
                  <w:p>
                    <w:pPr>
                      <w:pStyle w:val="1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hkMjU4YjFmZTI4MGY4M2ZlMTZjNmRjOGFkZjM4NzMifQ=="/>
  </w:docVars>
  <w:rsids>
    <w:rsidRoot w:val="00164F13"/>
    <w:rsid w:val="00004A99"/>
    <w:rsid w:val="00011018"/>
    <w:rsid w:val="000C73F9"/>
    <w:rsid w:val="000D0495"/>
    <w:rsid w:val="000E3EDF"/>
    <w:rsid w:val="000E7B2B"/>
    <w:rsid w:val="000F6B92"/>
    <w:rsid w:val="00153C09"/>
    <w:rsid w:val="00154D73"/>
    <w:rsid w:val="00155739"/>
    <w:rsid w:val="001632DD"/>
    <w:rsid w:val="00164F13"/>
    <w:rsid w:val="001A4671"/>
    <w:rsid w:val="001A6860"/>
    <w:rsid w:val="001B5C00"/>
    <w:rsid w:val="001C7D17"/>
    <w:rsid w:val="00212CE5"/>
    <w:rsid w:val="002304D5"/>
    <w:rsid w:val="0023732F"/>
    <w:rsid w:val="00257271"/>
    <w:rsid w:val="00266361"/>
    <w:rsid w:val="0028036F"/>
    <w:rsid w:val="00291638"/>
    <w:rsid w:val="002B2651"/>
    <w:rsid w:val="002C4A65"/>
    <w:rsid w:val="002D42CC"/>
    <w:rsid w:val="002D6FB0"/>
    <w:rsid w:val="002F4029"/>
    <w:rsid w:val="00321439"/>
    <w:rsid w:val="00373BAE"/>
    <w:rsid w:val="00381D3E"/>
    <w:rsid w:val="003A2470"/>
    <w:rsid w:val="003A26FE"/>
    <w:rsid w:val="003B221D"/>
    <w:rsid w:val="003C5363"/>
    <w:rsid w:val="003E19A7"/>
    <w:rsid w:val="003F234B"/>
    <w:rsid w:val="00415EED"/>
    <w:rsid w:val="00416EEE"/>
    <w:rsid w:val="00442114"/>
    <w:rsid w:val="0044310A"/>
    <w:rsid w:val="0045278B"/>
    <w:rsid w:val="004777DC"/>
    <w:rsid w:val="004A7E98"/>
    <w:rsid w:val="004D36C6"/>
    <w:rsid w:val="004D4D45"/>
    <w:rsid w:val="004D6115"/>
    <w:rsid w:val="004E12D7"/>
    <w:rsid w:val="00507AFF"/>
    <w:rsid w:val="00511133"/>
    <w:rsid w:val="00512AEF"/>
    <w:rsid w:val="00536470"/>
    <w:rsid w:val="00567228"/>
    <w:rsid w:val="00572423"/>
    <w:rsid w:val="00574DB2"/>
    <w:rsid w:val="00581AA9"/>
    <w:rsid w:val="00581ADA"/>
    <w:rsid w:val="005A4469"/>
    <w:rsid w:val="005A5D6A"/>
    <w:rsid w:val="005B32CE"/>
    <w:rsid w:val="005E2C2C"/>
    <w:rsid w:val="005F1AF0"/>
    <w:rsid w:val="005F2FD5"/>
    <w:rsid w:val="005F338A"/>
    <w:rsid w:val="005F776D"/>
    <w:rsid w:val="00627C9B"/>
    <w:rsid w:val="0063028D"/>
    <w:rsid w:val="006340B0"/>
    <w:rsid w:val="0064294E"/>
    <w:rsid w:val="006437E6"/>
    <w:rsid w:val="006517F5"/>
    <w:rsid w:val="0067231C"/>
    <w:rsid w:val="00690C41"/>
    <w:rsid w:val="006919B9"/>
    <w:rsid w:val="00694162"/>
    <w:rsid w:val="0069726B"/>
    <w:rsid w:val="006C0168"/>
    <w:rsid w:val="006C1CCE"/>
    <w:rsid w:val="006E0531"/>
    <w:rsid w:val="006E6A39"/>
    <w:rsid w:val="006F14D3"/>
    <w:rsid w:val="006F6D6B"/>
    <w:rsid w:val="00701A55"/>
    <w:rsid w:val="00704ECD"/>
    <w:rsid w:val="00713FAF"/>
    <w:rsid w:val="00720327"/>
    <w:rsid w:val="00720837"/>
    <w:rsid w:val="00722217"/>
    <w:rsid w:val="00731F93"/>
    <w:rsid w:val="00764E9B"/>
    <w:rsid w:val="00791139"/>
    <w:rsid w:val="007B465E"/>
    <w:rsid w:val="007B7895"/>
    <w:rsid w:val="007F0518"/>
    <w:rsid w:val="00804D5E"/>
    <w:rsid w:val="00810C94"/>
    <w:rsid w:val="008269DA"/>
    <w:rsid w:val="00845CB6"/>
    <w:rsid w:val="00856B56"/>
    <w:rsid w:val="008951F3"/>
    <w:rsid w:val="008A766B"/>
    <w:rsid w:val="008B5CB2"/>
    <w:rsid w:val="008B7864"/>
    <w:rsid w:val="008C377B"/>
    <w:rsid w:val="008D5192"/>
    <w:rsid w:val="008E6496"/>
    <w:rsid w:val="008F499F"/>
    <w:rsid w:val="00901D47"/>
    <w:rsid w:val="00904FFF"/>
    <w:rsid w:val="00920C6B"/>
    <w:rsid w:val="00923964"/>
    <w:rsid w:val="0092397F"/>
    <w:rsid w:val="00955B97"/>
    <w:rsid w:val="00960FE9"/>
    <w:rsid w:val="0098012A"/>
    <w:rsid w:val="00987CE1"/>
    <w:rsid w:val="00992EC7"/>
    <w:rsid w:val="009E2FF2"/>
    <w:rsid w:val="009F0720"/>
    <w:rsid w:val="00A41A84"/>
    <w:rsid w:val="00AB7AD6"/>
    <w:rsid w:val="00AE0A43"/>
    <w:rsid w:val="00AF08DD"/>
    <w:rsid w:val="00B202BC"/>
    <w:rsid w:val="00B414B2"/>
    <w:rsid w:val="00B42A03"/>
    <w:rsid w:val="00B50076"/>
    <w:rsid w:val="00B74438"/>
    <w:rsid w:val="00B8156E"/>
    <w:rsid w:val="00B93B63"/>
    <w:rsid w:val="00BA74FE"/>
    <w:rsid w:val="00BC0E54"/>
    <w:rsid w:val="00BC2117"/>
    <w:rsid w:val="00BC7F0F"/>
    <w:rsid w:val="00BE2A71"/>
    <w:rsid w:val="00C03FD1"/>
    <w:rsid w:val="00C10169"/>
    <w:rsid w:val="00C25B31"/>
    <w:rsid w:val="00C439D0"/>
    <w:rsid w:val="00C4731A"/>
    <w:rsid w:val="00C73C18"/>
    <w:rsid w:val="00C76E1F"/>
    <w:rsid w:val="00C90C1D"/>
    <w:rsid w:val="00CA2192"/>
    <w:rsid w:val="00CD644C"/>
    <w:rsid w:val="00CE56FB"/>
    <w:rsid w:val="00D15E44"/>
    <w:rsid w:val="00D36885"/>
    <w:rsid w:val="00D36F6B"/>
    <w:rsid w:val="00D75515"/>
    <w:rsid w:val="00D81C51"/>
    <w:rsid w:val="00DC100C"/>
    <w:rsid w:val="00DC17F8"/>
    <w:rsid w:val="00DF2959"/>
    <w:rsid w:val="00DF4494"/>
    <w:rsid w:val="00DF6DFF"/>
    <w:rsid w:val="00E02889"/>
    <w:rsid w:val="00E20869"/>
    <w:rsid w:val="00E25057"/>
    <w:rsid w:val="00E61B8E"/>
    <w:rsid w:val="00E6334A"/>
    <w:rsid w:val="00E73A9B"/>
    <w:rsid w:val="00E75B47"/>
    <w:rsid w:val="00E90F5B"/>
    <w:rsid w:val="00EA5A01"/>
    <w:rsid w:val="00EB11DC"/>
    <w:rsid w:val="00EB363A"/>
    <w:rsid w:val="00EC6D39"/>
    <w:rsid w:val="00F0601B"/>
    <w:rsid w:val="00F11124"/>
    <w:rsid w:val="00F24E2B"/>
    <w:rsid w:val="00F33F1B"/>
    <w:rsid w:val="00F37AB9"/>
    <w:rsid w:val="00F46FB6"/>
    <w:rsid w:val="00F55F1E"/>
    <w:rsid w:val="00F66537"/>
    <w:rsid w:val="00F80E8E"/>
    <w:rsid w:val="00F814D7"/>
    <w:rsid w:val="00F81517"/>
    <w:rsid w:val="00F928BA"/>
    <w:rsid w:val="00F96442"/>
    <w:rsid w:val="00FA2B9A"/>
    <w:rsid w:val="00FA7556"/>
    <w:rsid w:val="00FB087E"/>
    <w:rsid w:val="00FC3C68"/>
    <w:rsid w:val="00FD2733"/>
    <w:rsid w:val="00FF0127"/>
    <w:rsid w:val="00FF1B86"/>
    <w:rsid w:val="00FF79C3"/>
    <w:rsid w:val="01B138EB"/>
    <w:rsid w:val="03475303"/>
    <w:rsid w:val="059A6FAC"/>
    <w:rsid w:val="05E03EFB"/>
    <w:rsid w:val="067D306B"/>
    <w:rsid w:val="082F7BF4"/>
    <w:rsid w:val="0D4728C2"/>
    <w:rsid w:val="0E796AAB"/>
    <w:rsid w:val="10441D59"/>
    <w:rsid w:val="12680A2F"/>
    <w:rsid w:val="13E701E3"/>
    <w:rsid w:val="14280760"/>
    <w:rsid w:val="14A32AD4"/>
    <w:rsid w:val="15083C82"/>
    <w:rsid w:val="15EF58A5"/>
    <w:rsid w:val="17CD4CF1"/>
    <w:rsid w:val="190744B4"/>
    <w:rsid w:val="19E17C02"/>
    <w:rsid w:val="1A9C791D"/>
    <w:rsid w:val="1ABD1405"/>
    <w:rsid w:val="1B814956"/>
    <w:rsid w:val="1BBC37FE"/>
    <w:rsid w:val="1C72337E"/>
    <w:rsid w:val="1C77450F"/>
    <w:rsid w:val="1E8A02F9"/>
    <w:rsid w:val="1EA31DE5"/>
    <w:rsid w:val="1F4F0E14"/>
    <w:rsid w:val="22DA2EC7"/>
    <w:rsid w:val="23D1510A"/>
    <w:rsid w:val="24074CF4"/>
    <w:rsid w:val="255D6E29"/>
    <w:rsid w:val="25FE14FB"/>
    <w:rsid w:val="2611141F"/>
    <w:rsid w:val="26B443FE"/>
    <w:rsid w:val="26B91CE3"/>
    <w:rsid w:val="26CD664A"/>
    <w:rsid w:val="28BF6B00"/>
    <w:rsid w:val="294361DC"/>
    <w:rsid w:val="297F127D"/>
    <w:rsid w:val="2A17569E"/>
    <w:rsid w:val="2B4F2AD8"/>
    <w:rsid w:val="2BAE323B"/>
    <w:rsid w:val="2D3C35CD"/>
    <w:rsid w:val="2E07244E"/>
    <w:rsid w:val="2F616FA1"/>
    <w:rsid w:val="303625F7"/>
    <w:rsid w:val="32A970D8"/>
    <w:rsid w:val="33B9779E"/>
    <w:rsid w:val="378C39F4"/>
    <w:rsid w:val="3902576C"/>
    <w:rsid w:val="393A7C95"/>
    <w:rsid w:val="3A6E42E7"/>
    <w:rsid w:val="3E0554D9"/>
    <w:rsid w:val="41F904A3"/>
    <w:rsid w:val="436375B6"/>
    <w:rsid w:val="43C27FD1"/>
    <w:rsid w:val="43E740EC"/>
    <w:rsid w:val="44ED647A"/>
    <w:rsid w:val="453E4621"/>
    <w:rsid w:val="46113492"/>
    <w:rsid w:val="47BB36B5"/>
    <w:rsid w:val="47C2429E"/>
    <w:rsid w:val="48E90222"/>
    <w:rsid w:val="49100290"/>
    <w:rsid w:val="49DB77BC"/>
    <w:rsid w:val="4B425881"/>
    <w:rsid w:val="4BCC228B"/>
    <w:rsid w:val="4E242CE2"/>
    <w:rsid w:val="4E5258FB"/>
    <w:rsid w:val="4F707C7E"/>
    <w:rsid w:val="524968F9"/>
    <w:rsid w:val="52E678FD"/>
    <w:rsid w:val="53293D03"/>
    <w:rsid w:val="53AD21F1"/>
    <w:rsid w:val="55C53055"/>
    <w:rsid w:val="57062473"/>
    <w:rsid w:val="5AF75254"/>
    <w:rsid w:val="5C9E037E"/>
    <w:rsid w:val="5E9041AF"/>
    <w:rsid w:val="608E1991"/>
    <w:rsid w:val="60BD5AC2"/>
    <w:rsid w:val="67F7799D"/>
    <w:rsid w:val="68385F6A"/>
    <w:rsid w:val="68D32BAF"/>
    <w:rsid w:val="69476708"/>
    <w:rsid w:val="6AEA08D1"/>
    <w:rsid w:val="6C345C28"/>
    <w:rsid w:val="6C497781"/>
    <w:rsid w:val="6CCB3AEB"/>
    <w:rsid w:val="6E901066"/>
    <w:rsid w:val="6EC46AC4"/>
    <w:rsid w:val="6F234752"/>
    <w:rsid w:val="70072E1F"/>
    <w:rsid w:val="70A22DB5"/>
    <w:rsid w:val="70C56C68"/>
    <w:rsid w:val="74162A5D"/>
    <w:rsid w:val="743F31D1"/>
    <w:rsid w:val="74BB4445"/>
    <w:rsid w:val="74F97F8F"/>
    <w:rsid w:val="751C4440"/>
    <w:rsid w:val="766E1682"/>
    <w:rsid w:val="78CA203F"/>
    <w:rsid w:val="791B1534"/>
    <w:rsid w:val="79A64125"/>
    <w:rsid w:val="79AD0027"/>
    <w:rsid w:val="7BDF2C63"/>
    <w:rsid w:val="7CD83EB5"/>
    <w:rsid w:val="7DC6527C"/>
    <w:rsid w:val="7E5C43EC"/>
    <w:rsid w:val="7F14190B"/>
    <w:rsid w:val="7F167C1C"/>
    <w:rsid w:val="7FBE73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unhideWhenUsed/>
    <w:qFormat/>
    <w:uiPriority w:val="0"/>
    <w:pPr>
      <w:keepNext/>
      <w:keepLines/>
      <w:spacing w:before="260" w:after="260" w:line="416" w:lineRule="auto"/>
      <w:outlineLvl w:val="2"/>
    </w:pPr>
    <w:rPr>
      <w:b/>
      <w:bCs/>
      <w:sz w:val="32"/>
      <w:szCs w:val="32"/>
    </w:rPr>
  </w:style>
  <w:style w:type="paragraph" w:styleId="2">
    <w:name w:val="heading 4"/>
    <w:basedOn w:val="1"/>
    <w:next w:val="1"/>
    <w:qFormat/>
    <w:uiPriority w:val="0"/>
    <w:pPr>
      <w:keepNext/>
      <w:keepLines/>
      <w:spacing w:before="280" w:after="290" w:line="372" w:lineRule="auto"/>
      <w:outlineLvl w:val="3"/>
    </w:pPr>
    <w:rPr>
      <w:rFonts w:ascii="Cambria" w:hAnsi="Cambria" w:eastAsia="宋体" w:cs="Cambria"/>
      <w:b/>
      <w:bCs/>
      <w:sz w:val="28"/>
      <w:szCs w:val="28"/>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unhideWhenUsed/>
    <w:qFormat/>
    <w:uiPriority w:val="0"/>
    <w:rPr>
      <w:rFonts w:ascii="等线 Light" w:hAnsi="等线 Light" w:eastAsia="黑体" w:cs="Times New Roman"/>
      <w:sz w:val="20"/>
      <w:szCs w:val="20"/>
    </w:rPr>
  </w:style>
  <w:style w:type="paragraph" w:styleId="7">
    <w:name w:val="annotation text"/>
    <w:basedOn w:val="1"/>
    <w:link w:val="22"/>
    <w:qFormat/>
    <w:uiPriority w:val="0"/>
    <w:pPr>
      <w:jc w:val="left"/>
    </w:pPr>
  </w:style>
  <w:style w:type="paragraph" w:styleId="8">
    <w:name w:val="toc 3"/>
    <w:basedOn w:val="1"/>
    <w:next w:val="1"/>
    <w:qFormat/>
    <w:uiPriority w:val="0"/>
    <w:pPr>
      <w:ind w:left="420"/>
    </w:pPr>
    <w:rPr>
      <w:rFonts w:ascii="等线" w:hAnsi="等线" w:eastAsia="等线"/>
      <w:b/>
      <w:sz w:val="30"/>
      <w:szCs w:val="30"/>
    </w:rPr>
  </w:style>
  <w:style w:type="paragraph" w:styleId="9">
    <w:name w:val="Balloon Text"/>
    <w:basedOn w:val="1"/>
    <w:link w:val="21"/>
    <w:qFormat/>
    <w:uiPriority w:val="0"/>
    <w:rPr>
      <w:sz w:val="18"/>
      <w:szCs w:val="18"/>
    </w:rPr>
  </w:style>
  <w:style w:type="paragraph" w:styleId="10">
    <w:name w:val="footer"/>
    <w:basedOn w:val="1"/>
    <w:qFormat/>
    <w:uiPriority w:val="0"/>
    <w:pPr>
      <w:tabs>
        <w:tab w:val="center" w:pos="4153"/>
        <w:tab w:val="right" w:pos="8306"/>
      </w:tabs>
      <w:snapToGrid w:val="0"/>
      <w:jc w:val="left"/>
    </w:pPr>
    <w:rPr>
      <w:sz w:val="18"/>
      <w:szCs w:val="18"/>
    </w:rPr>
  </w:style>
  <w:style w:type="paragraph" w:styleId="11">
    <w:name w:val="header"/>
    <w:basedOn w:val="1"/>
    <w:link w:val="24"/>
    <w:qFormat/>
    <w:uiPriority w:val="0"/>
    <w:pPr>
      <w:pBdr>
        <w:bottom w:val="single" w:color="auto" w:sz="6" w:space="1"/>
      </w:pBdr>
      <w:tabs>
        <w:tab w:val="center" w:pos="4153"/>
        <w:tab w:val="right" w:pos="8306"/>
      </w:tabs>
      <w:snapToGrid w:val="0"/>
      <w:jc w:val="center"/>
    </w:pPr>
    <w:rPr>
      <w:sz w:val="18"/>
      <w:szCs w:val="18"/>
    </w:rPr>
  </w:style>
  <w:style w:type="paragraph" w:styleId="12">
    <w:name w:val="toc 1"/>
    <w:basedOn w:val="1"/>
    <w:next w:val="1"/>
    <w:qFormat/>
    <w:uiPriority w:val="0"/>
  </w:style>
  <w:style w:type="paragraph" w:styleId="13">
    <w:name w:val="toc 2"/>
    <w:basedOn w:val="1"/>
    <w:next w:val="1"/>
    <w:qFormat/>
    <w:uiPriority w:val="0"/>
    <w:pPr>
      <w:ind w:left="420" w:leftChars="200"/>
    </w:pPr>
  </w:style>
  <w:style w:type="paragraph" w:styleId="14">
    <w:name w:val="Normal (Web)"/>
    <w:basedOn w:val="1"/>
    <w:qFormat/>
    <w:uiPriority w:val="0"/>
    <w:pPr>
      <w:spacing w:before="100" w:beforeAutospacing="1" w:after="100" w:afterAutospacing="1"/>
      <w:jc w:val="left"/>
    </w:pPr>
    <w:rPr>
      <w:rFonts w:cs="Times New Roman"/>
      <w:kern w:val="0"/>
      <w:sz w:val="24"/>
    </w:rPr>
  </w:style>
  <w:style w:type="paragraph" w:styleId="15">
    <w:name w:val="annotation subject"/>
    <w:basedOn w:val="7"/>
    <w:next w:val="7"/>
    <w:link w:val="23"/>
    <w:qFormat/>
    <w:uiPriority w:val="0"/>
    <w:rPr>
      <w:b/>
      <w:bCs/>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Hyperlink"/>
    <w:unhideWhenUsed/>
    <w:qFormat/>
    <w:uiPriority w:val="99"/>
    <w:rPr>
      <w:color w:val="0000FF"/>
      <w:u w:val="single"/>
    </w:rPr>
  </w:style>
  <w:style w:type="character" w:styleId="20">
    <w:name w:val="annotation reference"/>
    <w:basedOn w:val="18"/>
    <w:qFormat/>
    <w:uiPriority w:val="0"/>
    <w:rPr>
      <w:sz w:val="21"/>
      <w:szCs w:val="21"/>
    </w:rPr>
  </w:style>
  <w:style w:type="character" w:customStyle="1" w:styleId="21">
    <w:name w:val="批注框文本 字符"/>
    <w:basedOn w:val="18"/>
    <w:link w:val="9"/>
    <w:qFormat/>
    <w:uiPriority w:val="0"/>
    <w:rPr>
      <w:kern w:val="2"/>
      <w:sz w:val="18"/>
      <w:szCs w:val="18"/>
    </w:rPr>
  </w:style>
  <w:style w:type="character" w:customStyle="1" w:styleId="22">
    <w:name w:val="批注文字 字符"/>
    <w:basedOn w:val="18"/>
    <w:link w:val="7"/>
    <w:qFormat/>
    <w:uiPriority w:val="0"/>
    <w:rPr>
      <w:kern w:val="2"/>
      <w:sz w:val="21"/>
      <w:szCs w:val="22"/>
    </w:rPr>
  </w:style>
  <w:style w:type="character" w:customStyle="1" w:styleId="23">
    <w:name w:val="批注主题 字符"/>
    <w:basedOn w:val="22"/>
    <w:link w:val="15"/>
    <w:qFormat/>
    <w:uiPriority w:val="0"/>
    <w:rPr>
      <w:kern w:val="2"/>
      <w:sz w:val="21"/>
      <w:szCs w:val="22"/>
    </w:rPr>
  </w:style>
  <w:style w:type="character" w:customStyle="1" w:styleId="24">
    <w:name w:val="页眉 字符"/>
    <w:basedOn w:val="18"/>
    <w:link w:val="11"/>
    <w:qFormat/>
    <w:uiPriority w:val="0"/>
    <w:rPr>
      <w:kern w:val="2"/>
      <w:sz w:val="18"/>
      <w:szCs w:val="18"/>
    </w:rPr>
  </w:style>
  <w:style w:type="character" w:customStyle="1" w:styleId="25">
    <w:name w:val="font01"/>
    <w:basedOn w:val="18"/>
    <w:qFormat/>
    <w:uiPriority w:val="0"/>
    <w:rPr>
      <w:rFonts w:ascii="宋体" w:hAnsi="宋体" w:eastAsia="宋体" w:cs="宋体"/>
      <w:color w:val="FF0000"/>
      <w:sz w:val="18"/>
      <w:szCs w:val="18"/>
      <w:u w:val="none"/>
    </w:rPr>
  </w:style>
  <w:style w:type="character" w:customStyle="1" w:styleId="26">
    <w:name w:val="font21"/>
    <w:basedOn w:val="18"/>
    <w:qFormat/>
    <w:uiPriority w:val="0"/>
    <w:rPr>
      <w:rFonts w:ascii="宋体" w:hAnsi="宋体" w:eastAsia="宋体" w:cs="宋体"/>
      <w:color w:val="000000"/>
      <w:sz w:val="18"/>
      <w:szCs w:val="18"/>
      <w:u w:val="none"/>
    </w:rPr>
  </w:style>
  <w:style w:type="paragraph" w:customStyle="1" w:styleId="27">
    <w:name w:val="lan12"/>
    <w:basedOn w:val="1"/>
    <w:qFormat/>
    <w:uiPriority w:val="0"/>
    <w:pPr>
      <w:widowControl/>
      <w:spacing w:before="100" w:beforeAutospacing="1" w:after="100" w:afterAutospacing="1"/>
      <w:jc w:val="left"/>
    </w:pPr>
    <w:rPr>
      <w:rFonts w:ascii="宋体" w:hAnsi="宋体" w:cs="宋体"/>
      <w:kern w:val="0"/>
      <w:sz w:val="24"/>
    </w:rPr>
  </w:style>
  <w:style w:type="character" w:customStyle="1" w:styleId="28">
    <w:name w:val="story_cn"/>
    <w:qFormat/>
    <w:uiPriority w:val="99"/>
    <w:rPr>
      <w:rFonts w:cs="Times New Roman"/>
    </w:rPr>
  </w:style>
  <w:style w:type="paragraph" w:customStyle="1" w:styleId="29">
    <w:name w:val="WPSOffice手动目录 1"/>
    <w:qFormat/>
    <w:uiPriority w:val="0"/>
    <w:rPr>
      <w:rFonts w:ascii="Times New Roman" w:hAnsi="Times New Roman" w:eastAsia="宋体" w:cs="Times New Roman"/>
      <w:lang w:val="en-US" w:eastAsia="zh-CN" w:bidi="ar-SA"/>
    </w:rPr>
  </w:style>
  <w:style w:type="paragraph" w:customStyle="1" w:styleId="30">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1">
    <w:name w:val="WPSOffice手动目录 3"/>
    <w:qFormat/>
    <w:uiPriority w:val="0"/>
    <w:pPr>
      <w:ind w:left="400" w:leftChars="400"/>
    </w:pPr>
    <w:rPr>
      <w:rFonts w:ascii="Times New Roman" w:hAnsi="Times New Roman" w:eastAsia="宋体" w:cs="Times New Roman"/>
      <w:lang w:val="en-US" w:eastAsia="zh-CN" w:bidi="ar-SA"/>
    </w:rPr>
  </w:style>
  <w:style w:type="paragraph" w:customStyle="1" w:styleId="32">
    <w:name w:val="列出段落1"/>
    <w:basedOn w:val="1"/>
    <w:qFormat/>
    <w:uiPriority w:val="34"/>
    <w:pPr>
      <w:ind w:firstLine="420" w:firstLineChars="200"/>
    </w:pPr>
    <w:rPr>
      <w:rFonts w:ascii="Calibri" w:hAnsi="Calibri" w:cs="黑体"/>
    </w:rPr>
  </w:style>
  <w:style w:type="paragraph" w:customStyle="1" w:styleId="33">
    <w:name w:val="Revision"/>
    <w:hidden/>
    <w:semiHidden/>
    <w:qFormat/>
    <w:uiPriority w:val="99"/>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Company</Company>
  <Pages>25</Pages>
  <Words>7219</Words>
  <Characters>7725</Characters>
  <Lines>77</Lines>
  <Paragraphs>21</Paragraphs>
  <TotalTime>22</TotalTime>
  <ScaleCrop>false</ScaleCrop>
  <LinksUpToDate>false</LinksUpToDate>
  <CharactersWithSpaces>7940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2017-05-02T05:00:00Z</dcterms:created>
  <dc:creator>lenovo</dc:creator>
  <cp:lastModifiedBy>萧夜</cp:lastModifiedBy>
  <cp:lastPrinted>2017-05-02T05:00:00Z</cp:lastPrinted>
  <dcterms:modified xsi:type="dcterms:W3CDTF">2022-05-20T02:44:05Z</dcterms:modified>
  <cp:revision>131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commondata">
    <vt:lpwstr>eyJoZGlkIjoiNDY0MzQwNDM3NzMyOTAwZGViMTFjZmY0M2U4NTllMzgifQ==</vt:lpwstr>
  </property>
  <property fmtid="{D5CDD505-2E9C-101B-9397-08002B2CF9AE}" pid="4" name="ICV">
    <vt:lpwstr>89484E0AE8B346CD9B3C7999A329EA0D</vt:lpwstr>
  </property>
</Properties>
</file>