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E60" w:rsidRDefault="00392D09">
      <w:pPr>
        <w:spacing w:line="480" w:lineRule="exact"/>
        <w:rPr>
          <w:rFonts w:ascii="黑体" w:eastAsia="黑体" w:hAnsi="黑体"/>
          <w:sz w:val="32"/>
          <w:szCs w:val="32"/>
        </w:rPr>
      </w:pPr>
      <w:r>
        <w:rPr>
          <w:rFonts w:ascii="黑体" w:eastAsia="黑体" w:hAnsi="黑体" w:hint="eastAsia"/>
          <w:sz w:val="32"/>
          <w:szCs w:val="32"/>
        </w:rPr>
        <w:t>附件1-1</w:t>
      </w:r>
    </w:p>
    <w:p w:rsidR="003B2E60" w:rsidRDefault="00392D09">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3B2E60" w:rsidRDefault="00392D09" w:rsidP="00AE28C7">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sidR="00AE28C7">
        <w:rPr>
          <w:rFonts w:ascii="仿宋_GB2312" w:eastAsia="仿宋_GB2312" w:hAnsi="宋体" w:hint="eastAsia"/>
          <w:sz w:val="28"/>
          <w:szCs w:val="28"/>
        </w:rPr>
        <w:t>2021</w:t>
      </w:r>
      <w:r>
        <w:rPr>
          <w:rFonts w:ascii="仿宋_GB2312" w:eastAsia="仿宋_GB2312" w:hAnsi="宋体" w:hint="eastAsia"/>
          <w:sz w:val="28"/>
          <w:szCs w:val="28"/>
        </w:rPr>
        <w:t xml:space="preserve"> 年度）</w:t>
      </w:r>
    </w:p>
    <w:p w:rsidR="003B2E60" w:rsidRDefault="003B2E60">
      <w:pPr>
        <w:spacing w:line="240" w:lineRule="exact"/>
        <w:rPr>
          <w:rFonts w:ascii="仿宋_GB2312" w:eastAsia="仿宋_GB2312" w:hAnsi="宋体"/>
          <w:sz w:val="30"/>
          <w:szCs w:val="30"/>
        </w:rPr>
      </w:pPr>
    </w:p>
    <w:tbl>
      <w:tblPr>
        <w:tblW w:w="9522" w:type="dxa"/>
        <w:jc w:val="center"/>
        <w:tblInd w:w="-606" w:type="dxa"/>
        <w:tblLayout w:type="fixed"/>
        <w:tblLook w:val="04A0"/>
      </w:tblPr>
      <w:tblGrid>
        <w:gridCol w:w="798"/>
        <w:gridCol w:w="1207"/>
        <w:gridCol w:w="1356"/>
        <w:gridCol w:w="629"/>
        <w:gridCol w:w="1126"/>
        <w:gridCol w:w="582"/>
        <w:gridCol w:w="1417"/>
        <w:gridCol w:w="567"/>
        <w:gridCol w:w="426"/>
        <w:gridCol w:w="283"/>
        <w:gridCol w:w="567"/>
        <w:gridCol w:w="564"/>
      </w:tblGrid>
      <w:tr w:rsidR="003B2E60" w:rsidTr="002677C0">
        <w:trPr>
          <w:trHeight w:hRule="exact" w:val="306"/>
          <w:jc w:val="center"/>
        </w:trPr>
        <w:tc>
          <w:tcPr>
            <w:tcW w:w="2005" w:type="dxa"/>
            <w:gridSpan w:val="2"/>
            <w:tcBorders>
              <w:top w:val="single" w:sz="4" w:space="0" w:color="auto"/>
              <w:left w:val="single" w:sz="4" w:space="0" w:color="auto"/>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517" w:type="dxa"/>
            <w:gridSpan w:val="10"/>
            <w:tcBorders>
              <w:top w:val="single" w:sz="4" w:space="0" w:color="auto"/>
              <w:left w:val="nil"/>
              <w:bottom w:val="single" w:sz="4" w:space="0" w:color="auto"/>
              <w:right w:val="single" w:sz="4" w:space="0" w:color="auto"/>
            </w:tcBorders>
            <w:noWrap/>
            <w:vAlign w:val="center"/>
          </w:tcPr>
          <w:p w:rsidR="003B2E60" w:rsidRDefault="00C21F14">
            <w:pPr>
              <w:widowControl/>
              <w:spacing w:line="240" w:lineRule="exact"/>
              <w:jc w:val="center"/>
              <w:rPr>
                <w:rFonts w:ascii="仿宋_GB2312" w:eastAsia="仿宋_GB2312" w:hAnsi="宋体" w:cs="宋体"/>
                <w:kern w:val="0"/>
                <w:szCs w:val="21"/>
              </w:rPr>
            </w:pPr>
            <w:r w:rsidRPr="00C21F14">
              <w:rPr>
                <w:rFonts w:ascii="仿宋_GB2312" w:eastAsia="仿宋_GB2312" w:hAnsi="宋体" w:cs="宋体" w:hint="eastAsia"/>
                <w:kern w:val="0"/>
                <w:szCs w:val="21"/>
              </w:rPr>
              <w:t>协议采购专项业务</w:t>
            </w:r>
          </w:p>
        </w:tc>
      </w:tr>
      <w:tr w:rsidR="003B2E60" w:rsidTr="00587FE2">
        <w:trPr>
          <w:trHeight w:hRule="exact" w:val="306"/>
          <w:jc w:val="center"/>
        </w:trPr>
        <w:tc>
          <w:tcPr>
            <w:tcW w:w="2005" w:type="dxa"/>
            <w:gridSpan w:val="2"/>
            <w:tcBorders>
              <w:top w:val="single" w:sz="4" w:space="0" w:color="auto"/>
              <w:left w:val="single" w:sz="4" w:space="0" w:color="auto"/>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693" w:type="dxa"/>
            <w:gridSpan w:val="4"/>
            <w:tcBorders>
              <w:top w:val="single" w:sz="4" w:space="0" w:color="auto"/>
              <w:left w:val="nil"/>
              <w:bottom w:val="single" w:sz="4" w:space="0" w:color="auto"/>
              <w:right w:val="single" w:sz="4" w:space="0" w:color="auto"/>
            </w:tcBorders>
            <w:noWrap/>
            <w:vAlign w:val="center"/>
          </w:tcPr>
          <w:p w:rsidR="003B2E60" w:rsidRDefault="00AE28C7">
            <w:pPr>
              <w:widowControl/>
              <w:spacing w:line="240" w:lineRule="exact"/>
              <w:jc w:val="center"/>
              <w:rPr>
                <w:rFonts w:ascii="仿宋_GB2312" w:eastAsia="仿宋_GB2312" w:hAnsi="宋体" w:cs="宋体"/>
                <w:kern w:val="0"/>
                <w:szCs w:val="21"/>
              </w:rPr>
            </w:pPr>
            <w:r w:rsidRPr="00AE28C7">
              <w:rPr>
                <w:rFonts w:ascii="仿宋_GB2312" w:eastAsia="仿宋_GB2312" w:hAnsi="宋体" w:cs="宋体" w:hint="eastAsia"/>
                <w:kern w:val="0"/>
                <w:szCs w:val="21"/>
              </w:rPr>
              <w:t>北京市政府采购中心</w:t>
            </w:r>
          </w:p>
        </w:tc>
        <w:tc>
          <w:tcPr>
            <w:tcW w:w="1417"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07" w:type="dxa"/>
            <w:gridSpan w:val="5"/>
            <w:tcBorders>
              <w:top w:val="single" w:sz="4" w:space="0" w:color="auto"/>
              <w:left w:val="nil"/>
              <w:bottom w:val="single" w:sz="4" w:space="0" w:color="auto"/>
              <w:right w:val="single" w:sz="4" w:space="0" w:color="auto"/>
            </w:tcBorders>
            <w:noWrap/>
            <w:vAlign w:val="center"/>
          </w:tcPr>
          <w:p w:rsidR="003B2E60" w:rsidRDefault="00AE28C7">
            <w:pPr>
              <w:widowControl/>
              <w:spacing w:line="240" w:lineRule="exact"/>
              <w:jc w:val="center"/>
              <w:rPr>
                <w:rFonts w:ascii="仿宋_GB2312" w:eastAsia="仿宋_GB2312" w:hAnsi="宋体" w:cs="宋体"/>
                <w:kern w:val="0"/>
                <w:szCs w:val="21"/>
              </w:rPr>
            </w:pPr>
            <w:r w:rsidRPr="00AE28C7">
              <w:rPr>
                <w:rFonts w:ascii="仿宋_GB2312" w:eastAsia="仿宋_GB2312" w:hAnsi="宋体" w:cs="宋体" w:hint="eastAsia"/>
                <w:kern w:val="0"/>
                <w:szCs w:val="21"/>
              </w:rPr>
              <w:t>北京市政府采购中心</w:t>
            </w:r>
          </w:p>
        </w:tc>
      </w:tr>
      <w:tr w:rsidR="003B2E60" w:rsidTr="00587FE2">
        <w:trPr>
          <w:trHeight w:hRule="exact" w:val="306"/>
          <w:jc w:val="center"/>
        </w:trPr>
        <w:tc>
          <w:tcPr>
            <w:tcW w:w="2005" w:type="dxa"/>
            <w:gridSpan w:val="2"/>
            <w:tcBorders>
              <w:top w:val="single" w:sz="4" w:space="0" w:color="auto"/>
              <w:left w:val="single" w:sz="4" w:space="0" w:color="auto"/>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693" w:type="dxa"/>
            <w:gridSpan w:val="4"/>
            <w:tcBorders>
              <w:top w:val="single" w:sz="4" w:space="0" w:color="auto"/>
              <w:left w:val="nil"/>
              <w:bottom w:val="single" w:sz="4" w:space="0" w:color="auto"/>
              <w:right w:val="single" w:sz="4" w:space="0" w:color="auto"/>
            </w:tcBorders>
            <w:noWrap/>
            <w:vAlign w:val="center"/>
          </w:tcPr>
          <w:p w:rsidR="003B2E60" w:rsidRDefault="00C21F14">
            <w:pPr>
              <w:widowControl/>
              <w:spacing w:line="240" w:lineRule="exact"/>
              <w:jc w:val="center"/>
              <w:rPr>
                <w:rFonts w:ascii="仿宋_GB2312" w:eastAsia="仿宋_GB2312" w:hAnsi="宋体" w:cs="宋体"/>
                <w:kern w:val="0"/>
                <w:szCs w:val="21"/>
              </w:rPr>
            </w:pPr>
            <w:r w:rsidRPr="00C21F14">
              <w:rPr>
                <w:rFonts w:ascii="仿宋_GB2312" w:eastAsia="仿宋_GB2312" w:hAnsi="宋体" w:cs="宋体" w:hint="eastAsia"/>
                <w:kern w:val="0"/>
                <w:szCs w:val="21"/>
              </w:rPr>
              <w:t>顾衡 王雁忠</w:t>
            </w:r>
          </w:p>
        </w:tc>
        <w:tc>
          <w:tcPr>
            <w:tcW w:w="1417"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07" w:type="dxa"/>
            <w:gridSpan w:val="5"/>
            <w:tcBorders>
              <w:top w:val="single" w:sz="4" w:space="0" w:color="auto"/>
              <w:left w:val="nil"/>
              <w:bottom w:val="single" w:sz="4" w:space="0" w:color="auto"/>
              <w:right w:val="single" w:sz="4" w:space="0" w:color="auto"/>
            </w:tcBorders>
            <w:noWrap/>
            <w:vAlign w:val="center"/>
          </w:tcPr>
          <w:p w:rsidR="003B2E60" w:rsidRDefault="00C21F14">
            <w:pPr>
              <w:widowControl/>
              <w:spacing w:line="240" w:lineRule="exact"/>
              <w:jc w:val="center"/>
              <w:rPr>
                <w:rFonts w:ascii="仿宋_GB2312" w:eastAsia="仿宋_GB2312" w:hAnsi="宋体" w:cs="宋体"/>
                <w:kern w:val="0"/>
                <w:szCs w:val="21"/>
              </w:rPr>
            </w:pPr>
            <w:r w:rsidRPr="00C21F14">
              <w:rPr>
                <w:rFonts w:ascii="仿宋_GB2312" w:eastAsia="仿宋_GB2312" w:hAnsi="宋体" w:cs="宋体" w:hint="eastAsia"/>
                <w:kern w:val="0"/>
                <w:szCs w:val="21"/>
              </w:rPr>
              <w:t>83916681、83916691</w:t>
            </w:r>
          </w:p>
        </w:tc>
      </w:tr>
      <w:tr w:rsidR="003B2E60" w:rsidTr="0014002E">
        <w:trPr>
          <w:trHeight w:hRule="exact" w:val="567"/>
          <w:jc w:val="center"/>
        </w:trPr>
        <w:tc>
          <w:tcPr>
            <w:tcW w:w="2005" w:type="dxa"/>
            <w:gridSpan w:val="2"/>
            <w:vMerge w:val="restart"/>
            <w:tcBorders>
              <w:top w:val="single" w:sz="4" w:space="0" w:color="auto"/>
              <w:left w:val="single" w:sz="4" w:space="0" w:color="auto"/>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985" w:type="dxa"/>
            <w:gridSpan w:val="2"/>
            <w:tcBorders>
              <w:top w:val="single" w:sz="4" w:space="0" w:color="auto"/>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126"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582"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417"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993" w:type="dxa"/>
            <w:gridSpan w:val="2"/>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gridSpan w:val="2"/>
            <w:tcBorders>
              <w:top w:val="single" w:sz="4" w:space="0" w:color="auto"/>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564"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3B2E60" w:rsidTr="0014002E">
        <w:trPr>
          <w:trHeight w:hRule="exact" w:val="306"/>
          <w:jc w:val="center"/>
        </w:trPr>
        <w:tc>
          <w:tcPr>
            <w:tcW w:w="2005" w:type="dxa"/>
            <w:gridSpan w:val="2"/>
            <w:vMerge/>
            <w:tcBorders>
              <w:top w:val="single" w:sz="4" w:space="0" w:color="auto"/>
              <w:left w:val="single" w:sz="4" w:space="0" w:color="auto"/>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985" w:type="dxa"/>
            <w:gridSpan w:val="2"/>
            <w:tcBorders>
              <w:top w:val="single" w:sz="4" w:space="0" w:color="auto"/>
              <w:left w:val="nil"/>
              <w:bottom w:val="single" w:sz="4" w:space="0" w:color="auto"/>
              <w:right w:val="single" w:sz="4" w:space="0" w:color="auto"/>
            </w:tcBorders>
            <w:noWrap/>
            <w:vAlign w:val="center"/>
          </w:tcPr>
          <w:p w:rsidR="003B2E60" w:rsidRDefault="00392D09">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6" w:type="dxa"/>
            <w:tcBorders>
              <w:top w:val="nil"/>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44</w:t>
            </w:r>
          </w:p>
        </w:tc>
        <w:tc>
          <w:tcPr>
            <w:tcW w:w="582" w:type="dxa"/>
            <w:tcBorders>
              <w:top w:val="nil"/>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44</w:t>
            </w:r>
          </w:p>
        </w:tc>
        <w:tc>
          <w:tcPr>
            <w:tcW w:w="1417" w:type="dxa"/>
            <w:tcBorders>
              <w:top w:val="nil"/>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18.85</w:t>
            </w:r>
          </w:p>
        </w:tc>
        <w:tc>
          <w:tcPr>
            <w:tcW w:w="993" w:type="dxa"/>
            <w:gridSpan w:val="2"/>
            <w:tcBorders>
              <w:top w:val="nil"/>
              <w:left w:val="nil"/>
              <w:bottom w:val="single" w:sz="4" w:space="0" w:color="auto"/>
              <w:right w:val="single" w:sz="4" w:space="0" w:color="auto"/>
            </w:tcBorders>
            <w:noWrap/>
            <w:vAlign w:val="center"/>
          </w:tcPr>
          <w:p w:rsidR="003B2E60" w:rsidRDefault="00392D09"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gridSpan w:val="2"/>
            <w:tcBorders>
              <w:top w:val="single" w:sz="4" w:space="0" w:color="auto"/>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42.84</w:t>
            </w:r>
          </w:p>
        </w:tc>
        <w:tc>
          <w:tcPr>
            <w:tcW w:w="564" w:type="dxa"/>
            <w:tcBorders>
              <w:top w:val="nil"/>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r>
      <w:tr w:rsidR="003B2E60" w:rsidTr="0014002E">
        <w:trPr>
          <w:trHeight w:hRule="exact" w:val="601"/>
          <w:jc w:val="center"/>
        </w:trPr>
        <w:tc>
          <w:tcPr>
            <w:tcW w:w="2005" w:type="dxa"/>
            <w:gridSpan w:val="2"/>
            <w:vMerge/>
            <w:tcBorders>
              <w:top w:val="single" w:sz="4" w:space="0" w:color="auto"/>
              <w:left w:val="single" w:sz="4" w:space="0" w:color="auto"/>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985" w:type="dxa"/>
            <w:gridSpan w:val="2"/>
            <w:tcBorders>
              <w:top w:val="single" w:sz="4" w:space="0" w:color="auto"/>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6" w:type="dxa"/>
            <w:tcBorders>
              <w:top w:val="nil"/>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44</w:t>
            </w:r>
          </w:p>
        </w:tc>
        <w:tc>
          <w:tcPr>
            <w:tcW w:w="582" w:type="dxa"/>
            <w:tcBorders>
              <w:top w:val="nil"/>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44</w:t>
            </w:r>
          </w:p>
        </w:tc>
        <w:tc>
          <w:tcPr>
            <w:tcW w:w="1417" w:type="dxa"/>
            <w:tcBorders>
              <w:top w:val="nil"/>
              <w:left w:val="nil"/>
              <w:bottom w:val="single" w:sz="4" w:space="0" w:color="auto"/>
              <w:right w:val="single" w:sz="4" w:space="0" w:color="auto"/>
            </w:tcBorders>
            <w:noWrap/>
            <w:vAlign w:val="center"/>
          </w:tcPr>
          <w:p w:rsidR="003B2E60" w:rsidRDefault="00C21F14" w:rsidP="00AE28C7">
            <w:pPr>
              <w:jc w:val="center"/>
              <w:rPr>
                <w:rFonts w:ascii="仿宋_GB2312" w:eastAsia="仿宋_GB2312" w:hAnsi="宋体" w:cs="宋体"/>
                <w:kern w:val="0"/>
                <w:szCs w:val="21"/>
              </w:rPr>
            </w:pPr>
            <w:r>
              <w:rPr>
                <w:rFonts w:ascii="仿宋_GB2312" w:eastAsia="仿宋_GB2312" w:hAnsi="宋体" w:cs="宋体" w:hint="eastAsia"/>
                <w:kern w:val="0"/>
                <w:szCs w:val="21"/>
              </w:rPr>
              <w:t>18.85</w:t>
            </w:r>
          </w:p>
        </w:tc>
        <w:tc>
          <w:tcPr>
            <w:tcW w:w="993" w:type="dxa"/>
            <w:gridSpan w:val="2"/>
            <w:tcBorders>
              <w:top w:val="nil"/>
              <w:left w:val="nil"/>
              <w:bottom w:val="single" w:sz="4" w:space="0" w:color="auto"/>
              <w:right w:val="single" w:sz="4" w:space="0" w:color="auto"/>
            </w:tcBorders>
            <w:noWrap/>
            <w:vAlign w:val="center"/>
          </w:tcPr>
          <w:p w:rsidR="003B2E60" w:rsidRDefault="00392D09"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noWrap/>
            <w:vAlign w:val="center"/>
          </w:tcPr>
          <w:p w:rsidR="003B2E60" w:rsidRDefault="00C21F14"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42.84</w:t>
            </w:r>
          </w:p>
        </w:tc>
        <w:tc>
          <w:tcPr>
            <w:tcW w:w="564" w:type="dxa"/>
            <w:tcBorders>
              <w:top w:val="nil"/>
              <w:left w:val="nil"/>
              <w:bottom w:val="single" w:sz="4" w:space="0" w:color="auto"/>
              <w:right w:val="single" w:sz="4" w:space="0" w:color="auto"/>
            </w:tcBorders>
            <w:noWrap/>
            <w:vAlign w:val="center"/>
          </w:tcPr>
          <w:p w:rsidR="003B2E60" w:rsidRDefault="00392D09" w:rsidP="00AE28C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B2E60" w:rsidTr="0014002E">
        <w:trPr>
          <w:trHeight w:hRule="exact" w:val="567"/>
          <w:jc w:val="center"/>
        </w:trPr>
        <w:tc>
          <w:tcPr>
            <w:tcW w:w="2005" w:type="dxa"/>
            <w:gridSpan w:val="2"/>
            <w:vMerge/>
            <w:tcBorders>
              <w:top w:val="single" w:sz="4" w:space="0" w:color="auto"/>
              <w:left w:val="single" w:sz="4" w:space="0" w:color="auto"/>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985" w:type="dxa"/>
            <w:gridSpan w:val="2"/>
            <w:tcBorders>
              <w:top w:val="single" w:sz="4" w:space="0" w:color="auto"/>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6" w:type="dxa"/>
            <w:tcBorders>
              <w:top w:val="nil"/>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582" w:type="dxa"/>
            <w:tcBorders>
              <w:top w:val="nil"/>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993" w:type="dxa"/>
            <w:gridSpan w:val="2"/>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564"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B2E60" w:rsidTr="0014002E">
        <w:trPr>
          <w:trHeight w:hRule="exact" w:val="306"/>
          <w:jc w:val="center"/>
        </w:trPr>
        <w:tc>
          <w:tcPr>
            <w:tcW w:w="2005" w:type="dxa"/>
            <w:gridSpan w:val="2"/>
            <w:vMerge/>
            <w:tcBorders>
              <w:top w:val="single" w:sz="4" w:space="0" w:color="auto"/>
              <w:left w:val="single" w:sz="4" w:space="0" w:color="auto"/>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985" w:type="dxa"/>
            <w:gridSpan w:val="2"/>
            <w:tcBorders>
              <w:top w:val="single" w:sz="4" w:space="0" w:color="auto"/>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6" w:type="dxa"/>
            <w:tcBorders>
              <w:top w:val="nil"/>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582" w:type="dxa"/>
            <w:tcBorders>
              <w:top w:val="nil"/>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1417" w:type="dxa"/>
            <w:tcBorders>
              <w:top w:val="nil"/>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993" w:type="dxa"/>
            <w:gridSpan w:val="2"/>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564" w:type="dxa"/>
            <w:tcBorders>
              <w:top w:val="nil"/>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B2E60" w:rsidTr="00587FE2">
        <w:trPr>
          <w:trHeight w:hRule="exact" w:val="423"/>
          <w:jc w:val="center"/>
        </w:trPr>
        <w:tc>
          <w:tcPr>
            <w:tcW w:w="798" w:type="dxa"/>
            <w:vMerge w:val="restart"/>
            <w:tcBorders>
              <w:top w:val="nil"/>
              <w:left w:val="single" w:sz="4" w:space="0" w:color="auto"/>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900" w:type="dxa"/>
            <w:gridSpan w:val="5"/>
            <w:tcBorders>
              <w:top w:val="single" w:sz="4" w:space="0" w:color="auto"/>
              <w:left w:val="nil"/>
              <w:bottom w:val="single" w:sz="4" w:space="0" w:color="auto"/>
              <w:right w:val="single" w:sz="4" w:space="0" w:color="auto"/>
            </w:tcBorders>
            <w:noWrap/>
            <w:vAlign w:val="center"/>
          </w:tcPr>
          <w:p w:rsidR="003B2E60" w:rsidRDefault="00392D0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824" w:type="dxa"/>
            <w:gridSpan w:val="6"/>
            <w:tcBorders>
              <w:top w:val="single" w:sz="4" w:space="0" w:color="auto"/>
              <w:left w:val="nil"/>
              <w:bottom w:val="single" w:sz="4" w:space="0" w:color="auto"/>
              <w:right w:val="single" w:sz="4" w:space="0" w:color="auto"/>
            </w:tcBorders>
            <w:noWrap/>
            <w:vAlign w:val="center"/>
          </w:tcPr>
          <w:p w:rsidR="003B2E60" w:rsidRPr="0014002E" w:rsidRDefault="00392D09">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实际完成情况</w:t>
            </w:r>
          </w:p>
        </w:tc>
      </w:tr>
      <w:tr w:rsidR="003B2E60" w:rsidTr="0014002E">
        <w:trPr>
          <w:trHeight w:hRule="exact" w:val="7088"/>
          <w:jc w:val="center"/>
        </w:trPr>
        <w:tc>
          <w:tcPr>
            <w:tcW w:w="798" w:type="dxa"/>
            <w:vMerge/>
            <w:tcBorders>
              <w:top w:val="nil"/>
              <w:left w:val="single" w:sz="4" w:space="0" w:color="auto"/>
              <w:bottom w:val="single" w:sz="4" w:space="0" w:color="auto"/>
              <w:right w:val="single" w:sz="4" w:space="0" w:color="auto"/>
            </w:tcBorders>
            <w:noWrap/>
            <w:vAlign w:val="center"/>
          </w:tcPr>
          <w:p w:rsidR="003B2E60" w:rsidRDefault="003B2E60">
            <w:pPr>
              <w:widowControl/>
              <w:spacing w:line="240" w:lineRule="exact"/>
              <w:jc w:val="center"/>
              <w:rPr>
                <w:rFonts w:ascii="仿宋_GB2312" w:eastAsia="仿宋_GB2312" w:hAnsi="宋体" w:cs="宋体"/>
                <w:kern w:val="0"/>
                <w:szCs w:val="21"/>
              </w:rPr>
            </w:pPr>
          </w:p>
        </w:tc>
        <w:tc>
          <w:tcPr>
            <w:tcW w:w="4900" w:type="dxa"/>
            <w:gridSpan w:val="5"/>
            <w:tcBorders>
              <w:top w:val="single" w:sz="4" w:space="0" w:color="auto"/>
              <w:left w:val="nil"/>
              <w:bottom w:val="single" w:sz="4" w:space="0" w:color="auto"/>
              <w:right w:val="single" w:sz="4" w:space="0" w:color="auto"/>
            </w:tcBorders>
            <w:noWrap/>
            <w:vAlign w:val="center"/>
          </w:tcPr>
          <w:p w:rsidR="00FB78D6" w:rsidRPr="00FB78D6" w:rsidRDefault="00FB78D6" w:rsidP="00FB78D6">
            <w:pPr>
              <w:widowControl/>
              <w:spacing w:line="240" w:lineRule="exact"/>
              <w:rPr>
                <w:rFonts w:ascii="仿宋_GB2312" w:eastAsia="仿宋_GB2312" w:hAnsi="宋体" w:cs="宋体"/>
                <w:kern w:val="0"/>
                <w:szCs w:val="21"/>
              </w:rPr>
            </w:pPr>
            <w:r w:rsidRPr="00FB78D6">
              <w:rPr>
                <w:rFonts w:ascii="仿宋_GB2312" w:eastAsia="仿宋_GB2312" w:hAnsi="宋体" w:cs="宋体" w:hint="eastAsia"/>
                <w:kern w:val="0"/>
                <w:szCs w:val="21"/>
              </w:rPr>
              <w:t>1、落实深化政府采购制度改革各项举措，发挥政府采购政策引领和示范作用，进一步优化政府采购营商环境，深化“放管服”改革，不断创新思路，做好新形势下协议采购招标及标后管理各项工作，形成特色入围模式，构建以日常管理、标后复核、专项检查为核心的标后动态管理长效机制；采取多种方式有效解决协议采购价格、服务、质量等问题，完善价格动态监控机制，不断提高中心“三服务”水平。</w:t>
            </w:r>
          </w:p>
          <w:p w:rsidR="003B2E60" w:rsidRDefault="00FB78D6" w:rsidP="00FB78D6">
            <w:pPr>
              <w:widowControl/>
              <w:spacing w:line="240" w:lineRule="exact"/>
              <w:rPr>
                <w:rFonts w:ascii="仿宋_GB2312" w:eastAsia="仿宋_GB2312" w:hAnsi="宋体" w:cs="宋体"/>
                <w:kern w:val="0"/>
                <w:szCs w:val="21"/>
              </w:rPr>
            </w:pPr>
            <w:r w:rsidRPr="00FB78D6">
              <w:rPr>
                <w:rFonts w:ascii="仿宋_GB2312" w:eastAsia="仿宋_GB2312" w:hAnsi="宋体" w:cs="宋体" w:hint="eastAsia"/>
                <w:kern w:val="0"/>
                <w:szCs w:val="21"/>
              </w:rPr>
              <w:t>2、围绕“三服务”理念，积极开展协议采购执行情况的监督管理工作，实现招标方案设计合理；入围供应商满足全市预算单位使用需求，并以合理价格提供最优质服务；为财政部门提供预算单位采购数据；营造公平、和谐的政府采购氛围，达到为采购人、供应商和财政管理服务的目标。</w:t>
            </w:r>
          </w:p>
        </w:tc>
        <w:tc>
          <w:tcPr>
            <w:tcW w:w="3824" w:type="dxa"/>
            <w:gridSpan w:val="6"/>
            <w:tcBorders>
              <w:top w:val="single" w:sz="4" w:space="0" w:color="auto"/>
              <w:left w:val="nil"/>
              <w:bottom w:val="single" w:sz="4" w:space="0" w:color="auto"/>
              <w:right w:val="single" w:sz="4" w:space="0" w:color="auto"/>
            </w:tcBorders>
            <w:noWrap/>
          </w:tcPr>
          <w:p w:rsidR="00995542" w:rsidRPr="0014002E" w:rsidRDefault="00995542" w:rsidP="007248A6">
            <w:pPr>
              <w:widowControl/>
              <w:spacing w:line="240" w:lineRule="exact"/>
              <w:rPr>
                <w:rFonts w:ascii="仿宋_GB2312" w:eastAsia="仿宋_GB2312" w:hAnsi="宋体" w:cs="宋体"/>
                <w:kern w:val="0"/>
                <w:szCs w:val="21"/>
              </w:rPr>
            </w:pPr>
            <w:r w:rsidRPr="0014002E">
              <w:rPr>
                <w:rFonts w:ascii="仿宋_GB2312" w:eastAsia="仿宋_GB2312" w:hAnsi="宋体" w:cs="宋体" w:hint="eastAsia"/>
                <w:kern w:val="0"/>
                <w:szCs w:val="21"/>
              </w:rPr>
              <w:t>1</w:t>
            </w:r>
            <w:r w:rsidR="00AC4BC7" w:rsidRPr="0014002E">
              <w:rPr>
                <w:rFonts w:ascii="仿宋_GB2312" w:eastAsia="仿宋_GB2312" w:hAnsi="宋体" w:cs="宋体" w:hint="eastAsia"/>
                <w:kern w:val="0"/>
                <w:szCs w:val="21"/>
              </w:rPr>
              <w:t>、</w:t>
            </w:r>
            <w:r w:rsidR="007248A6" w:rsidRPr="0014002E">
              <w:rPr>
                <w:rFonts w:ascii="仿宋_GB2312" w:eastAsia="仿宋_GB2312" w:hAnsi="宋体" w:cs="宋体" w:hint="eastAsia"/>
                <w:kern w:val="0"/>
                <w:szCs w:val="21"/>
              </w:rPr>
              <w:t>按期完成会议定点项目</w:t>
            </w:r>
            <w:r w:rsidR="00EA401B" w:rsidRPr="0014002E">
              <w:rPr>
                <w:rFonts w:ascii="仿宋_GB2312" w:eastAsia="仿宋_GB2312" w:hAnsi="宋体" w:cs="宋体" w:hint="eastAsia"/>
                <w:kern w:val="0"/>
                <w:szCs w:val="21"/>
              </w:rPr>
              <w:t>续约及</w:t>
            </w:r>
            <w:r w:rsidR="00BE2CE5" w:rsidRPr="0014002E">
              <w:rPr>
                <w:rFonts w:ascii="仿宋_GB2312" w:eastAsia="仿宋_GB2312" w:hAnsi="宋体" w:cs="宋体" w:hint="eastAsia"/>
                <w:kern w:val="0"/>
                <w:szCs w:val="21"/>
              </w:rPr>
              <w:t>补招</w:t>
            </w:r>
            <w:r w:rsidR="007248A6" w:rsidRPr="0014002E">
              <w:rPr>
                <w:rFonts w:ascii="仿宋_GB2312" w:eastAsia="仿宋_GB2312" w:hAnsi="宋体" w:cs="宋体" w:hint="eastAsia"/>
                <w:kern w:val="0"/>
                <w:szCs w:val="21"/>
              </w:rPr>
              <w:t>，</w:t>
            </w:r>
            <w:r w:rsidR="003C196C" w:rsidRPr="0014002E">
              <w:rPr>
                <w:rFonts w:ascii="仿宋_GB2312" w:eastAsia="仿宋_GB2312" w:hAnsi="宋体" w:cs="宋体" w:hint="eastAsia"/>
                <w:kern w:val="0"/>
                <w:szCs w:val="21"/>
              </w:rPr>
              <w:t>工作，续约及补招新一期会议定点单位合计472家；完成</w:t>
            </w:r>
            <w:r w:rsidR="002438D1" w:rsidRPr="0014002E">
              <w:rPr>
                <w:rFonts w:ascii="仿宋_GB2312" w:eastAsia="仿宋_GB2312" w:hAnsi="宋体" w:cs="宋体" w:hint="eastAsia"/>
                <w:kern w:val="0"/>
                <w:szCs w:val="21"/>
              </w:rPr>
              <w:t>门头沟</w:t>
            </w:r>
            <w:r w:rsidR="007248A6" w:rsidRPr="0014002E">
              <w:rPr>
                <w:rFonts w:ascii="仿宋_GB2312" w:eastAsia="仿宋_GB2312" w:hAnsi="宋体" w:cs="宋体" w:hint="eastAsia"/>
                <w:kern w:val="0"/>
                <w:szCs w:val="21"/>
              </w:rPr>
              <w:t>民宿征集和标后复核</w:t>
            </w:r>
            <w:r w:rsidR="002677C0" w:rsidRPr="0014002E">
              <w:rPr>
                <w:rFonts w:ascii="仿宋_GB2312" w:eastAsia="仿宋_GB2312" w:hAnsi="宋体" w:cs="宋体" w:hint="eastAsia"/>
                <w:kern w:val="0"/>
                <w:szCs w:val="21"/>
              </w:rPr>
              <w:t>和专项检查</w:t>
            </w:r>
            <w:r w:rsidR="007248A6" w:rsidRPr="0014002E">
              <w:rPr>
                <w:rFonts w:ascii="仿宋_GB2312" w:eastAsia="仿宋_GB2312" w:hAnsi="宋体" w:cs="宋体" w:hint="eastAsia"/>
                <w:kern w:val="0"/>
                <w:szCs w:val="21"/>
              </w:rPr>
              <w:t>工作，</w:t>
            </w:r>
            <w:r w:rsidR="005618C7" w:rsidRPr="0014002E">
              <w:rPr>
                <w:rFonts w:ascii="仿宋_GB2312" w:eastAsia="仿宋_GB2312" w:hAnsi="宋体" w:cs="宋体" w:hint="eastAsia"/>
                <w:kern w:val="0"/>
                <w:szCs w:val="21"/>
              </w:rPr>
              <w:t>入围民宿共计11家；</w:t>
            </w:r>
            <w:r w:rsidR="007248A6" w:rsidRPr="0014002E">
              <w:rPr>
                <w:rFonts w:ascii="仿宋_GB2312" w:eastAsia="仿宋_GB2312" w:hAnsi="宋体" w:cs="宋体" w:hint="eastAsia"/>
                <w:kern w:val="0"/>
                <w:szCs w:val="21"/>
              </w:rPr>
              <w:t>完成办公设备项目供应商入库工作，入库</w:t>
            </w:r>
            <w:r w:rsidR="00D35B9A" w:rsidRPr="0014002E">
              <w:rPr>
                <w:rFonts w:ascii="仿宋_GB2312" w:eastAsia="仿宋_GB2312" w:hAnsi="宋体" w:cs="宋体" w:hint="eastAsia"/>
                <w:kern w:val="0"/>
                <w:szCs w:val="21"/>
              </w:rPr>
              <w:t>供应商</w:t>
            </w:r>
            <w:r w:rsidR="007248A6" w:rsidRPr="0014002E">
              <w:rPr>
                <w:rFonts w:ascii="仿宋_GB2312" w:eastAsia="仿宋_GB2312" w:hAnsi="宋体" w:cs="宋体" w:hint="eastAsia"/>
                <w:kern w:val="0"/>
                <w:szCs w:val="21"/>
              </w:rPr>
              <w:t>1000余家</w:t>
            </w:r>
            <w:r w:rsidR="00F00EAC" w:rsidRPr="0014002E">
              <w:rPr>
                <w:rFonts w:ascii="仿宋_GB2312" w:eastAsia="仿宋_GB2312" w:hAnsi="宋体" w:cs="宋体" w:hint="eastAsia"/>
                <w:kern w:val="0"/>
                <w:szCs w:val="21"/>
              </w:rPr>
              <w:t>；</w:t>
            </w:r>
            <w:r w:rsidR="00627A71" w:rsidRPr="0014002E">
              <w:rPr>
                <w:rFonts w:ascii="仿宋_GB2312" w:eastAsia="仿宋_GB2312" w:hAnsi="宋体" w:cs="宋体" w:hint="eastAsia"/>
                <w:bCs/>
                <w:kern w:val="0"/>
                <w:szCs w:val="21"/>
              </w:rPr>
              <w:t>配合市财政局做好办公设备、家具系统数据迁移工作，</w:t>
            </w:r>
            <w:r w:rsidR="00F00EAC" w:rsidRPr="0014002E">
              <w:rPr>
                <w:rFonts w:ascii="仿宋_GB2312" w:eastAsia="仿宋_GB2312" w:hAnsi="宋体" w:cs="宋体" w:hint="eastAsia"/>
                <w:bCs/>
                <w:kern w:val="0"/>
                <w:szCs w:val="21"/>
              </w:rPr>
              <w:t>充分发挥服务职能，</w:t>
            </w:r>
            <w:r w:rsidR="002677C0" w:rsidRPr="0014002E">
              <w:rPr>
                <w:rFonts w:ascii="仿宋_GB2312" w:eastAsia="仿宋_GB2312" w:hAnsi="宋体" w:cs="宋体" w:hint="eastAsia"/>
                <w:bCs/>
                <w:kern w:val="0"/>
                <w:szCs w:val="21"/>
              </w:rPr>
              <w:t>完善标后动态管理长效机制，</w:t>
            </w:r>
            <w:r w:rsidR="00F00EAC" w:rsidRPr="0014002E">
              <w:rPr>
                <w:rFonts w:ascii="仿宋_GB2312" w:eastAsia="仿宋_GB2312" w:hAnsi="宋体" w:cs="宋体" w:hint="eastAsia"/>
                <w:bCs/>
                <w:kern w:val="0"/>
                <w:szCs w:val="21"/>
              </w:rPr>
              <w:t>进一步</w:t>
            </w:r>
            <w:r w:rsidR="007248A6" w:rsidRPr="0014002E">
              <w:rPr>
                <w:rFonts w:ascii="仿宋_GB2312" w:eastAsia="仿宋_GB2312" w:hAnsi="宋体" w:cs="宋体" w:hint="eastAsia"/>
                <w:kern w:val="0"/>
                <w:szCs w:val="21"/>
              </w:rPr>
              <w:t>优化营商环境，提高了服务水平。</w:t>
            </w:r>
          </w:p>
          <w:p w:rsidR="003B2E60" w:rsidRPr="0014002E" w:rsidRDefault="00995542" w:rsidP="007248A6">
            <w:pPr>
              <w:widowControl/>
              <w:spacing w:line="240" w:lineRule="exact"/>
              <w:rPr>
                <w:rFonts w:ascii="仿宋_GB2312" w:eastAsia="仿宋_GB2312" w:hAnsi="宋体" w:cs="宋体"/>
                <w:kern w:val="0"/>
                <w:szCs w:val="21"/>
              </w:rPr>
            </w:pPr>
            <w:r w:rsidRPr="0014002E">
              <w:rPr>
                <w:rFonts w:ascii="仿宋_GB2312" w:eastAsia="仿宋_GB2312" w:hAnsi="宋体" w:cs="宋体" w:hint="eastAsia"/>
                <w:kern w:val="0"/>
                <w:szCs w:val="21"/>
              </w:rPr>
              <w:t>2</w:t>
            </w:r>
            <w:r w:rsidR="00AC4BC7" w:rsidRPr="0014002E">
              <w:rPr>
                <w:rFonts w:ascii="仿宋_GB2312" w:eastAsia="仿宋_GB2312" w:hAnsi="宋体" w:cs="宋体" w:hint="eastAsia"/>
                <w:kern w:val="0"/>
                <w:szCs w:val="21"/>
              </w:rPr>
              <w:t>、</w:t>
            </w:r>
            <w:r w:rsidR="0014002E" w:rsidRPr="0014002E">
              <w:rPr>
                <w:rFonts w:ascii="仿宋_GB2312" w:eastAsia="仿宋_GB2312" w:hAnsi="宋体" w:cs="宋体" w:hint="eastAsia"/>
                <w:kern w:val="0"/>
                <w:szCs w:val="21"/>
              </w:rPr>
              <w:t>按计划开展了云计算服务、车辆保险及车辆加油等项目的招标工作,车辆加油项目因行业政策调整延期。云计算服务入围20家，车辆保险服务入围8家，满足全市预算单位使用需求，且车辆保险的报价为监管部门允许的最低折扣。2021年统计采购数据情况如下：采购金额合计108,506.46万元，其中，车辆维修7,188.04万元，车辆加油6,901.52万元，车辆保险3,417.69万元，物业服务85,317.55万元，云计算服务5,681.66万元。此外，配合市机管局车管处做好定点维修信息数据对接，构建全市公务车管理平台。配合采购处先后完成云计算服务、车辆购置、车辆保险、物业服务等项目定点供应商迁移到北京市政府采购电子卖场工作。服务满意度100%。</w:t>
            </w: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p w:rsidR="002677C0" w:rsidRPr="0014002E" w:rsidRDefault="002677C0" w:rsidP="007248A6">
            <w:pPr>
              <w:widowControl/>
              <w:spacing w:line="240" w:lineRule="exact"/>
              <w:rPr>
                <w:rFonts w:ascii="仿宋_GB2312" w:eastAsia="仿宋_GB2312" w:hAnsi="宋体" w:cs="宋体"/>
                <w:kern w:val="0"/>
                <w:szCs w:val="21"/>
              </w:rPr>
            </w:pPr>
          </w:p>
        </w:tc>
      </w:tr>
      <w:tr w:rsidR="00587FE2" w:rsidTr="00095051">
        <w:trPr>
          <w:trHeight w:hRule="exact" w:val="984"/>
          <w:jc w:val="center"/>
        </w:trPr>
        <w:tc>
          <w:tcPr>
            <w:tcW w:w="798" w:type="dxa"/>
            <w:vMerge w:val="restart"/>
            <w:tcBorders>
              <w:top w:val="single" w:sz="4" w:space="0" w:color="auto"/>
              <w:left w:val="single" w:sz="4" w:space="0" w:color="auto"/>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1207" w:type="dxa"/>
            <w:tcBorders>
              <w:top w:val="single" w:sz="4" w:space="0" w:color="auto"/>
              <w:left w:val="nil"/>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356" w:type="dxa"/>
            <w:tcBorders>
              <w:top w:val="single" w:sz="4" w:space="0" w:color="auto"/>
              <w:left w:val="nil"/>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337" w:type="dxa"/>
            <w:gridSpan w:val="3"/>
            <w:tcBorders>
              <w:top w:val="single" w:sz="4" w:space="0" w:color="auto"/>
              <w:left w:val="nil"/>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587FE2" w:rsidRDefault="00587F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417" w:type="dxa"/>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实际</w:t>
            </w:r>
          </w:p>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分值</w:t>
            </w:r>
          </w:p>
        </w:tc>
        <w:tc>
          <w:tcPr>
            <w:tcW w:w="709" w:type="dxa"/>
            <w:gridSpan w:val="2"/>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得分</w:t>
            </w:r>
          </w:p>
        </w:tc>
        <w:tc>
          <w:tcPr>
            <w:tcW w:w="1131" w:type="dxa"/>
            <w:gridSpan w:val="2"/>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偏差原因分析及改进</w:t>
            </w:r>
          </w:p>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措施</w:t>
            </w:r>
          </w:p>
        </w:tc>
      </w:tr>
      <w:tr w:rsidR="00587FE2" w:rsidTr="0014002E">
        <w:trPr>
          <w:trHeight w:hRule="exact" w:val="3696"/>
          <w:jc w:val="center"/>
        </w:trPr>
        <w:tc>
          <w:tcPr>
            <w:tcW w:w="798" w:type="dxa"/>
            <w:vMerge/>
            <w:tcBorders>
              <w:top w:val="single" w:sz="4" w:space="0" w:color="auto"/>
              <w:left w:val="single" w:sz="4" w:space="0" w:color="auto"/>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p>
        </w:tc>
        <w:tc>
          <w:tcPr>
            <w:tcW w:w="1207" w:type="dxa"/>
            <w:tcBorders>
              <w:top w:val="single" w:sz="4" w:space="0" w:color="auto"/>
              <w:left w:val="single" w:sz="4" w:space="0" w:color="auto"/>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r w:rsidRPr="00CE4CFA">
              <w:rPr>
                <w:rFonts w:ascii="仿宋_GB2312" w:eastAsia="仿宋_GB2312" w:hAnsi="宋体" w:cs="宋体" w:hint="eastAsia"/>
                <w:kern w:val="0"/>
                <w:szCs w:val="21"/>
              </w:rPr>
              <w:t>机构运行保障</w:t>
            </w:r>
          </w:p>
        </w:tc>
        <w:tc>
          <w:tcPr>
            <w:tcW w:w="1356" w:type="dxa"/>
            <w:tcBorders>
              <w:top w:val="single" w:sz="4" w:space="0" w:color="auto"/>
              <w:left w:val="single" w:sz="4" w:space="0" w:color="auto"/>
              <w:bottom w:val="single" w:sz="4" w:space="0" w:color="auto"/>
              <w:right w:val="single" w:sz="4" w:space="0" w:color="auto"/>
            </w:tcBorders>
            <w:noWrap/>
            <w:vAlign w:val="center"/>
          </w:tcPr>
          <w:p w:rsidR="00587FE2" w:rsidRDefault="00587FE2">
            <w:pPr>
              <w:widowControl/>
              <w:spacing w:line="240" w:lineRule="exact"/>
              <w:jc w:val="center"/>
              <w:rPr>
                <w:rFonts w:ascii="仿宋_GB2312" w:eastAsia="仿宋_GB2312" w:hAnsi="宋体" w:cs="宋体"/>
                <w:kern w:val="0"/>
                <w:szCs w:val="21"/>
              </w:rPr>
            </w:pPr>
            <w:r w:rsidRPr="005604FB">
              <w:rPr>
                <w:rFonts w:ascii="仿宋_GB2312" w:eastAsia="仿宋_GB2312" w:hAnsi="宋体" w:cs="宋体" w:hint="eastAsia"/>
                <w:kern w:val="0"/>
                <w:szCs w:val="21"/>
              </w:rPr>
              <w:t>协议采购运行经费(一)</w:t>
            </w:r>
          </w:p>
        </w:tc>
        <w:tc>
          <w:tcPr>
            <w:tcW w:w="2337" w:type="dxa"/>
            <w:gridSpan w:val="3"/>
            <w:tcBorders>
              <w:top w:val="single" w:sz="4" w:space="0" w:color="auto"/>
              <w:left w:val="nil"/>
              <w:bottom w:val="single" w:sz="4" w:space="0" w:color="auto"/>
              <w:right w:val="single" w:sz="4" w:space="0" w:color="auto"/>
            </w:tcBorders>
            <w:noWrap/>
            <w:vAlign w:val="center"/>
          </w:tcPr>
          <w:p w:rsidR="00587FE2" w:rsidRDefault="00587FE2" w:rsidP="000E3F7B">
            <w:pPr>
              <w:widowControl/>
              <w:spacing w:line="240" w:lineRule="exact"/>
              <w:jc w:val="left"/>
              <w:rPr>
                <w:rFonts w:ascii="仿宋_GB2312" w:eastAsia="仿宋_GB2312" w:hAnsi="宋体" w:cs="宋体"/>
                <w:kern w:val="0"/>
                <w:szCs w:val="21"/>
              </w:rPr>
            </w:pPr>
            <w:r w:rsidRPr="005604FB">
              <w:rPr>
                <w:rFonts w:ascii="仿宋_GB2312" w:eastAsia="仿宋_GB2312" w:hAnsi="宋体" w:cs="宋体" w:hint="eastAsia"/>
                <w:color w:val="000000"/>
                <w:kern w:val="0"/>
                <w:szCs w:val="21"/>
              </w:rPr>
              <w:t>按期进行完成新一期协议采购项目招标及系统上线工作 ;采取多种方式有效解决价格、服务、质量等问题，逐步完善标后动态管理长效机制 ;落实政策功能，优化营商环境，不断提高“三服务”水平。</w:t>
            </w:r>
          </w:p>
        </w:tc>
        <w:tc>
          <w:tcPr>
            <w:tcW w:w="1417" w:type="dxa"/>
            <w:tcBorders>
              <w:top w:val="single" w:sz="4" w:space="0" w:color="auto"/>
              <w:left w:val="nil"/>
              <w:bottom w:val="single" w:sz="4" w:space="0" w:color="auto"/>
              <w:right w:val="single" w:sz="4" w:space="0" w:color="auto"/>
            </w:tcBorders>
            <w:noWrap/>
            <w:vAlign w:val="center"/>
          </w:tcPr>
          <w:p w:rsidR="00587FE2" w:rsidRPr="0014002E" w:rsidRDefault="00587FE2" w:rsidP="007248A6">
            <w:pPr>
              <w:widowControl/>
              <w:spacing w:line="240" w:lineRule="exact"/>
              <w:jc w:val="left"/>
              <w:rPr>
                <w:rFonts w:ascii="仿宋_GB2312" w:eastAsia="仿宋_GB2312" w:hAnsi="宋体" w:cs="宋体"/>
                <w:kern w:val="0"/>
                <w:szCs w:val="21"/>
              </w:rPr>
            </w:pPr>
            <w:r w:rsidRPr="0014002E">
              <w:rPr>
                <w:rFonts w:ascii="仿宋_GB2312" w:eastAsia="仿宋_GB2312" w:hAnsi="宋体" w:cs="宋体" w:hint="eastAsia"/>
                <w:kern w:val="0"/>
                <w:szCs w:val="21"/>
              </w:rPr>
              <w:t>按期完成会议定点项目续约及补招，门头沟民宿征集和标后复核工作，完成办公设备项目供应商入库工作，入库供应商1000余家。优化了营商环境，提高了服务水平。</w:t>
            </w:r>
          </w:p>
        </w:tc>
        <w:tc>
          <w:tcPr>
            <w:tcW w:w="567" w:type="dxa"/>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45</w:t>
            </w:r>
          </w:p>
        </w:tc>
        <w:tc>
          <w:tcPr>
            <w:tcW w:w="709" w:type="dxa"/>
            <w:gridSpan w:val="2"/>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45</w:t>
            </w:r>
          </w:p>
        </w:tc>
        <w:tc>
          <w:tcPr>
            <w:tcW w:w="1131" w:type="dxa"/>
            <w:gridSpan w:val="2"/>
            <w:tcBorders>
              <w:top w:val="single" w:sz="4" w:space="0" w:color="auto"/>
              <w:left w:val="nil"/>
              <w:bottom w:val="single" w:sz="4" w:space="0" w:color="auto"/>
              <w:right w:val="single" w:sz="4" w:space="0" w:color="auto"/>
            </w:tcBorders>
            <w:noWrap/>
            <w:vAlign w:val="center"/>
          </w:tcPr>
          <w:p w:rsidR="00587FE2" w:rsidRPr="0014002E" w:rsidRDefault="00587FE2">
            <w:pPr>
              <w:widowControl/>
              <w:spacing w:line="240" w:lineRule="exact"/>
              <w:jc w:val="center"/>
              <w:rPr>
                <w:rFonts w:ascii="仿宋_GB2312" w:eastAsia="仿宋_GB2312" w:hAnsi="宋体" w:cs="宋体"/>
                <w:kern w:val="0"/>
                <w:szCs w:val="21"/>
              </w:rPr>
            </w:pPr>
          </w:p>
        </w:tc>
      </w:tr>
      <w:tr w:rsidR="001239C5" w:rsidTr="0014002E">
        <w:trPr>
          <w:trHeight w:hRule="exact" w:val="4966"/>
          <w:jc w:val="center"/>
        </w:trPr>
        <w:tc>
          <w:tcPr>
            <w:tcW w:w="798" w:type="dxa"/>
            <w:tcBorders>
              <w:top w:val="single" w:sz="4" w:space="0" w:color="auto"/>
              <w:left w:val="single" w:sz="4" w:space="0" w:color="auto"/>
              <w:bottom w:val="single" w:sz="4" w:space="0" w:color="auto"/>
              <w:right w:val="single" w:sz="4" w:space="0" w:color="auto"/>
            </w:tcBorders>
            <w:noWrap/>
            <w:vAlign w:val="center"/>
          </w:tcPr>
          <w:p w:rsidR="001239C5" w:rsidRDefault="001239C5" w:rsidP="00587FE2">
            <w:pPr>
              <w:spacing w:line="240" w:lineRule="exact"/>
              <w:jc w:val="center"/>
              <w:rPr>
                <w:rFonts w:ascii="仿宋_GB2312" w:eastAsia="仿宋_GB2312" w:hAnsi="宋体" w:cs="宋体"/>
                <w:kern w:val="0"/>
                <w:szCs w:val="21"/>
              </w:rPr>
            </w:pPr>
          </w:p>
        </w:tc>
        <w:tc>
          <w:tcPr>
            <w:tcW w:w="1207" w:type="dxa"/>
            <w:tcBorders>
              <w:top w:val="single" w:sz="4" w:space="0" w:color="auto"/>
              <w:left w:val="single" w:sz="4" w:space="0" w:color="auto"/>
              <w:bottom w:val="single" w:sz="4" w:space="0" w:color="auto"/>
              <w:right w:val="single" w:sz="4" w:space="0" w:color="auto"/>
            </w:tcBorders>
            <w:noWrap/>
            <w:vAlign w:val="center"/>
          </w:tcPr>
          <w:p w:rsidR="001239C5" w:rsidRPr="00CE4CFA" w:rsidRDefault="001239C5" w:rsidP="00587FE2">
            <w:pPr>
              <w:spacing w:line="240" w:lineRule="exact"/>
              <w:jc w:val="center"/>
              <w:rPr>
                <w:rFonts w:ascii="仿宋_GB2312" w:eastAsia="仿宋_GB2312" w:hAnsi="宋体" w:cs="宋体"/>
                <w:kern w:val="0"/>
                <w:szCs w:val="21"/>
              </w:rPr>
            </w:pPr>
          </w:p>
        </w:tc>
        <w:tc>
          <w:tcPr>
            <w:tcW w:w="1356" w:type="dxa"/>
            <w:tcBorders>
              <w:top w:val="single" w:sz="4" w:space="0" w:color="auto"/>
              <w:left w:val="single" w:sz="4" w:space="0" w:color="auto"/>
              <w:bottom w:val="single" w:sz="4" w:space="0" w:color="auto"/>
              <w:right w:val="single" w:sz="4" w:space="0" w:color="auto"/>
            </w:tcBorders>
            <w:noWrap/>
            <w:vAlign w:val="center"/>
          </w:tcPr>
          <w:p w:rsidR="001239C5" w:rsidRPr="000E3F7B" w:rsidRDefault="005604FB" w:rsidP="000E3F7B">
            <w:pPr>
              <w:spacing w:line="240" w:lineRule="exact"/>
              <w:jc w:val="center"/>
              <w:rPr>
                <w:rFonts w:ascii="仿宋_GB2312" w:eastAsia="仿宋_GB2312" w:hAnsi="宋体" w:cs="宋体"/>
                <w:kern w:val="0"/>
                <w:szCs w:val="21"/>
              </w:rPr>
            </w:pPr>
            <w:r w:rsidRPr="005604FB">
              <w:rPr>
                <w:rFonts w:ascii="仿宋_GB2312" w:eastAsia="仿宋_GB2312" w:hAnsi="宋体" w:cs="宋体" w:hint="eastAsia"/>
                <w:kern w:val="0"/>
                <w:szCs w:val="21"/>
              </w:rPr>
              <w:t>协议采购运行经费(二)</w:t>
            </w:r>
          </w:p>
        </w:tc>
        <w:tc>
          <w:tcPr>
            <w:tcW w:w="2337" w:type="dxa"/>
            <w:gridSpan w:val="3"/>
            <w:tcBorders>
              <w:top w:val="single" w:sz="4" w:space="0" w:color="auto"/>
              <w:left w:val="nil"/>
              <w:bottom w:val="single" w:sz="4" w:space="0" w:color="auto"/>
              <w:right w:val="single" w:sz="4" w:space="0" w:color="auto"/>
            </w:tcBorders>
            <w:noWrap/>
            <w:vAlign w:val="center"/>
          </w:tcPr>
          <w:p w:rsidR="001239C5" w:rsidRPr="000E3F7B" w:rsidRDefault="005604FB" w:rsidP="000E3F7B">
            <w:pPr>
              <w:spacing w:line="240" w:lineRule="exact"/>
              <w:jc w:val="left"/>
              <w:rPr>
                <w:rFonts w:ascii="仿宋_GB2312" w:eastAsia="仿宋_GB2312" w:hAnsi="宋体" w:cs="宋体"/>
                <w:color w:val="000000"/>
                <w:kern w:val="0"/>
                <w:szCs w:val="21"/>
              </w:rPr>
            </w:pPr>
            <w:r w:rsidRPr="005604FB">
              <w:rPr>
                <w:rFonts w:ascii="仿宋_GB2312" w:eastAsia="仿宋_GB2312" w:hAnsi="宋体" w:cs="宋体" w:hint="eastAsia"/>
                <w:color w:val="000000"/>
                <w:kern w:val="0"/>
                <w:szCs w:val="21"/>
              </w:rPr>
              <w:t>严格按照预算批复内容、标准及支出进度支付相关费用，服务质量逐年提高，创造和谐的市级政府采购环境。</w:t>
            </w:r>
          </w:p>
        </w:tc>
        <w:tc>
          <w:tcPr>
            <w:tcW w:w="1417" w:type="dxa"/>
            <w:tcBorders>
              <w:top w:val="single" w:sz="4" w:space="0" w:color="auto"/>
              <w:left w:val="nil"/>
              <w:bottom w:val="single" w:sz="4" w:space="0" w:color="auto"/>
              <w:right w:val="single" w:sz="4" w:space="0" w:color="auto"/>
            </w:tcBorders>
            <w:noWrap/>
            <w:vAlign w:val="center"/>
          </w:tcPr>
          <w:p w:rsidR="001239C5" w:rsidRPr="0014002E" w:rsidRDefault="0014002E">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严格按预算批复的内容支付论证及评审专家费、印刷费及标后复核费用。</w:t>
            </w:r>
          </w:p>
        </w:tc>
        <w:tc>
          <w:tcPr>
            <w:tcW w:w="567" w:type="dxa"/>
            <w:tcBorders>
              <w:top w:val="single" w:sz="4" w:space="0" w:color="auto"/>
              <w:left w:val="nil"/>
              <w:bottom w:val="single" w:sz="4" w:space="0" w:color="auto"/>
              <w:right w:val="single" w:sz="4" w:space="0" w:color="auto"/>
            </w:tcBorders>
            <w:noWrap/>
            <w:vAlign w:val="center"/>
          </w:tcPr>
          <w:p w:rsidR="001239C5" w:rsidRPr="0014002E" w:rsidRDefault="00952729" w:rsidP="00993E10">
            <w:pPr>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45</w:t>
            </w:r>
          </w:p>
        </w:tc>
        <w:tc>
          <w:tcPr>
            <w:tcW w:w="709" w:type="dxa"/>
            <w:gridSpan w:val="2"/>
            <w:tcBorders>
              <w:top w:val="single" w:sz="4" w:space="0" w:color="auto"/>
              <w:left w:val="nil"/>
              <w:bottom w:val="single" w:sz="4" w:space="0" w:color="auto"/>
              <w:right w:val="single" w:sz="4" w:space="0" w:color="auto"/>
            </w:tcBorders>
            <w:noWrap/>
            <w:vAlign w:val="center"/>
          </w:tcPr>
          <w:p w:rsidR="001239C5" w:rsidRPr="0014002E" w:rsidRDefault="0014002E">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43</w:t>
            </w:r>
          </w:p>
        </w:tc>
        <w:tc>
          <w:tcPr>
            <w:tcW w:w="1131" w:type="dxa"/>
            <w:gridSpan w:val="2"/>
            <w:tcBorders>
              <w:top w:val="single" w:sz="4" w:space="0" w:color="auto"/>
              <w:left w:val="nil"/>
              <w:bottom w:val="single" w:sz="4" w:space="0" w:color="auto"/>
              <w:right w:val="single" w:sz="4" w:space="0" w:color="auto"/>
            </w:tcBorders>
            <w:noWrap/>
            <w:vAlign w:val="center"/>
          </w:tcPr>
          <w:p w:rsidR="001239C5" w:rsidRPr="0014002E" w:rsidRDefault="0014002E">
            <w:pPr>
              <w:widowControl/>
              <w:spacing w:line="240" w:lineRule="exact"/>
              <w:jc w:val="center"/>
              <w:rPr>
                <w:rFonts w:ascii="仿宋_GB2312" w:eastAsia="仿宋_GB2312" w:hAnsi="宋体" w:cs="宋体"/>
                <w:kern w:val="0"/>
                <w:szCs w:val="21"/>
              </w:rPr>
            </w:pPr>
            <w:r w:rsidRPr="0014002E">
              <w:rPr>
                <w:rFonts w:ascii="仿宋_GB2312" w:eastAsia="仿宋_GB2312" w:hAnsi="宋体" w:cs="宋体" w:hint="eastAsia"/>
                <w:kern w:val="0"/>
                <w:szCs w:val="21"/>
              </w:rPr>
              <w:t>车辆加油项目由于资格预审环节发现所属行业资格审批政策发生变化，未能按既定时间开展。物业及车辆维修项目的补录工作未安排开展，因此相应的费用未发生，产生了结余。</w:t>
            </w:r>
          </w:p>
        </w:tc>
      </w:tr>
      <w:tr w:rsidR="00CE4CFA" w:rsidTr="00587FE2">
        <w:trPr>
          <w:trHeight w:hRule="exact" w:val="477"/>
          <w:jc w:val="center"/>
        </w:trPr>
        <w:tc>
          <w:tcPr>
            <w:tcW w:w="5698" w:type="dxa"/>
            <w:gridSpan w:val="6"/>
            <w:tcBorders>
              <w:top w:val="single" w:sz="4" w:space="0" w:color="auto"/>
              <w:left w:val="single" w:sz="4" w:space="0" w:color="auto"/>
              <w:bottom w:val="single" w:sz="4" w:space="0" w:color="auto"/>
              <w:right w:val="single" w:sz="4" w:space="0" w:color="auto"/>
            </w:tcBorders>
            <w:noWrap/>
            <w:vAlign w:val="center"/>
          </w:tcPr>
          <w:p w:rsidR="00CE4CFA" w:rsidRDefault="009B5A6A">
            <w:pPr>
              <w:widowControl/>
              <w:spacing w:line="240" w:lineRule="exact"/>
              <w:jc w:val="center"/>
              <w:rPr>
                <w:rFonts w:ascii="仿宋_GB2312" w:eastAsia="仿宋_GB2312" w:hAnsi="宋体" w:cs="宋体"/>
                <w:color w:val="000000"/>
                <w:kern w:val="0"/>
                <w:szCs w:val="21"/>
              </w:rPr>
            </w:pPr>
            <w:r w:rsidRPr="00B05911">
              <w:rPr>
                <w:rFonts w:ascii="仿宋_GB2312" w:eastAsia="仿宋_GB2312" w:hAnsi="宋体" w:cs="宋体" w:hint="eastAsia"/>
                <w:color w:val="000000"/>
                <w:kern w:val="0"/>
                <w:szCs w:val="21"/>
              </w:rPr>
              <w:t>总计</w:t>
            </w:r>
          </w:p>
        </w:tc>
        <w:tc>
          <w:tcPr>
            <w:tcW w:w="1417" w:type="dxa"/>
            <w:tcBorders>
              <w:top w:val="single" w:sz="4" w:space="0" w:color="auto"/>
              <w:left w:val="nil"/>
              <w:bottom w:val="single" w:sz="4" w:space="0" w:color="auto"/>
              <w:right w:val="single" w:sz="4" w:space="0" w:color="auto"/>
            </w:tcBorders>
            <w:noWrap/>
            <w:vAlign w:val="center"/>
          </w:tcPr>
          <w:p w:rsidR="00CE4CFA" w:rsidRPr="0014002E" w:rsidRDefault="009B5A6A">
            <w:pPr>
              <w:widowControl/>
              <w:spacing w:line="240" w:lineRule="exact"/>
              <w:jc w:val="center"/>
              <w:rPr>
                <w:rFonts w:ascii="仿宋_GB2312" w:eastAsia="仿宋_GB2312" w:hAnsi="宋体" w:cs="宋体"/>
                <w:color w:val="000000"/>
                <w:kern w:val="0"/>
                <w:szCs w:val="21"/>
              </w:rPr>
            </w:pPr>
            <w:r w:rsidRPr="0014002E">
              <w:rPr>
                <w:rFonts w:ascii="仿宋_GB2312" w:eastAsia="仿宋_GB2312" w:hAnsi="宋体" w:cs="宋体" w:hint="eastAsia"/>
                <w:color w:val="000000"/>
                <w:kern w:val="0"/>
                <w:szCs w:val="21"/>
              </w:rPr>
              <w:t>100</w:t>
            </w:r>
          </w:p>
        </w:tc>
        <w:tc>
          <w:tcPr>
            <w:tcW w:w="1276" w:type="dxa"/>
            <w:gridSpan w:val="3"/>
            <w:tcBorders>
              <w:top w:val="single" w:sz="4" w:space="0" w:color="auto"/>
              <w:left w:val="nil"/>
              <w:bottom w:val="single" w:sz="4" w:space="0" w:color="auto"/>
              <w:right w:val="single" w:sz="4" w:space="0" w:color="auto"/>
            </w:tcBorders>
            <w:noWrap/>
            <w:vAlign w:val="center"/>
          </w:tcPr>
          <w:p w:rsidR="00CE4CFA" w:rsidRPr="0014002E" w:rsidRDefault="0014002E" w:rsidP="000D313D">
            <w:pPr>
              <w:widowControl/>
              <w:spacing w:line="240" w:lineRule="exact"/>
              <w:jc w:val="center"/>
              <w:rPr>
                <w:rFonts w:ascii="仿宋_GB2312" w:eastAsia="仿宋_GB2312" w:hAnsi="宋体" w:cs="宋体"/>
                <w:color w:val="000000"/>
                <w:kern w:val="0"/>
                <w:szCs w:val="21"/>
              </w:rPr>
            </w:pPr>
            <w:r w:rsidRPr="0014002E">
              <w:rPr>
                <w:rFonts w:ascii="仿宋_GB2312" w:eastAsia="仿宋_GB2312" w:hAnsi="宋体" w:cs="宋体" w:hint="eastAsia"/>
                <w:color w:val="000000"/>
                <w:kern w:val="0"/>
                <w:szCs w:val="21"/>
              </w:rPr>
              <w:t>9</w:t>
            </w:r>
            <w:r w:rsidR="000D313D">
              <w:rPr>
                <w:rFonts w:ascii="仿宋_GB2312" w:eastAsia="仿宋_GB2312" w:hAnsi="宋体" w:cs="宋体" w:hint="eastAsia"/>
                <w:color w:val="000000"/>
                <w:kern w:val="0"/>
                <w:szCs w:val="21"/>
              </w:rPr>
              <w:t>2</w:t>
            </w:r>
          </w:p>
        </w:tc>
        <w:tc>
          <w:tcPr>
            <w:tcW w:w="1131" w:type="dxa"/>
            <w:gridSpan w:val="2"/>
            <w:tcBorders>
              <w:top w:val="single" w:sz="4" w:space="0" w:color="auto"/>
              <w:left w:val="nil"/>
              <w:bottom w:val="single" w:sz="4" w:space="0" w:color="auto"/>
              <w:right w:val="single" w:sz="4" w:space="0" w:color="auto"/>
            </w:tcBorders>
            <w:noWrap/>
            <w:vAlign w:val="center"/>
          </w:tcPr>
          <w:p w:rsidR="00CE4CFA" w:rsidRDefault="00CE4CFA">
            <w:pPr>
              <w:widowControl/>
              <w:spacing w:line="240" w:lineRule="exact"/>
              <w:jc w:val="center"/>
              <w:rPr>
                <w:rFonts w:ascii="仿宋_GB2312" w:eastAsia="仿宋_GB2312" w:hAnsi="宋体" w:cs="宋体"/>
                <w:kern w:val="0"/>
                <w:szCs w:val="21"/>
              </w:rPr>
            </w:pPr>
          </w:p>
        </w:tc>
      </w:tr>
    </w:tbl>
    <w:p w:rsidR="003B2E60" w:rsidRDefault="003B2E60">
      <w:pPr>
        <w:rPr>
          <w:rFonts w:ascii="仿宋_GB2312" w:eastAsia="仿宋_GB2312"/>
          <w:vanish/>
          <w:sz w:val="32"/>
          <w:szCs w:val="32"/>
        </w:rPr>
      </w:pPr>
    </w:p>
    <w:p w:rsidR="003B2E60" w:rsidRDefault="003B2E60">
      <w:pPr>
        <w:widowControl/>
        <w:jc w:val="left"/>
        <w:rPr>
          <w:rFonts w:ascii="仿宋_GB2312" w:eastAsia="仿宋_GB2312" w:hAnsi="宋体" w:cs="宋体"/>
          <w:color w:val="000000"/>
          <w:kern w:val="0"/>
          <w:sz w:val="32"/>
          <w:szCs w:val="32"/>
        </w:rPr>
      </w:pPr>
    </w:p>
    <w:p w:rsidR="003B2E60" w:rsidRDefault="00392D09">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3B2E60" w:rsidRDefault="00392D09">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3B2E60" w:rsidRDefault="00392D09">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w:t>
      </w:r>
      <w:r>
        <w:rPr>
          <w:rFonts w:ascii="仿宋_GB2312" w:eastAsia="仿宋_GB2312" w:hAnsi="宋体" w:cs="宋体" w:hint="eastAsia"/>
          <w:color w:val="000000"/>
          <w:kern w:val="0"/>
          <w:sz w:val="32"/>
          <w:szCs w:val="32"/>
        </w:rPr>
        <w:lastRenderedPageBreak/>
        <w:t>值（A）*100%。若计算结果在200%-300%（含200%）区间，则按照该指标分值的10%扣分；计算结果在300%-500%（含300%）区间，则按照该指标分值的20%扣分；计算结果高于500%（含500%），则按照该指标分值的30%扣分。</w:t>
      </w:r>
    </w:p>
    <w:p w:rsidR="003B2E60" w:rsidRDefault="00392D09">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3B2E60" w:rsidRDefault="00392D09">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sectPr w:rsidR="003B2E60" w:rsidSect="003B2E60">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311" w:rsidRDefault="00A61311" w:rsidP="003B2E60">
      <w:r>
        <w:separator/>
      </w:r>
    </w:p>
  </w:endnote>
  <w:endnote w:type="continuationSeparator" w:id="1">
    <w:p w:rsidR="00A61311" w:rsidRDefault="00A61311" w:rsidP="003B2E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E60" w:rsidRDefault="00DE4A02">
    <w:pPr>
      <w:pStyle w:val="a3"/>
      <w:jc w:val="right"/>
      <w:rPr>
        <w:rFonts w:ascii="宋体" w:hAnsi="宋体"/>
        <w:sz w:val="28"/>
        <w:szCs w:val="28"/>
      </w:rPr>
    </w:pPr>
    <w:r w:rsidRPr="00DE4A02">
      <w:rPr>
        <w:sz w:val="28"/>
      </w:rPr>
      <w:pict>
        <v:shapetype id="_x0000_t202" coordsize="21600,21600" o:spt="202" path="m,l,21600r21600,l21600,xe">
          <v:stroke joinstyle="miter"/>
          <v:path gradientshapeok="t" o:connecttype="rect"/>
        </v:shapetype>
        <v:shape id="_x0000_s1027" type="#_x0000_t202" style="position:absolute;left:0;text-align:left;margin-left:13in;margin-top:0;width:2in;height:2in;z-index:251659264;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filled="f" stroked="f" strokeweight=".5pt">
          <v:textbox style="mso-fit-shape-to-text:t" inset="0,0,0,0">
            <w:txbxContent>
              <w:p w:rsidR="003B2E60" w:rsidRDefault="00DE4A02">
                <w:pPr>
                  <w:pStyle w:val="a3"/>
                  <w:jc w:val="right"/>
                </w:pPr>
                <w:r>
                  <w:rPr>
                    <w:rFonts w:ascii="宋体" w:hAnsi="宋体"/>
                    <w:sz w:val="28"/>
                    <w:szCs w:val="28"/>
                  </w:rPr>
                  <w:fldChar w:fldCharType="begin"/>
                </w:r>
                <w:r w:rsidR="00392D09">
                  <w:rPr>
                    <w:rFonts w:ascii="宋体" w:hAnsi="宋体"/>
                    <w:sz w:val="28"/>
                    <w:szCs w:val="28"/>
                  </w:rPr>
                  <w:instrText>PAGE   \* MERGEFORMAT</w:instrText>
                </w:r>
                <w:r>
                  <w:rPr>
                    <w:rFonts w:ascii="宋体" w:hAnsi="宋体"/>
                    <w:sz w:val="28"/>
                    <w:szCs w:val="28"/>
                  </w:rPr>
                  <w:fldChar w:fldCharType="separate"/>
                </w:r>
                <w:r w:rsidR="00572996" w:rsidRPr="00572996">
                  <w:rPr>
                    <w:rFonts w:ascii="宋体" w:hAnsi="宋体"/>
                    <w:noProof/>
                    <w:sz w:val="28"/>
                    <w:szCs w:val="28"/>
                    <w:lang w:val="zh-CN"/>
                  </w:rPr>
                  <w:t>-</w:t>
                </w:r>
                <w:r w:rsidR="00572996">
                  <w:rPr>
                    <w:rFonts w:ascii="宋体" w:hAnsi="宋体"/>
                    <w:noProof/>
                    <w:sz w:val="28"/>
                    <w:szCs w:val="28"/>
                  </w:rPr>
                  <w:t xml:space="preserve"> 3 -</w:t>
                </w:r>
                <w:r>
                  <w:rPr>
                    <w:rFonts w:ascii="宋体" w:hAnsi="宋体"/>
                    <w:sz w:val="28"/>
                    <w:szCs w:val="28"/>
                  </w:rPr>
                  <w:fldChar w:fldCharType="end"/>
                </w:r>
              </w:p>
            </w:txbxContent>
          </v:textbox>
          <w10:wrap anchorx="margin"/>
        </v:shape>
      </w:pict>
    </w:r>
  </w:p>
  <w:p w:rsidR="003B2E60" w:rsidRDefault="003B2E6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311" w:rsidRDefault="00A61311" w:rsidP="003B2E60">
      <w:r>
        <w:separator/>
      </w:r>
    </w:p>
  </w:footnote>
  <w:footnote w:type="continuationSeparator" w:id="1">
    <w:p w:rsidR="00A61311" w:rsidRDefault="00A61311" w:rsidP="003B2E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77F09F4"/>
    <w:rsid w:val="CEFD3F3D"/>
    <w:rsid w:val="EA3F77F2"/>
    <w:rsid w:val="EEFE5989"/>
    <w:rsid w:val="EFCF3EAE"/>
    <w:rsid w:val="F5B764A2"/>
    <w:rsid w:val="F77F09F4"/>
    <w:rsid w:val="FFD7BFFC"/>
    <w:rsid w:val="FFFA6B0F"/>
    <w:rsid w:val="00095051"/>
    <w:rsid w:val="000A0B82"/>
    <w:rsid w:val="000B7DF9"/>
    <w:rsid w:val="000D313D"/>
    <w:rsid w:val="000E3F7B"/>
    <w:rsid w:val="001239C5"/>
    <w:rsid w:val="0014002E"/>
    <w:rsid w:val="00144078"/>
    <w:rsid w:val="001D188F"/>
    <w:rsid w:val="001E60B6"/>
    <w:rsid w:val="001F309D"/>
    <w:rsid w:val="002438D1"/>
    <w:rsid w:val="002677C0"/>
    <w:rsid w:val="00350548"/>
    <w:rsid w:val="00392D09"/>
    <w:rsid w:val="00396493"/>
    <w:rsid w:val="003B2E60"/>
    <w:rsid w:val="003B3F45"/>
    <w:rsid w:val="003C196C"/>
    <w:rsid w:val="003E28D4"/>
    <w:rsid w:val="003E55C9"/>
    <w:rsid w:val="003F0FA9"/>
    <w:rsid w:val="00467F1A"/>
    <w:rsid w:val="004A38CD"/>
    <w:rsid w:val="004E6C16"/>
    <w:rsid w:val="00520626"/>
    <w:rsid w:val="00525F67"/>
    <w:rsid w:val="0052786E"/>
    <w:rsid w:val="00550F08"/>
    <w:rsid w:val="005604FB"/>
    <w:rsid w:val="005618C7"/>
    <w:rsid w:val="00572996"/>
    <w:rsid w:val="00587FE2"/>
    <w:rsid w:val="005A15A5"/>
    <w:rsid w:val="00600487"/>
    <w:rsid w:val="00627A71"/>
    <w:rsid w:val="00647B9C"/>
    <w:rsid w:val="006F6894"/>
    <w:rsid w:val="007248A6"/>
    <w:rsid w:val="00741F12"/>
    <w:rsid w:val="008328EC"/>
    <w:rsid w:val="0083339B"/>
    <w:rsid w:val="00847850"/>
    <w:rsid w:val="00874791"/>
    <w:rsid w:val="008B6311"/>
    <w:rsid w:val="008C2CF9"/>
    <w:rsid w:val="008C6B8D"/>
    <w:rsid w:val="008E64F3"/>
    <w:rsid w:val="00937683"/>
    <w:rsid w:val="00952729"/>
    <w:rsid w:val="00964E02"/>
    <w:rsid w:val="00993E10"/>
    <w:rsid w:val="00995542"/>
    <w:rsid w:val="009B5A6A"/>
    <w:rsid w:val="00A00979"/>
    <w:rsid w:val="00A52C8E"/>
    <w:rsid w:val="00A61311"/>
    <w:rsid w:val="00AC4BC7"/>
    <w:rsid w:val="00AE28C7"/>
    <w:rsid w:val="00B05911"/>
    <w:rsid w:val="00B664EB"/>
    <w:rsid w:val="00B84504"/>
    <w:rsid w:val="00B96E1B"/>
    <w:rsid w:val="00BE2CE5"/>
    <w:rsid w:val="00BF4364"/>
    <w:rsid w:val="00C0253E"/>
    <w:rsid w:val="00C21F14"/>
    <w:rsid w:val="00CB1C45"/>
    <w:rsid w:val="00CD430C"/>
    <w:rsid w:val="00CD6C50"/>
    <w:rsid w:val="00CE4CFA"/>
    <w:rsid w:val="00CF25E1"/>
    <w:rsid w:val="00D10E57"/>
    <w:rsid w:val="00D35B9A"/>
    <w:rsid w:val="00DE4A02"/>
    <w:rsid w:val="00EA401B"/>
    <w:rsid w:val="00F00EAC"/>
    <w:rsid w:val="00FB78D6"/>
    <w:rsid w:val="00FC7B97"/>
    <w:rsid w:val="00FD1DE4"/>
    <w:rsid w:val="37173543"/>
    <w:rsid w:val="3FF76880"/>
    <w:rsid w:val="7AB7FF50"/>
    <w:rsid w:val="7BFEB0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2E60"/>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3B2E6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3B2E60"/>
    <w:pPr>
      <w:tabs>
        <w:tab w:val="center" w:pos="4153"/>
        <w:tab w:val="right" w:pos="8306"/>
      </w:tabs>
      <w:snapToGrid w:val="0"/>
      <w:jc w:val="left"/>
    </w:pPr>
    <w:rPr>
      <w:sz w:val="18"/>
      <w:szCs w:val="20"/>
    </w:rPr>
  </w:style>
  <w:style w:type="paragraph" w:styleId="a4">
    <w:name w:val="header"/>
    <w:basedOn w:val="a"/>
    <w:qFormat/>
    <w:rsid w:val="003B2E6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3B2E60"/>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w:divs>
    <w:div w:id="78107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E74A300-E9F0-4FFD-AABB-AA31B4CE32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2022-05-11T07:57:00Z</cp:lastPrinted>
  <dcterms:created xsi:type="dcterms:W3CDTF">2022-05-09T06:57:00Z</dcterms:created>
  <dcterms:modified xsi:type="dcterms:W3CDTF">2022-06-09T08:14:00Z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