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方正小标宋简体" w:eastAsia="方正小标宋简体"/>
          <w:sz w:val="36"/>
          <w:szCs w:val="36"/>
        </w:rPr>
      </w:pPr>
    </w:p>
    <w:p>
      <w:pPr>
        <w:pStyle w:val="2"/>
      </w:pPr>
    </w:p>
    <w:p>
      <w:pPr>
        <w:spacing w:line="560" w:lineRule="exact"/>
        <w:jc w:val="center"/>
        <w:rPr>
          <w:rFonts w:ascii="华文中宋" w:hAnsi="华文中宋" w:eastAsia="华文中宋"/>
          <w:sz w:val="44"/>
          <w:szCs w:val="44"/>
        </w:rPr>
      </w:pPr>
      <w:r>
        <w:rPr>
          <w:rFonts w:hint="eastAsia" w:ascii="华文中宋" w:hAnsi="华文中宋" w:eastAsia="华文中宋"/>
          <w:sz w:val="44"/>
          <w:szCs w:val="44"/>
        </w:rPr>
        <w:t>中共北京市委前线杂志社</w:t>
      </w:r>
    </w:p>
    <w:p>
      <w:pPr>
        <w:spacing w:line="560" w:lineRule="exact"/>
        <w:jc w:val="center"/>
        <w:rPr>
          <w:rFonts w:ascii="华文中宋" w:hAnsi="华文中宋" w:eastAsia="华文中宋"/>
          <w:sz w:val="44"/>
          <w:szCs w:val="44"/>
        </w:rPr>
      </w:pPr>
      <w:r>
        <w:rPr>
          <w:rFonts w:hint="eastAsia" w:ascii="华文中宋" w:hAnsi="华文中宋" w:eastAsia="华文中宋"/>
          <w:sz w:val="44"/>
          <w:szCs w:val="44"/>
        </w:rPr>
        <w:t>部门整体绩效评价报告</w:t>
      </w:r>
    </w:p>
    <w:p>
      <w:pPr>
        <w:jc w:val="center"/>
        <w:rPr>
          <w:rFonts w:ascii="仿宋_GB2312"/>
          <w:sz w:val="44"/>
          <w:szCs w:val="44"/>
        </w:rPr>
      </w:pPr>
    </w:p>
    <w:p>
      <w:pPr>
        <w:spacing w:line="300" w:lineRule="exact"/>
        <w:ind w:firstLine="480" w:firstLineChars="200"/>
        <w:rPr>
          <w:rFonts w:ascii="仿宋" w:hAnsi="仿宋" w:eastAsia="仿宋" w:cs="仿宋"/>
          <w:bCs/>
          <w:color w:val="000000"/>
          <w:sz w:val="24"/>
        </w:rPr>
      </w:pPr>
      <w:r>
        <w:rPr>
          <w:rFonts w:hint="eastAsia" w:ascii="仿宋" w:hAnsi="仿宋" w:eastAsia="仿宋" w:cs="仿宋"/>
          <w:bCs/>
          <w:color w:val="000000"/>
          <w:sz w:val="24"/>
        </w:rPr>
        <w:t>我社高度重视预算绩效管理工作，根据《</w:t>
      </w:r>
      <w:r>
        <w:rPr>
          <w:rFonts w:ascii="仿宋" w:hAnsi="仿宋" w:eastAsia="仿宋" w:cs="仿宋"/>
          <w:bCs/>
          <w:color w:val="000000"/>
          <w:sz w:val="24"/>
        </w:rPr>
        <w:t>北京市财政局关于开展2022年全面预算绩效管理工作的通知</w:t>
      </w:r>
      <w:r>
        <w:rPr>
          <w:rFonts w:hint="eastAsia" w:ascii="仿宋" w:hAnsi="仿宋" w:eastAsia="仿宋" w:cs="仿宋"/>
          <w:bCs/>
          <w:color w:val="000000"/>
          <w:sz w:val="24"/>
        </w:rPr>
        <w:t>》（京财</w:t>
      </w:r>
      <w:r>
        <w:rPr>
          <w:rFonts w:ascii="仿宋" w:hAnsi="仿宋" w:eastAsia="仿宋" w:cs="仿宋"/>
          <w:bCs/>
          <w:color w:val="000000"/>
          <w:sz w:val="24"/>
        </w:rPr>
        <w:t>绩效</w:t>
      </w:r>
      <w:r>
        <w:rPr>
          <w:rFonts w:hint="eastAsia" w:ascii="仿宋" w:hAnsi="仿宋" w:eastAsia="仿宋" w:cs="仿宋"/>
          <w:bCs/>
          <w:color w:val="000000"/>
          <w:sz w:val="24"/>
        </w:rPr>
        <w:t>〔</w:t>
      </w:r>
      <w:r>
        <w:rPr>
          <w:rFonts w:ascii="仿宋" w:hAnsi="仿宋" w:eastAsia="仿宋" w:cs="仿宋"/>
          <w:bCs/>
          <w:color w:val="000000"/>
          <w:sz w:val="24"/>
        </w:rPr>
        <w:t>2022</w:t>
      </w:r>
      <w:r>
        <w:rPr>
          <w:rFonts w:hint="eastAsia" w:ascii="仿宋" w:hAnsi="仿宋" w:eastAsia="仿宋" w:cs="仿宋"/>
          <w:bCs/>
          <w:color w:val="000000"/>
          <w:sz w:val="24"/>
        </w:rPr>
        <w:t>〕</w:t>
      </w:r>
      <w:r>
        <w:rPr>
          <w:rFonts w:ascii="仿宋" w:hAnsi="仿宋" w:eastAsia="仿宋" w:cs="仿宋"/>
          <w:bCs/>
          <w:color w:val="000000"/>
          <w:sz w:val="24"/>
        </w:rPr>
        <w:t>669</w:t>
      </w:r>
      <w:r>
        <w:rPr>
          <w:rFonts w:hint="eastAsia" w:ascii="仿宋" w:hAnsi="仿宋" w:eastAsia="仿宋" w:cs="仿宋"/>
          <w:bCs/>
          <w:color w:val="000000"/>
          <w:sz w:val="24"/>
        </w:rPr>
        <w:t>号）要求，积极开展部门整体绩效评价工作，认真分析部门整体预算执行、绩效目标实现和预算管理情况，现将有关情况报告如下：</w:t>
      </w:r>
    </w:p>
    <w:p>
      <w:pPr>
        <w:ind w:firstLine="480" w:firstLineChars="200"/>
        <w:rPr>
          <w:rFonts w:ascii="仿宋" w:hAnsi="仿宋" w:eastAsia="仿宋" w:cs="宋体"/>
          <w:color w:val="000000"/>
          <w:kern w:val="0"/>
          <w:sz w:val="24"/>
        </w:rPr>
      </w:pPr>
      <w:r>
        <w:rPr>
          <w:rFonts w:hint="eastAsia" w:ascii="仿宋" w:hAnsi="仿宋" w:eastAsia="仿宋" w:cs="Droid Sans"/>
          <w:color w:val="000000"/>
          <w:sz w:val="24"/>
          <w:lang w:val="zh-CN"/>
        </w:rPr>
        <w:t>一、部门</w:t>
      </w:r>
      <w:r>
        <w:rPr>
          <w:rFonts w:hint="eastAsia" w:ascii="仿宋" w:hAnsi="仿宋" w:eastAsia="仿宋" w:cs="宋体"/>
          <w:color w:val="000000"/>
          <w:kern w:val="0"/>
          <w:sz w:val="24"/>
        </w:rPr>
        <w:t>概况</w:t>
      </w:r>
    </w:p>
    <w:p>
      <w:pPr>
        <w:spacing w:line="300" w:lineRule="exact"/>
        <w:ind w:firstLine="480" w:firstLineChars="200"/>
        <w:rPr>
          <w:rFonts w:ascii="仿宋" w:hAnsi="仿宋" w:eastAsia="仿宋"/>
          <w:sz w:val="24"/>
        </w:rPr>
      </w:pPr>
      <w:r>
        <w:rPr>
          <w:rFonts w:hint="eastAsia" w:ascii="仿宋" w:hAnsi="仿宋" w:eastAsia="仿宋"/>
          <w:sz w:val="24"/>
        </w:rPr>
        <w:t>（一）机构设置及职责情况</w:t>
      </w:r>
    </w:p>
    <w:p>
      <w:pPr>
        <w:spacing w:line="300" w:lineRule="exact"/>
        <w:ind w:firstLine="480" w:firstLineChars="200"/>
        <w:rPr>
          <w:rFonts w:ascii="仿宋" w:hAnsi="仿宋" w:eastAsia="仿宋" w:cs="仿宋"/>
          <w:bCs/>
          <w:sz w:val="24"/>
        </w:rPr>
      </w:pPr>
      <w:r>
        <w:rPr>
          <w:rFonts w:hint="eastAsia" w:ascii="仿宋" w:hAnsi="仿宋" w:eastAsia="仿宋" w:cs="仿宋"/>
          <w:bCs/>
          <w:color w:val="000000"/>
          <w:sz w:val="24"/>
        </w:rPr>
        <w:t>1.</w:t>
      </w:r>
      <w:r>
        <w:rPr>
          <w:rFonts w:hint="eastAsia" w:ascii="仿宋" w:hAnsi="仿宋" w:eastAsia="仿宋" w:cs="仿宋"/>
          <w:bCs/>
          <w:sz w:val="24"/>
        </w:rPr>
        <w:t>机构设置</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根据三定方案，中共北京市委前线杂志社（简称前线杂志社）是市委直属公益二类财政补助事业单位，归口市委宣传部管理。前线杂志社设12个内设机构和机关党委，12个内设机构分别为办公室、总编室、研究室、融媒体发展部、政治编辑部、经济编辑部、文化编辑部、社会编辑部、生态文明编辑部、党的建设编辑部、市场发行部、人事部。前线杂志社财政补助事业编制为107名。局级领导职数2正4副，处级领导职数14正（含机关党委专职副书记1名、机关纪委书记1名）13副。</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2.部门职责</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w:t>
      </w:r>
      <w:r>
        <w:rPr>
          <w:rFonts w:hint="eastAsia" w:ascii="仿宋" w:hAnsi="仿宋" w:eastAsia="仿宋" w:cs="Droid Sans"/>
          <w:color w:val="000000"/>
          <w:sz w:val="24"/>
        </w:rPr>
        <w:t>1</w:t>
      </w:r>
      <w:r>
        <w:rPr>
          <w:rFonts w:hint="eastAsia" w:ascii="仿宋" w:hAnsi="仿宋" w:eastAsia="仿宋" w:cs="Droid Sans"/>
          <w:color w:val="000000"/>
          <w:sz w:val="24"/>
          <w:lang w:val="zh-CN"/>
        </w:rPr>
        <w:t>）负责编辑出版发行《前线》杂志，发挥市委机关理论刊物示范导向作用，宣传研究阐释习近平新时代中国特色社会主义思想，宣传解读党的路线方针政策和市委决策部署，宣传推广各区各部门实践工作经验，落实意识形态工作责任制。</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w:t>
      </w:r>
      <w:r>
        <w:rPr>
          <w:rFonts w:hint="eastAsia" w:ascii="仿宋" w:hAnsi="仿宋" w:eastAsia="仿宋" w:cs="Droid Sans"/>
          <w:color w:val="000000"/>
          <w:sz w:val="24"/>
        </w:rPr>
        <w:t>2</w:t>
      </w:r>
      <w:r>
        <w:rPr>
          <w:rFonts w:hint="eastAsia" w:ascii="仿宋" w:hAnsi="仿宋" w:eastAsia="仿宋" w:cs="Droid Sans"/>
          <w:color w:val="000000"/>
          <w:sz w:val="24"/>
          <w:lang w:val="zh-CN"/>
        </w:rPr>
        <w:t>）负责编辑出版发行《北京支部生活》杂志，发挥基层党建宣传主渠道、主平台作用，服务基层党建和党员教育管理工作。</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w:t>
      </w:r>
      <w:r>
        <w:rPr>
          <w:rFonts w:hint="eastAsia" w:ascii="仿宋" w:hAnsi="仿宋" w:eastAsia="仿宋" w:cs="Droid Sans"/>
          <w:color w:val="000000"/>
          <w:sz w:val="24"/>
        </w:rPr>
        <w:t>3</w:t>
      </w:r>
      <w:r>
        <w:rPr>
          <w:rFonts w:hint="eastAsia" w:ascii="仿宋" w:hAnsi="仿宋" w:eastAsia="仿宋" w:cs="Droid Sans"/>
          <w:color w:val="000000"/>
          <w:sz w:val="24"/>
          <w:lang w:val="zh-CN"/>
        </w:rPr>
        <w:t>）负责编辑出版发行《大学生》杂志，发挥思想政治工作优势，向大学生及青年一代传播马克思主义、习近平新时代中国特色社会主义思想和社会主义核心价值观。</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w:t>
      </w:r>
      <w:r>
        <w:rPr>
          <w:rFonts w:hint="eastAsia" w:ascii="仿宋" w:hAnsi="仿宋" w:eastAsia="仿宋" w:cs="Droid Sans"/>
          <w:color w:val="000000"/>
          <w:sz w:val="24"/>
        </w:rPr>
        <w:t>4</w:t>
      </w:r>
      <w:r>
        <w:rPr>
          <w:rFonts w:hint="eastAsia" w:ascii="仿宋" w:hAnsi="仿宋" w:eastAsia="仿宋" w:cs="Droid Sans"/>
          <w:color w:val="000000"/>
          <w:sz w:val="24"/>
          <w:lang w:val="zh-CN"/>
        </w:rPr>
        <w:t>）负责推进本社融媒体发展，摄制出版相关电子出版物，编辑出版其他刊物。</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w:t>
      </w:r>
      <w:r>
        <w:rPr>
          <w:rFonts w:hint="eastAsia" w:ascii="仿宋" w:hAnsi="仿宋" w:eastAsia="仿宋" w:cs="Droid Sans"/>
          <w:color w:val="000000"/>
          <w:sz w:val="24"/>
        </w:rPr>
        <w:t>5</w:t>
      </w:r>
      <w:r>
        <w:rPr>
          <w:rFonts w:hint="eastAsia" w:ascii="仿宋" w:hAnsi="仿宋" w:eastAsia="仿宋" w:cs="Droid Sans"/>
          <w:color w:val="000000"/>
          <w:sz w:val="24"/>
          <w:lang w:val="zh-CN"/>
        </w:rPr>
        <w:t>）完成市委交办的其他任务。</w:t>
      </w:r>
    </w:p>
    <w:p>
      <w:pPr>
        <w:numPr>
          <w:ilvl w:val="0"/>
          <w:numId w:val="1"/>
        </w:numPr>
        <w:spacing w:line="300" w:lineRule="exact"/>
        <w:ind w:firstLine="480" w:firstLineChars="200"/>
        <w:rPr>
          <w:rFonts w:ascii="仿宋" w:hAnsi="仿宋" w:eastAsia="仿宋"/>
          <w:sz w:val="24"/>
        </w:rPr>
      </w:pPr>
      <w:r>
        <w:rPr>
          <w:rFonts w:hint="eastAsia" w:ascii="仿宋" w:hAnsi="仿宋" w:eastAsia="仿宋"/>
          <w:sz w:val="24"/>
        </w:rPr>
        <w:t>部门整体绩效目标设立情况</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1.部门整体绩效目标</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2021年，杂志社集中全社力量，深入宣传贯彻习近平新时代中国特色社会主义思想，全面贯彻落实党的十九大和十九届历次全会精神，充分发挥党刊舆论引导作用，不断扩大刊物的社会影响力；积极探索媒体深度融合发展方式，重点做好前线客户端、“前线理论圈”微信公众号、“中国大学生网”微信公众号的内容建设；扎实推进习近平新时代中国特色社会主义思想研究基地建设，编辑出版《党史学习教育专辑》，组织策划北京市“永远跟党走”歌曲传唱、全国“大学生年度人物”推荐展示等活动，以首善标准办好全国党刊年会，各项宣传工作取得显著成效，以优异成绩庆祝中国共产党成立100周年。</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2.整体绩效目标与职责任务匹配情况</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2021年部门整体绩效目标围绕部门职责和年度工作计划设立，符合部门整体支出的客观实际，目标依据充分，具有一定的可操作性和可实现性（具体情况见表1）。</w:t>
      </w:r>
    </w:p>
    <w:p>
      <w:pPr>
        <w:spacing w:before="1" w:line="184" w:lineRule="auto"/>
        <w:ind w:left="603" w:firstLine="606" w:firstLineChars="300"/>
        <w:rPr>
          <w:rFonts w:ascii="仿宋" w:hAnsi="仿宋" w:eastAsia="仿宋" w:cs="黑体"/>
          <w:sz w:val="20"/>
          <w:szCs w:val="20"/>
        </w:rPr>
      </w:pPr>
      <w:r>
        <w:rPr>
          <w:rFonts w:ascii="仿宋" w:hAnsi="仿宋" w:eastAsia="仿宋" w:cs="黑体"/>
          <w:spacing w:val="1"/>
          <w:sz w:val="20"/>
          <w:szCs w:val="20"/>
        </w:rPr>
        <w:t xml:space="preserve">表 </w:t>
      </w:r>
      <w:r>
        <w:rPr>
          <w:rFonts w:hint="eastAsia" w:ascii="仿宋" w:hAnsi="仿宋" w:eastAsia="仿宋" w:cs="微软雅黑"/>
          <w:spacing w:val="1"/>
          <w:sz w:val="20"/>
          <w:szCs w:val="20"/>
        </w:rPr>
        <w:t>1</w:t>
      </w:r>
      <w:r>
        <w:rPr>
          <w:rFonts w:ascii="仿宋" w:hAnsi="仿宋" w:eastAsia="仿宋" w:cs="微软雅黑"/>
          <w:spacing w:val="1"/>
          <w:sz w:val="20"/>
          <w:szCs w:val="20"/>
        </w:rPr>
        <w:t>：</w:t>
      </w:r>
      <w:r>
        <w:rPr>
          <w:rFonts w:hint="eastAsia" w:ascii="仿宋" w:hAnsi="仿宋" w:eastAsia="仿宋" w:cs="微软雅黑"/>
          <w:spacing w:val="1"/>
          <w:sz w:val="20"/>
          <w:szCs w:val="20"/>
        </w:rPr>
        <w:t>前线杂志社</w:t>
      </w:r>
      <w:r>
        <w:rPr>
          <w:rFonts w:ascii="仿宋" w:hAnsi="仿宋" w:eastAsia="仿宋" w:cs="黑体"/>
          <w:spacing w:val="1"/>
          <w:sz w:val="20"/>
          <w:szCs w:val="20"/>
        </w:rPr>
        <w:t xml:space="preserve"> </w:t>
      </w:r>
      <w:r>
        <w:rPr>
          <w:rFonts w:ascii="仿宋" w:hAnsi="仿宋" w:eastAsia="仿宋" w:cs="微软雅黑"/>
          <w:spacing w:val="1"/>
          <w:sz w:val="20"/>
          <w:szCs w:val="20"/>
        </w:rPr>
        <w:t>202</w:t>
      </w:r>
      <w:r>
        <w:rPr>
          <w:rFonts w:hint="eastAsia" w:ascii="仿宋" w:hAnsi="仿宋" w:eastAsia="仿宋" w:cs="微软雅黑"/>
          <w:spacing w:val="1"/>
          <w:sz w:val="20"/>
          <w:szCs w:val="20"/>
        </w:rPr>
        <w:t>1</w:t>
      </w:r>
      <w:r>
        <w:rPr>
          <w:rFonts w:ascii="仿宋" w:hAnsi="仿宋" w:eastAsia="仿宋" w:cs="黑体"/>
          <w:spacing w:val="1"/>
          <w:sz w:val="20"/>
          <w:szCs w:val="20"/>
        </w:rPr>
        <w:t>年部门整体绩</w:t>
      </w:r>
      <w:r>
        <w:rPr>
          <w:rFonts w:ascii="仿宋" w:hAnsi="仿宋" w:eastAsia="仿宋" w:cs="黑体"/>
          <w:sz w:val="20"/>
          <w:szCs w:val="20"/>
        </w:rPr>
        <w:t>效目标与职责</w:t>
      </w:r>
      <w:r>
        <w:rPr>
          <w:rFonts w:hint="eastAsia" w:ascii="仿宋" w:hAnsi="仿宋" w:eastAsia="仿宋" w:cs="黑体"/>
          <w:sz w:val="20"/>
          <w:szCs w:val="20"/>
        </w:rPr>
        <w:t>、</w:t>
      </w:r>
      <w:r>
        <w:rPr>
          <w:rFonts w:ascii="仿宋" w:hAnsi="仿宋" w:eastAsia="仿宋" w:cs="黑体"/>
          <w:sz w:val="20"/>
          <w:szCs w:val="20"/>
        </w:rPr>
        <w:t>年度任务对应情况</w:t>
      </w:r>
    </w:p>
    <w:p>
      <w:pPr>
        <w:spacing w:line="219" w:lineRule="exact"/>
      </w:pPr>
    </w:p>
    <w:tbl>
      <w:tblPr>
        <w:tblStyle w:val="17"/>
        <w:tblW w:w="8526" w:type="dxa"/>
        <w:tblInd w:w="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284"/>
        <w:gridCol w:w="2392"/>
        <w:gridCol w:w="1095"/>
        <w:gridCol w:w="2265"/>
        <w:gridCol w:w="2490"/>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22" w:hRule="atLeast"/>
        </w:trPr>
        <w:tc>
          <w:tcPr>
            <w:tcW w:w="284" w:type="dxa"/>
            <w:vAlign w:val="center"/>
          </w:tcPr>
          <w:p>
            <w:pPr>
              <w:spacing w:line="300" w:lineRule="exact"/>
              <w:jc w:val="center"/>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序号</w:t>
            </w:r>
          </w:p>
        </w:tc>
        <w:tc>
          <w:tcPr>
            <w:tcW w:w="2392" w:type="dxa"/>
            <w:vAlign w:val="center"/>
          </w:tcPr>
          <w:p>
            <w:pPr>
              <w:spacing w:line="300" w:lineRule="exact"/>
              <w:jc w:val="center"/>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职责</w:t>
            </w:r>
          </w:p>
        </w:tc>
        <w:tc>
          <w:tcPr>
            <w:tcW w:w="1095" w:type="dxa"/>
            <w:vAlign w:val="center"/>
          </w:tcPr>
          <w:p>
            <w:pPr>
              <w:spacing w:line="300" w:lineRule="exact"/>
              <w:jc w:val="center"/>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年度任务</w:t>
            </w:r>
          </w:p>
        </w:tc>
        <w:tc>
          <w:tcPr>
            <w:tcW w:w="2265" w:type="dxa"/>
            <w:vAlign w:val="center"/>
          </w:tcPr>
          <w:p>
            <w:pPr>
              <w:spacing w:line="300" w:lineRule="exact"/>
              <w:jc w:val="center"/>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绩效目标</w:t>
            </w:r>
          </w:p>
        </w:tc>
        <w:tc>
          <w:tcPr>
            <w:tcW w:w="2490" w:type="dxa"/>
            <w:vAlign w:val="center"/>
          </w:tcPr>
          <w:p>
            <w:pPr>
              <w:spacing w:line="300" w:lineRule="exact"/>
              <w:jc w:val="center"/>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绩效指标</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440" w:hRule="atLeast"/>
        </w:trPr>
        <w:tc>
          <w:tcPr>
            <w:tcW w:w="284" w:type="dxa"/>
            <w:vMerge w:val="restart"/>
            <w:vAlign w:val="center"/>
          </w:tcPr>
          <w:p>
            <w:pPr>
              <w:spacing w:line="300" w:lineRule="exact"/>
              <w:jc w:val="left"/>
              <w:rPr>
                <w:rFonts w:ascii="仿宋" w:hAnsi="仿宋" w:eastAsia="仿宋" w:cs="微软雅黑"/>
                <w:color w:val="000000"/>
                <w:sz w:val="20"/>
                <w:szCs w:val="20"/>
              </w:rPr>
            </w:pPr>
          </w:p>
          <w:p>
            <w:pPr>
              <w:spacing w:line="300" w:lineRule="exact"/>
              <w:jc w:val="left"/>
              <w:rPr>
                <w:rFonts w:ascii="仿宋" w:hAnsi="仿宋" w:eastAsia="仿宋" w:cs="微软雅黑"/>
                <w:color w:val="000000"/>
                <w:sz w:val="20"/>
                <w:szCs w:val="20"/>
              </w:rPr>
            </w:pPr>
            <w:r>
              <w:rPr>
                <w:rFonts w:hint="eastAsia" w:ascii="仿宋" w:hAnsi="仿宋" w:eastAsia="仿宋" w:cs="微软雅黑"/>
                <w:color w:val="000000"/>
                <w:sz w:val="20"/>
                <w:szCs w:val="20"/>
              </w:rPr>
              <w:t>1</w:t>
            </w:r>
          </w:p>
        </w:tc>
        <w:tc>
          <w:tcPr>
            <w:tcW w:w="2392" w:type="dxa"/>
            <w:vMerge w:val="restart"/>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编辑出版</w:t>
            </w:r>
            <w:r>
              <w:rPr>
                <w:rFonts w:hint="eastAsia" w:ascii="仿宋" w:hAnsi="仿宋" w:eastAsia="仿宋" w:cs="微软雅黑"/>
                <w:color w:val="000000"/>
                <w:sz w:val="20"/>
                <w:szCs w:val="20"/>
                <w:lang w:val="zh-CN"/>
              </w:rPr>
              <w:t>发行《前线》杂志，发挥市委机关理论刊物示范导向作用，宣传研究阐释习近平新时代中国特色社会主义思想，宣传解读党的路线方针政策和市委决策部署，宣传推广各区各部门实践工作经验，落实意识形态工作责任制。</w:t>
            </w:r>
          </w:p>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编辑出版发行《北京支部生活》杂志，发挥基层党建宣传主渠道、主平台作用，服务基层党建和党员教育管理工作。</w:t>
            </w:r>
          </w:p>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编辑出版发行《大学生》杂志，发挥思想政治工作优势，向大学生及青年一代传播马克思主义、习近平新时代中国特色社会主义思想和社会主义核心价值观。</w:t>
            </w:r>
          </w:p>
        </w:tc>
        <w:tc>
          <w:tcPr>
            <w:tcW w:w="1095" w:type="dxa"/>
            <w:vAlign w:val="center"/>
          </w:tcPr>
          <w:p>
            <w:pPr>
              <w:spacing w:line="300" w:lineRule="exact"/>
              <w:jc w:val="left"/>
              <w:rPr>
                <w:rFonts w:ascii="仿宋" w:hAnsi="仿宋" w:eastAsia="仿宋" w:cs="微软雅黑"/>
                <w:color w:val="000000"/>
                <w:sz w:val="20"/>
                <w:szCs w:val="20"/>
              </w:rPr>
            </w:pPr>
            <w:r>
              <w:rPr>
                <w:rFonts w:hint="eastAsia" w:ascii="仿宋" w:hAnsi="仿宋" w:eastAsia="仿宋" w:cs="微软雅黑"/>
                <w:color w:val="000000"/>
                <w:sz w:val="20"/>
                <w:szCs w:val="20"/>
              </w:rPr>
              <w:t>编辑出版</w:t>
            </w:r>
            <w:r>
              <w:rPr>
                <w:rFonts w:hint="eastAsia" w:ascii="仿宋" w:hAnsi="仿宋" w:eastAsia="仿宋" w:cs="微软雅黑"/>
                <w:color w:val="000000"/>
                <w:sz w:val="20"/>
                <w:szCs w:val="20"/>
                <w:lang w:val="zh-CN"/>
              </w:rPr>
              <w:t>发行《前线》杂志。</w:t>
            </w:r>
          </w:p>
        </w:tc>
        <w:tc>
          <w:tcPr>
            <w:tcW w:w="226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发挥市委机关理论刊物示范导向作用，宣传研究阐释习近平新时代中国特色社会主义思想，宣传解读党的路线方针政策和市委决策部署，宣传推广各区各部门实践工作经验，落实意识形态工作责任制。</w:t>
            </w:r>
          </w:p>
        </w:tc>
        <w:tc>
          <w:tcPr>
            <w:tcW w:w="2490" w:type="dxa"/>
            <w:vMerge w:val="restart"/>
          </w:tcPr>
          <w:p>
            <w:pPr>
              <w:spacing w:line="300" w:lineRule="exact"/>
              <w:jc w:val="left"/>
              <w:rPr>
                <w:rFonts w:hint="eastAsia" w:ascii="仿宋" w:hAnsi="仿宋" w:eastAsia="仿宋" w:cs="微软雅黑"/>
                <w:color w:val="000000"/>
                <w:sz w:val="20"/>
                <w:szCs w:val="20"/>
              </w:rPr>
            </w:pPr>
            <w:r>
              <w:rPr>
                <w:rFonts w:hint="eastAsia" w:ascii="仿宋" w:hAnsi="仿宋" w:eastAsia="仿宋" w:cs="微软雅黑"/>
                <w:color w:val="000000"/>
                <w:sz w:val="20"/>
                <w:szCs w:val="20"/>
              </w:rPr>
              <w:t>编辑出版</w:t>
            </w:r>
            <w:r>
              <w:rPr>
                <w:rFonts w:hint="eastAsia" w:ascii="仿宋" w:hAnsi="仿宋" w:eastAsia="仿宋" w:cs="微软雅黑"/>
                <w:color w:val="000000"/>
                <w:sz w:val="20"/>
                <w:szCs w:val="20"/>
                <w:lang w:eastAsia="zh-CN"/>
              </w:rPr>
              <w:t>发行</w:t>
            </w:r>
            <w:r>
              <w:rPr>
                <w:rFonts w:hint="eastAsia" w:ascii="仿宋" w:hAnsi="仿宋" w:eastAsia="仿宋" w:cs="微软雅黑"/>
                <w:color w:val="000000"/>
                <w:sz w:val="20"/>
                <w:szCs w:val="20"/>
              </w:rPr>
              <w:t>《前线》杂志</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12期。刊发文章</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200篇、图片</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50幅。                                                  编辑出版</w:t>
            </w:r>
            <w:r>
              <w:rPr>
                <w:rFonts w:hint="eastAsia" w:ascii="仿宋" w:hAnsi="仿宋" w:eastAsia="仿宋" w:cs="微软雅黑"/>
                <w:color w:val="000000"/>
                <w:sz w:val="20"/>
                <w:szCs w:val="20"/>
                <w:lang w:eastAsia="zh-CN"/>
              </w:rPr>
              <w:t>发行</w:t>
            </w:r>
            <w:r>
              <w:rPr>
                <w:rFonts w:hint="eastAsia" w:ascii="仿宋" w:hAnsi="仿宋" w:eastAsia="仿宋" w:cs="微软雅黑"/>
                <w:color w:val="000000"/>
                <w:sz w:val="20"/>
                <w:szCs w:val="20"/>
              </w:rPr>
              <w:t>《北京支部生活》杂志</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12期。刊发文章</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200篇、图片</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600幅。</w:t>
            </w:r>
          </w:p>
          <w:p>
            <w:pPr>
              <w:spacing w:line="300" w:lineRule="exact"/>
              <w:jc w:val="left"/>
              <w:rPr>
                <w:rFonts w:hint="eastAsia" w:ascii="仿宋" w:hAnsi="仿宋" w:eastAsia="仿宋" w:cs="微软雅黑"/>
                <w:color w:val="000000"/>
                <w:sz w:val="20"/>
                <w:szCs w:val="20"/>
              </w:rPr>
            </w:pPr>
            <w:r>
              <w:rPr>
                <w:rFonts w:hint="eastAsia" w:ascii="仿宋" w:hAnsi="仿宋" w:eastAsia="仿宋" w:cs="微软雅黑"/>
                <w:color w:val="000000"/>
                <w:sz w:val="20"/>
                <w:szCs w:val="20"/>
              </w:rPr>
              <w:t>编辑出版</w:t>
            </w:r>
            <w:r>
              <w:rPr>
                <w:rFonts w:hint="eastAsia" w:ascii="仿宋" w:hAnsi="仿宋" w:eastAsia="仿宋" w:cs="微软雅黑"/>
                <w:color w:val="000000"/>
                <w:sz w:val="20"/>
                <w:szCs w:val="20"/>
                <w:lang w:eastAsia="zh-CN"/>
              </w:rPr>
              <w:t>发行</w:t>
            </w:r>
            <w:r>
              <w:rPr>
                <w:rFonts w:hint="eastAsia" w:ascii="仿宋" w:hAnsi="仿宋" w:eastAsia="仿宋" w:cs="微软雅黑"/>
                <w:color w:val="000000"/>
                <w:sz w:val="20"/>
                <w:szCs w:val="20"/>
              </w:rPr>
              <w:t>《大学生》杂志</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12期。刊发文章</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200篇、图片</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600幅。</w:t>
            </w:r>
          </w:p>
          <w:p>
            <w:pPr>
              <w:spacing w:line="300" w:lineRule="exact"/>
              <w:jc w:val="left"/>
              <w:rPr>
                <w:rFonts w:hint="eastAsia" w:ascii="仿宋" w:hAnsi="仿宋" w:eastAsia="仿宋" w:cs="微软雅黑"/>
                <w:color w:val="000000"/>
                <w:sz w:val="20"/>
                <w:szCs w:val="20"/>
              </w:rPr>
            </w:pPr>
            <w:r>
              <w:rPr>
                <w:rFonts w:hint="eastAsia" w:ascii="仿宋" w:hAnsi="仿宋" w:eastAsia="仿宋" w:cs="微软雅黑"/>
                <w:color w:val="000000"/>
                <w:sz w:val="20"/>
                <w:szCs w:val="20"/>
              </w:rPr>
              <w:t>项目成本节约额增加率为10%。                       项目质量达标率为100%。                                                项目按时完成率为100%。</w:t>
            </w:r>
          </w:p>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 xml:space="preserve">预算资金比上年度压减金额≥500万。                  加强中央和北京市重大理论和实践创新宣传，提高党刊的影响力和传播力。                         </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50" w:hRule="atLeast"/>
        </w:trPr>
        <w:tc>
          <w:tcPr>
            <w:tcW w:w="284" w:type="dxa"/>
            <w:vMerge w:val="continue"/>
            <w:vAlign w:val="center"/>
          </w:tcPr>
          <w:p>
            <w:pPr>
              <w:spacing w:line="300" w:lineRule="exact"/>
              <w:jc w:val="left"/>
              <w:rPr>
                <w:rFonts w:ascii="仿宋" w:hAnsi="仿宋" w:eastAsia="仿宋" w:cs="微软雅黑"/>
                <w:color w:val="000000"/>
                <w:sz w:val="20"/>
                <w:szCs w:val="20"/>
                <w:lang w:val="zh-CN"/>
              </w:rPr>
            </w:pPr>
          </w:p>
        </w:tc>
        <w:tc>
          <w:tcPr>
            <w:tcW w:w="2392" w:type="dxa"/>
            <w:vMerge w:val="continue"/>
            <w:vAlign w:val="center"/>
          </w:tcPr>
          <w:p>
            <w:pPr>
              <w:spacing w:line="300" w:lineRule="exact"/>
              <w:jc w:val="left"/>
              <w:rPr>
                <w:rFonts w:ascii="仿宋" w:hAnsi="仿宋" w:eastAsia="仿宋" w:cs="微软雅黑"/>
                <w:color w:val="000000"/>
                <w:sz w:val="20"/>
                <w:szCs w:val="20"/>
                <w:lang w:val="zh-CN"/>
              </w:rPr>
            </w:pPr>
          </w:p>
        </w:tc>
        <w:tc>
          <w:tcPr>
            <w:tcW w:w="109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编辑出版发行《北京支部生活》杂志。</w:t>
            </w:r>
          </w:p>
        </w:tc>
        <w:tc>
          <w:tcPr>
            <w:tcW w:w="226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发挥基层党建宣传主渠道、主平台作用，服务基层党建和党员教育管理工作。</w:t>
            </w:r>
          </w:p>
        </w:tc>
        <w:tc>
          <w:tcPr>
            <w:tcW w:w="2490" w:type="dxa"/>
            <w:vMerge w:val="continue"/>
          </w:tcPr>
          <w:p>
            <w:pPr>
              <w:spacing w:line="300" w:lineRule="exact"/>
              <w:jc w:val="left"/>
              <w:rPr>
                <w:rFonts w:ascii="仿宋" w:hAnsi="仿宋" w:eastAsia="仿宋" w:cs="微软雅黑"/>
                <w:color w:val="000000"/>
                <w:sz w:val="20"/>
                <w:szCs w:val="20"/>
                <w:lang w:val="zh-CN"/>
              </w:rPr>
            </w:pP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00" w:hRule="atLeast"/>
        </w:trPr>
        <w:tc>
          <w:tcPr>
            <w:tcW w:w="284" w:type="dxa"/>
            <w:vMerge w:val="continue"/>
            <w:vAlign w:val="center"/>
          </w:tcPr>
          <w:p>
            <w:pPr>
              <w:spacing w:line="300" w:lineRule="exact"/>
              <w:jc w:val="left"/>
              <w:rPr>
                <w:rFonts w:ascii="仿宋" w:hAnsi="仿宋" w:eastAsia="仿宋" w:cs="微软雅黑"/>
                <w:color w:val="000000"/>
                <w:sz w:val="20"/>
                <w:szCs w:val="20"/>
                <w:lang w:val="zh-CN"/>
              </w:rPr>
            </w:pPr>
          </w:p>
        </w:tc>
        <w:tc>
          <w:tcPr>
            <w:tcW w:w="2392" w:type="dxa"/>
            <w:vMerge w:val="continue"/>
            <w:vAlign w:val="center"/>
          </w:tcPr>
          <w:p>
            <w:pPr>
              <w:spacing w:line="300" w:lineRule="exact"/>
              <w:jc w:val="left"/>
              <w:rPr>
                <w:rFonts w:ascii="仿宋" w:hAnsi="仿宋" w:eastAsia="仿宋" w:cs="微软雅黑"/>
                <w:color w:val="000000"/>
                <w:sz w:val="20"/>
                <w:szCs w:val="20"/>
                <w:lang w:val="zh-CN"/>
              </w:rPr>
            </w:pPr>
          </w:p>
        </w:tc>
        <w:tc>
          <w:tcPr>
            <w:tcW w:w="109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编辑出版发行《大学生》杂志。</w:t>
            </w:r>
          </w:p>
        </w:tc>
        <w:tc>
          <w:tcPr>
            <w:tcW w:w="226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发挥思想政治工作优势，向大学生及青年一代传播马克思主义、习近平新时代中国特色社会主义思想和社会主义核心价值观。</w:t>
            </w:r>
          </w:p>
        </w:tc>
        <w:tc>
          <w:tcPr>
            <w:tcW w:w="2490" w:type="dxa"/>
            <w:vMerge w:val="continue"/>
          </w:tcPr>
          <w:p>
            <w:pPr>
              <w:spacing w:line="300" w:lineRule="exact"/>
              <w:jc w:val="left"/>
              <w:rPr>
                <w:rFonts w:ascii="仿宋" w:hAnsi="仿宋" w:eastAsia="仿宋" w:cs="微软雅黑"/>
                <w:color w:val="000000"/>
                <w:sz w:val="20"/>
                <w:szCs w:val="20"/>
                <w:lang w:val="zh-CN"/>
              </w:rPr>
            </w:pP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7" w:hRule="atLeast"/>
        </w:trPr>
        <w:tc>
          <w:tcPr>
            <w:tcW w:w="284"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2</w:t>
            </w:r>
          </w:p>
        </w:tc>
        <w:tc>
          <w:tcPr>
            <w:tcW w:w="2392"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负责推进本社融媒体发展，摄制出版相关电子出版物，编辑出版其他刊物。</w:t>
            </w:r>
          </w:p>
        </w:tc>
        <w:tc>
          <w:tcPr>
            <w:tcW w:w="1095" w:type="dxa"/>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大力推进媒体融合发展，做好前线客户端，“前线理论圈”、“中国大学生网”微信公众号等平台内容建设，摄制出版《党课一小时》音像制品。</w:t>
            </w:r>
          </w:p>
        </w:tc>
        <w:tc>
          <w:tcPr>
            <w:tcW w:w="2265" w:type="dxa"/>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做好前线客户端，“前线理论圈”、“中国大学生网”微信公众号等平台内容建设，摄制出版《党课一小时》音像制品。</w:t>
            </w:r>
          </w:p>
        </w:tc>
        <w:tc>
          <w:tcPr>
            <w:tcW w:w="2490" w:type="dxa"/>
          </w:tcPr>
          <w:p>
            <w:pPr>
              <w:spacing w:line="300" w:lineRule="exact"/>
              <w:jc w:val="left"/>
              <w:rPr>
                <w:rFonts w:hint="eastAsia" w:ascii="仿宋" w:hAnsi="仿宋" w:eastAsia="仿宋" w:cs="微软雅黑"/>
                <w:color w:val="000000"/>
                <w:sz w:val="20"/>
                <w:szCs w:val="20"/>
                <w:lang w:val="zh-CN"/>
              </w:rPr>
            </w:pPr>
            <w:r>
              <w:rPr>
                <w:rFonts w:hint="eastAsia" w:ascii="仿宋" w:hAnsi="仿宋" w:eastAsia="仿宋" w:cs="微软雅黑"/>
                <w:color w:val="000000"/>
                <w:sz w:val="20"/>
                <w:szCs w:val="20"/>
              </w:rPr>
              <w:t>客户端</w:t>
            </w:r>
            <w:r>
              <w:rPr>
                <w:rFonts w:hint="eastAsia" w:ascii="仿宋" w:hAnsi="仿宋" w:eastAsia="仿宋" w:cs="微软雅黑"/>
                <w:color w:val="000000"/>
                <w:sz w:val="20"/>
                <w:szCs w:val="20"/>
                <w:lang w:val="zh-CN"/>
              </w:rPr>
              <w:t>原创稿件约2000篇、图片约5000张；</w:t>
            </w:r>
          </w:p>
          <w:p>
            <w:pPr>
              <w:spacing w:line="300" w:lineRule="exact"/>
              <w:jc w:val="left"/>
              <w:rPr>
                <w:rFonts w:hint="eastAsia" w:ascii="仿宋" w:hAnsi="仿宋" w:eastAsia="仿宋" w:cs="微软雅黑"/>
                <w:color w:val="000000"/>
                <w:sz w:val="20"/>
                <w:szCs w:val="20"/>
                <w:lang w:val="zh-CN"/>
              </w:rPr>
            </w:pPr>
            <w:r>
              <w:rPr>
                <w:rFonts w:hint="eastAsia" w:ascii="仿宋" w:hAnsi="仿宋" w:eastAsia="仿宋" w:cs="微软雅黑"/>
                <w:color w:val="000000"/>
                <w:sz w:val="20"/>
                <w:szCs w:val="20"/>
              </w:rPr>
              <w:t>客户端</w:t>
            </w:r>
            <w:r>
              <w:rPr>
                <w:rFonts w:hint="eastAsia" w:ascii="仿宋" w:hAnsi="仿宋" w:eastAsia="仿宋" w:cs="微软雅黑"/>
                <w:color w:val="000000"/>
                <w:sz w:val="20"/>
                <w:szCs w:val="20"/>
                <w:lang w:val="zh-CN"/>
              </w:rPr>
              <w:t>阅读量累计超过10万的次数≥10次，阅读量累计超过100万的次数≥1次；</w:t>
            </w:r>
          </w:p>
          <w:p>
            <w:pPr>
              <w:spacing w:line="300" w:lineRule="exact"/>
              <w:jc w:val="left"/>
              <w:rPr>
                <w:rFonts w:hint="eastAsia" w:ascii="仿宋" w:hAnsi="仿宋" w:eastAsia="仿宋" w:cs="微软雅黑"/>
                <w:color w:val="000000"/>
                <w:sz w:val="20"/>
                <w:szCs w:val="20"/>
              </w:rPr>
            </w:pPr>
            <w:r>
              <w:rPr>
                <w:rFonts w:hint="eastAsia" w:ascii="仿宋" w:hAnsi="仿宋" w:eastAsia="仿宋" w:cs="微软雅黑"/>
                <w:color w:val="000000"/>
                <w:sz w:val="20"/>
                <w:szCs w:val="20"/>
                <w:lang w:val="zh-CN"/>
              </w:rPr>
              <w:t>前线网每月发稿≥200篇</w:t>
            </w:r>
            <w:r>
              <w:rPr>
                <w:rFonts w:hint="eastAsia" w:ascii="仿宋" w:hAnsi="仿宋" w:eastAsia="仿宋" w:cs="微软雅黑"/>
                <w:color w:val="000000"/>
                <w:sz w:val="20"/>
                <w:szCs w:val="20"/>
              </w:rPr>
              <w:t>。</w:t>
            </w:r>
          </w:p>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“前线理论圈”微信公众号</w:t>
            </w:r>
            <w:r>
              <w:rPr>
                <w:rFonts w:hint="eastAsia" w:ascii="仿宋" w:hAnsi="仿宋" w:eastAsia="仿宋" w:cs="微软雅黑"/>
                <w:color w:val="000000"/>
                <w:sz w:val="20"/>
                <w:szCs w:val="20"/>
              </w:rPr>
              <w:t>全年</w:t>
            </w:r>
            <w:r>
              <w:rPr>
                <w:rFonts w:hint="eastAsia" w:ascii="仿宋" w:hAnsi="仿宋" w:eastAsia="仿宋" w:cs="微软雅黑"/>
                <w:color w:val="000000"/>
                <w:sz w:val="20"/>
                <w:szCs w:val="20"/>
                <w:lang w:val="zh-CN"/>
              </w:rPr>
              <w:t>发布原创文章≥2</w:t>
            </w:r>
            <w:r>
              <w:rPr>
                <w:rFonts w:hint="eastAsia" w:ascii="仿宋" w:hAnsi="仿宋" w:eastAsia="仿宋" w:cs="微软雅黑"/>
                <w:color w:val="000000"/>
                <w:sz w:val="20"/>
                <w:szCs w:val="20"/>
              </w:rPr>
              <w:t>0</w:t>
            </w:r>
            <w:r>
              <w:rPr>
                <w:rFonts w:hint="eastAsia" w:ascii="仿宋" w:hAnsi="仿宋" w:eastAsia="仿宋" w:cs="微软雅黑"/>
                <w:color w:val="000000"/>
                <w:sz w:val="20"/>
                <w:szCs w:val="20"/>
                <w:lang w:val="zh-CN"/>
              </w:rPr>
              <w:t>篇。</w:t>
            </w:r>
          </w:p>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“中国大学生网”微信公众号</w:t>
            </w:r>
            <w:r>
              <w:rPr>
                <w:rFonts w:hint="eastAsia" w:ascii="仿宋" w:hAnsi="仿宋" w:eastAsia="仿宋" w:cs="微软雅黑"/>
                <w:color w:val="000000"/>
                <w:sz w:val="20"/>
                <w:szCs w:val="20"/>
              </w:rPr>
              <w:t>全年</w:t>
            </w:r>
            <w:r>
              <w:rPr>
                <w:rFonts w:hint="eastAsia" w:ascii="仿宋" w:hAnsi="仿宋" w:eastAsia="仿宋" w:cs="微软雅黑"/>
                <w:color w:val="000000"/>
                <w:sz w:val="20"/>
                <w:szCs w:val="20"/>
                <w:lang w:val="zh-CN"/>
              </w:rPr>
              <w:t>发表</w:t>
            </w:r>
            <w:r>
              <w:rPr>
                <w:rFonts w:hint="eastAsia" w:ascii="仿宋" w:hAnsi="仿宋" w:eastAsia="仿宋" w:cs="微软雅黑"/>
                <w:color w:val="000000"/>
                <w:sz w:val="20"/>
                <w:szCs w:val="20"/>
              </w:rPr>
              <w:t>原创</w:t>
            </w:r>
            <w:r>
              <w:rPr>
                <w:rFonts w:hint="eastAsia" w:ascii="仿宋" w:hAnsi="仿宋" w:eastAsia="仿宋" w:cs="微软雅黑"/>
                <w:color w:val="000000"/>
                <w:sz w:val="20"/>
                <w:szCs w:val="20"/>
                <w:lang w:val="zh-CN"/>
              </w:rPr>
              <w:t>文章</w:t>
            </w:r>
            <w:r>
              <w:rPr>
                <w:rFonts w:hint="eastAsia" w:ascii="仿宋" w:hAnsi="仿宋" w:eastAsia="仿宋" w:cs="微软雅黑"/>
                <w:color w:val="000000"/>
                <w:sz w:val="20"/>
                <w:szCs w:val="20"/>
              </w:rPr>
              <w:t>200</w:t>
            </w:r>
            <w:r>
              <w:rPr>
                <w:rFonts w:hint="eastAsia" w:ascii="仿宋" w:hAnsi="仿宋" w:eastAsia="仿宋" w:cs="微软雅黑"/>
                <w:color w:val="000000"/>
                <w:sz w:val="20"/>
                <w:szCs w:val="20"/>
                <w:lang w:val="zh-CN"/>
              </w:rPr>
              <w:t>篇。</w:t>
            </w:r>
          </w:p>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“东方红啦”微信公众号全年发表原创文章100篇。</w:t>
            </w:r>
          </w:p>
          <w:p>
            <w:pPr>
              <w:spacing w:line="300" w:lineRule="exact"/>
              <w:jc w:val="left"/>
              <w:rPr>
                <w:rFonts w:ascii="仿宋" w:hAnsi="仿宋" w:eastAsia="仿宋" w:cs="微软雅黑"/>
                <w:color w:val="000000"/>
                <w:sz w:val="20"/>
                <w:szCs w:val="20"/>
              </w:rPr>
            </w:pPr>
            <w:r>
              <w:rPr>
                <w:rFonts w:hint="eastAsia" w:ascii="仿宋" w:hAnsi="仿宋" w:eastAsia="仿宋" w:cs="微软雅黑"/>
                <w:color w:val="000000"/>
                <w:sz w:val="20"/>
                <w:szCs w:val="20"/>
              </w:rPr>
              <w:t>前线学习手机报全年编发</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50期。</w:t>
            </w:r>
          </w:p>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音像制品《党课一小时》全年摄制出版</w:t>
            </w:r>
            <w:r>
              <w:rPr>
                <w:rFonts w:hint="eastAsia" w:ascii="仿宋" w:hAnsi="仿宋" w:eastAsia="仿宋" w:cs="微软雅黑"/>
                <w:color w:val="000000"/>
                <w:sz w:val="20"/>
                <w:szCs w:val="20"/>
              </w:rPr>
              <w:t>6辑</w:t>
            </w:r>
            <w:r>
              <w:rPr>
                <w:rFonts w:hint="eastAsia" w:ascii="仿宋" w:hAnsi="仿宋" w:eastAsia="仿宋" w:cs="微软雅黑"/>
                <w:color w:val="000000"/>
                <w:sz w:val="20"/>
                <w:szCs w:val="20"/>
                <w:lang w:val="zh-CN"/>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193" w:hRule="atLeast"/>
        </w:trPr>
        <w:tc>
          <w:tcPr>
            <w:tcW w:w="284" w:type="dxa"/>
            <w:vMerge w:val="restart"/>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3</w:t>
            </w:r>
          </w:p>
        </w:tc>
        <w:tc>
          <w:tcPr>
            <w:tcW w:w="2392" w:type="dxa"/>
            <w:vMerge w:val="restart"/>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完成市委交办的其他任务。</w:t>
            </w:r>
          </w:p>
        </w:tc>
        <w:tc>
          <w:tcPr>
            <w:tcW w:w="109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办好北京市习近平新时代中国特色社会主义思想研究中心前线杂志社研究基地。</w:t>
            </w:r>
          </w:p>
        </w:tc>
        <w:tc>
          <w:tcPr>
            <w:tcW w:w="226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做好北京市习近平新时代中国特色社会主义思想研究基地的有关工作。</w:t>
            </w:r>
          </w:p>
        </w:tc>
        <w:tc>
          <w:tcPr>
            <w:tcW w:w="2490"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在中央“三报一刊”发表文章≥</w:t>
            </w:r>
            <w:r>
              <w:rPr>
                <w:rFonts w:hint="eastAsia" w:ascii="仿宋" w:hAnsi="仿宋" w:eastAsia="仿宋" w:cs="微软雅黑"/>
                <w:color w:val="000000"/>
                <w:sz w:val="20"/>
                <w:szCs w:val="20"/>
              </w:rPr>
              <w:t>5</w:t>
            </w:r>
            <w:r>
              <w:rPr>
                <w:rFonts w:hint="eastAsia" w:ascii="仿宋" w:hAnsi="仿宋" w:eastAsia="仿宋" w:cs="微软雅黑"/>
                <w:color w:val="000000"/>
                <w:sz w:val="20"/>
                <w:szCs w:val="20"/>
                <w:lang w:val="zh-CN"/>
              </w:rPr>
              <w:t>篇。</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12" w:hRule="atLeast"/>
        </w:trPr>
        <w:tc>
          <w:tcPr>
            <w:tcW w:w="284" w:type="dxa"/>
            <w:vMerge w:val="continue"/>
            <w:vAlign w:val="center"/>
          </w:tcPr>
          <w:p>
            <w:pPr>
              <w:spacing w:line="300" w:lineRule="exact"/>
              <w:jc w:val="left"/>
              <w:rPr>
                <w:rFonts w:ascii="仿宋" w:hAnsi="仿宋" w:eastAsia="仿宋" w:cs="微软雅黑"/>
                <w:color w:val="000000"/>
                <w:sz w:val="20"/>
                <w:szCs w:val="20"/>
                <w:lang w:val="zh-CN"/>
              </w:rPr>
            </w:pPr>
          </w:p>
        </w:tc>
        <w:tc>
          <w:tcPr>
            <w:tcW w:w="2392" w:type="dxa"/>
            <w:vMerge w:val="continue"/>
            <w:vAlign w:val="center"/>
          </w:tcPr>
          <w:p>
            <w:pPr>
              <w:spacing w:line="300" w:lineRule="exact"/>
              <w:jc w:val="left"/>
              <w:rPr>
                <w:rFonts w:ascii="仿宋" w:hAnsi="仿宋" w:eastAsia="仿宋" w:cs="微软雅黑"/>
                <w:color w:val="000000"/>
                <w:sz w:val="20"/>
                <w:szCs w:val="20"/>
                <w:lang w:val="zh-CN"/>
              </w:rPr>
            </w:pPr>
          </w:p>
        </w:tc>
        <w:tc>
          <w:tcPr>
            <w:tcW w:w="109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lang w:val="zh-CN"/>
              </w:rPr>
              <w:t>完成市委市政府各项重大宣传任务。</w:t>
            </w:r>
          </w:p>
          <w:p>
            <w:pPr>
              <w:spacing w:line="300" w:lineRule="exact"/>
              <w:jc w:val="left"/>
              <w:rPr>
                <w:rFonts w:ascii="仿宋" w:hAnsi="仿宋" w:eastAsia="仿宋" w:cs="微软雅黑"/>
                <w:color w:val="000000"/>
                <w:sz w:val="20"/>
                <w:szCs w:val="20"/>
                <w:lang w:val="zh-CN"/>
              </w:rPr>
            </w:pPr>
          </w:p>
        </w:tc>
        <w:tc>
          <w:tcPr>
            <w:tcW w:w="226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召开</w:t>
            </w:r>
            <w:r>
              <w:rPr>
                <w:rFonts w:hint="eastAsia" w:ascii="仿宋" w:hAnsi="仿宋" w:eastAsia="仿宋" w:cs="微软雅黑"/>
                <w:color w:val="000000"/>
                <w:sz w:val="20"/>
                <w:szCs w:val="20"/>
                <w:lang w:val="zh-CN"/>
              </w:rPr>
              <w:t>“北京市接诉即办”理论研讨会。</w:t>
            </w:r>
          </w:p>
        </w:tc>
        <w:tc>
          <w:tcPr>
            <w:tcW w:w="2490"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召开</w:t>
            </w:r>
            <w:r>
              <w:rPr>
                <w:rFonts w:hint="eastAsia" w:ascii="仿宋" w:hAnsi="仿宋" w:eastAsia="仿宋" w:cs="微软雅黑"/>
                <w:color w:val="000000"/>
                <w:sz w:val="20"/>
                <w:szCs w:val="20"/>
                <w:lang w:val="zh-CN"/>
              </w:rPr>
              <w:t>“北京市接诉即办”理论研讨会</w:t>
            </w:r>
            <w:r>
              <w:rPr>
                <w:rFonts w:hint="eastAsia" w:ascii="仿宋" w:hAnsi="仿宋" w:eastAsia="仿宋" w:cs="微软雅黑"/>
                <w:color w:val="000000"/>
                <w:sz w:val="20"/>
                <w:szCs w:val="20"/>
              </w:rPr>
              <w:t>1次。</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24" w:hRule="atLeast"/>
        </w:trPr>
        <w:tc>
          <w:tcPr>
            <w:tcW w:w="284" w:type="dxa"/>
            <w:vMerge w:val="continue"/>
            <w:vAlign w:val="center"/>
          </w:tcPr>
          <w:p>
            <w:pPr>
              <w:spacing w:line="300" w:lineRule="exact"/>
              <w:jc w:val="left"/>
              <w:rPr>
                <w:rFonts w:ascii="仿宋" w:hAnsi="仿宋" w:eastAsia="仿宋" w:cs="微软雅黑"/>
                <w:color w:val="000000"/>
                <w:sz w:val="20"/>
                <w:szCs w:val="20"/>
                <w:lang w:val="zh-CN"/>
              </w:rPr>
            </w:pPr>
          </w:p>
        </w:tc>
        <w:tc>
          <w:tcPr>
            <w:tcW w:w="2392" w:type="dxa"/>
            <w:vMerge w:val="continue"/>
            <w:vAlign w:val="center"/>
          </w:tcPr>
          <w:p>
            <w:pPr>
              <w:spacing w:line="300" w:lineRule="exact"/>
              <w:jc w:val="left"/>
              <w:rPr>
                <w:rFonts w:ascii="仿宋" w:hAnsi="仿宋" w:eastAsia="仿宋" w:cs="微软雅黑"/>
                <w:color w:val="000000"/>
                <w:sz w:val="20"/>
                <w:szCs w:val="20"/>
                <w:lang w:val="zh-CN"/>
              </w:rPr>
            </w:pPr>
          </w:p>
        </w:tc>
        <w:tc>
          <w:tcPr>
            <w:tcW w:w="1095" w:type="dxa"/>
            <w:vAlign w:val="center"/>
          </w:tcPr>
          <w:p>
            <w:pPr>
              <w:spacing w:line="300" w:lineRule="exact"/>
              <w:jc w:val="left"/>
              <w:rPr>
                <w:rFonts w:ascii="仿宋" w:hAnsi="仿宋" w:eastAsia="仿宋" w:cs="微软雅黑"/>
                <w:color w:val="000000"/>
                <w:sz w:val="20"/>
                <w:szCs w:val="20"/>
                <w:lang w:val="zh-CN"/>
              </w:rPr>
            </w:pPr>
          </w:p>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组织第十六届中国大学生年度人物评选活动。</w:t>
            </w:r>
          </w:p>
        </w:tc>
        <w:tc>
          <w:tcPr>
            <w:tcW w:w="226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通过项目的实施，大力选树新时代大学生先进榜样，充分展示高校大学生群体昂扬向上的精神风貌，激励广大青年学生立大志、明大德、成大才、担大任，努力成为堪当民族复兴重任的时代新人。</w:t>
            </w:r>
          </w:p>
        </w:tc>
        <w:tc>
          <w:tcPr>
            <w:tcW w:w="2490" w:type="dxa"/>
            <w:vAlign w:val="center"/>
          </w:tcPr>
          <w:p>
            <w:pPr>
              <w:spacing w:line="300" w:lineRule="exact"/>
              <w:jc w:val="left"/>
              <w:rPr>
                <w:rFonts w:ascii="仿宋" w:hAnsi="仿宋" w:eastAsia="仿宋" w:cs="微软雅黑"/>
                <w:color w:val="000000"/>
                <w:sz w:val="20"/>
                <w:szCs w:val="20"/>
              </w:rPr>
            </w:pPr>
            <w:r>
              <w:rPr>
                <w:rFonts w:hint="eastAsia" w:ascii="仿宋" w:hAnsi="仿宋" w:eastAsia="仿宋" w:cs="微软雅黑"/>
                <w:color w:val="000000"/>
                <w:sz w:val="20"/>
                <w:szCs w:val="20"/>
                <w:lang w:val="zh-CN"/>
              </w:rPr>
              <w:t>举办1次评选活动，年度人物20人。</w:t>
            </w:r>
          </w:p>
          <w:p>
            <w:pPr>
              <w:spacing w:line="300" w:lineRule="exact"/>
              <w:jc w:val="left"/>
              <w:rPr>
                <w:rFonts w:ascii="仿宋" w:hAnsi="仿宋" w:eastAsia="仿宋" w:cs="微软雅黑"/>
                <w:color w:val="000000"/>
                <w:sz w:val="20"/>
                <w:szCs w:val="20"/>
                <w:lang w:val="zh-CN"/>
              </w:rPr>
            </w:pPr>
          </w:p>
          <w:p>
            <w:pPr>
              <w:spacing w:line="300" w:lineRule="exact"/>
              <w:jc w:val="left"/>
              <w:rPr>
                <w:rFonts w:ascii="仿宋" w:hAnsi="仿宋" w:eastAsia="仿宋" w:cs="微软雅黑"/>
                <w:color w:val="000000"/>
                <w:sz w:val="20"/>
                <w:szCs w:val="20"/>
                <w:lang w:val="zh-CN"/>
              </w:rPr>
            </w:pP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75" w:hRule="atLeast"/>
        </w:trPr>
        <w:tc>
          <w:tcPr>
            <w:tcW w:w="284" w:type="dxa"/>
            <w:vMerge w:val="restart"/>
            <w:vAlign w:val="center"/>
          </w:tcPr>
          <w:p>
            <w:pPr>
              <w:spacing w:line="300" w:lineRule="exact"/>
              <w:jc w:val="left"/>
              <w:rPr>
                <w:rFonts w:ascii="仿宋" w:hAnsi="仿宋" w:eastAsia="仿宋" w:cs="微软雅黑"/>
                <w:color w:val="000000"/>
                <w:sz w:val="20"/>
                <w:szCs w:val="20"/>
              </w:rPr>
            </w:pPr>
            <w:r>
              <w:rPr>
                <w:rFonts w:hint="eastAsia" w:ascii="仿宋" w:hAnsi="仿宋" w:eastAsia="仿宋" w:cs="微软雅黑"/>
                <w:color w:val="000000"/>
                <w:sz w:val="20"/>
                <w:szCs w:val="20"/>
              </w:rPr>
              <w:t>4</w:t>
            </w:r>
          </w:p>
        </w:tc>
        <w:tc>
          <w:tcPr>
            <w:tcW w:w="2392" w:type="dxa"/>
            <w:vMerge w:val="restart"/>
            <w:vAlign w:val="center"/>
          </w:tcPr>
          <w:p>
            <w:pPr>
              <w:spacing w:line="300" w:lineRule="exact"/>
              <w:jc w:val="left"/>
              <w:rPr>
                <w:rFonts w:ascii="仿宋" w:hAnsi="仿宋" w:eastAsia="仿宋" w:cs="微软雅黑"/>
                <w:color w:val="000000"/>
                <w:sz w:val="20"/>
                <w:szCs w:val="20"/>
              </w:rPr>
            </w:pPr>
            <w:r>
              <w:rPr>
                <w:rFonts w:hint="eastAsia" w:ascii="仿宋" w:hAnsi="仿宋" w:eastAsia="仿宋" w:cs="微软雅黑"/>
                <w:color w:val="000000"/>
                <w:sz w:val="20"/>
                <w:szCs w:val="20"/>
              </w:rPr>
              <w:t>保障机构运行及其他。</w:t>
            </w:r>
          </w:p>
        </w:tc>
        <w:tc>
          <w:tcPr>
            <w:tcW w:w="109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落实“三保”政策，保障</w:t>
            </w:r>
            <w:r>
              <w:rPr>
                <w:rFonts w:hint="eastAsia" w:ascii="仿宋" w:hAnsi="仿宋" w:eastAsia="仿宋" w:cs="微软雅黑"/>
                <w:color w:val="000000"/>
                <w:sz w:val="20"/>
                <w:szCs w:val="20"/>
                <w:lang w:val="zh-CN"/>
              </w:rPr>
              <w:t>机构</w:t>
            </w:r>
            <w:r>
              <w:rPr>
                <w:rFonts w:hint="eastAsia" w:ascii="仿宋" w:hAnsi="仿宋" w:eastAsia="仿宋" w:cs="微软雅黑"/>
                <w:color w:val="000000"/>
                <w:sz w:val="20"/>
                <w:szCs w:val="20"/>
              </w:rPr>
              <w:t>正常</w:t>
            </w:r>
            <w:r>
              <w:rPr>
                <w:rFonts w:hint="eastAsia" w:ascii="仿宋" w:hAnsi="仿宋" w:eastAsia="仿宋" w:cs="微软雅黑"/>
                <w:color w:val="000000"/>
                <w:sz w:val="20"/>
                <w:szCs w:val="20"/>
                <w:lang w:val="zh-CN"/>
              </w:rPr>
              <w:t>运行。</w:t>
            </w:r>
          </w:p>
        </w:tc>
        <w:tc>
          <w:tcPr>
            <w:tcW w:w="2265" w:type="dxa"/>
            <w:vAlign w:val="center"/>
          </w:tcPr>
          <w:p>
            <w:pPr>
              <w:spacing w:line="300" w:lineRule="exact"/>
              <w:jc w:val="left"/>
              <w:rPr>
                <w:rFonts w:ascii="仿宋" w:hAnsi="仿宋" w:eastAsia="仿宋" w:cs="微软雅黑"/>
                <w:color w:val="000000"/>
                <w:sz w:val="20"/>
                <w:szCs w:val="20"/>
              </w:rPr>
            </w:pPr>
            <w:r>
              <w:rPr>
                <w:rFonts w:hint="eastAsia" w:ascii="仿宋" w:hAnsi="仿宋" w:eastAsia="仿宋" w:cs="微软雅黑"/>
                <w:color w:val="000000"/>
                <w:sz w:val="20"/>
                <w:szCs w:val="20"/>
              </w:rPr>
              <w:t>确保全社在职和离退休人员工资及时、足额发放。</w:t>
            </w:r>
          </w:p>
        </w:tc>
        <w:tc>
          <w:tcPr>
            <w:tcW w:w="2490"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人员工资足额保障率为100%。基本支出科目调整次数≤5次。                                    工资发放及时率为100%。                 基本支出结转结余率≤5%。“三公”经费控制率≤100%。</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24" w:hRule="atLeast"/>
        </w:trPr>
        <w:tc>
          <w:tcPr>
            <w:tcW w:w="284" w:type="dxa"/>
            <w:vMerge w:val="continue"/>
            <w:vAlign w:val="center"/>
          </w:tcPr>
          <w:p>
            <w:pPr>
              <w:spacing w:line="300" w:lineRule="exact"/>
              <w:jc w:val="left"/>
              <w:rPr>
                <w:rFonts w:ascii="仿宋" w:hAnsi="仿宋" w:eastAsia="仿宋" w:cs="微软雅黑"/>
                <w:color w:val="000000"/>
                <w:sz w:val="20"/>
                <w:szCs w:val="20"/>
                <w:lang w:val="zh-CN"/>
              </w:rPr>
            </w:pPr>
          </w:p>
        </w:tc>
        <w:tc>
          <w:tcPr>
            <w:tcW w:w="2392" w:type="dxa"/>
            <w:vMerge w:val="continue"/>
          </w:tcPr>
          <w:p>
            <w:pPr>
              <w:spacing w:line="300" w:lineRule="exact"/>
              <w:jc w:val="left"/>
              <w:rPr>
                <w:rFonts w:ascii="仿宋" w:hAnsi="仿宋" w:eastAsia="仿宋" w:cs="微软雅黑"/>
                <w:color w:val="000000"/>
                <w:sz w:val="20"/>
                <w:szCs w:val="20"/>
                <w:lang w:val="zh-CN"/>
              </w:rPr>
            </w:pPr>
          </w:p>
        </w:tc>
        <w:tc>
          <w:tcPr>
            <w:tcW w:w="109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举办</w:t>
            </w:r>
            <w:r>
              <w:rPr>
                <w:rFonts w:hint="eastAsia" w:ascii="仿宋" w:hAnsi="仿宋" w:eastAsia="仿宋" w:cs="微软雅黑"/>
                <w:color w:val="000000"/>
                <w:sz w:val="20"/>
                <w:szCs w:val="20"/>
                <w:lang w:val="zh-CN"/>
              </w:rPr>
              <w:t>2021年全国党刊年会。</w:t>
            </w:r>
          </w:p>
          <w:p>
            <w:pPr>
              <w:spacing w:line="300" w:lineRule="exact"/>
              <w:jc w:val="left"/>
              <w:rPr>
                <w:rFonts w:ascii="仿宋" w:hAnsi="仿宋" w:eastAsia="仿宋" w:cs="微软雅黑"/>
                <w:color w:val="000000"/>
                <w:sz w:val="20"/>
                <w:szCs w:val="20"/>
                <w:lang w:val="zh-CN"/>
              </w:rPr>
            </w:pPr>
          </w:p>
        </w:tc>
        <w:tc>
          <w:tcPr>
            <w:tcW w:w="2265" w:type="dxa"/>
            <w:vAlign w:val="center"/>
          </w:tcPr>
          <w:p>
            <w:pPr>
              <w:spacing w:line="300" w:lineRule="exact"/>
              <w:jc w:val="left"/>
              <w:rPr>
                <w:rFonts w:ascii="仿宋" w:hAnsi="仿宋" w:eastAsia="仿宋" w:cs="微软雅黑"/>
                <w:color w:val="000000"/>
                <w:sz w:val="20"/>
                <w:szCs w:val="20"/>
                <w:lang w:val="zh-CN"/>
              </w:rPr>
            </w:pPr>
            <w:r>
              <w:rPr>
                <w:rFonts w:hint="eastAsia" w:ascii="仿宋" w:hAnsi="仿宋" w:eastAsia="仿宋" w:cs="微软雅黑"/>
                <w:color w:val="000000"/>
                <w:sz w:val="20"/>
                <w:szCs w:val="20"/>
              </w:rPr>
              <w:t>办好</w:t>
            </w:r>
            <w:r>
              <w:rPr>
                <w:rFonts w:hint="eastAsia" w:ascii="仿宋" w:hAnsi="仿宋" w:eastAsia="仿宋" w:cs="微软雅黑"/>
                <w:color w:val="000000"/>
                <w:sz w:val="20"/>
                <w:szCs w:val="20"/>
                <w:lang w:val="zh-CN"/>
              </w:rPr>
              <w:t>“庆祝建党100周年·党史学习教育”主题年会暨“庆百年华诞 访双奥之城”大型主题采访活动。</w:t>
            </w:r>
          </w:p>
        </w:tc>
        <w:tc>
          <w:tcPr>
            <w:tcW w:w="2490" w:type="dxa"/>
            <w:vAlign w:val="center"/>
          </w:tcPr>
          <w:p>
            <w:pPr>
              <w:spacing w:line="300" w:lineRule="exact"/>
              <w:jc w:val="left"/>
              <w:rPr>
                <w:rFonts w:ascii="仿宋" w:hAnsi="仿宋" w:eastAsia="仿宋" w:cs="微软雅黑"/>
                <w:color w:val="000000"/>
                <w:sz w:val="20"/>
                <w:szCs w:val="20"/>
              </w:rPr>
            </w:pPr>
            <w:r>
              <w:rPr>
                <w:rFonts w:hint="eastAsia" w:ascii="仿宋" w:hAnsi="仿宋" w:eastAsia="仿宋" w:cs="微软雅黑"/>
                <w:color w:val="000000"/>
                <w:sz w:val="20"/>
                <w:szCs w:val="20"/>
              </w:rPr>
              <w:t>参会的</w:t>
            </w:r>
            <w:r>
              <w:rPr>
                <w:rFonts w:hint="eastAsia" w:ascii="仿宋" w:hAnsi="仿宋" w:eastAsia="仿宋" w:cs="微软雅黑"/>
                <w:color w:val="000000"/>
                <w:sz w:val="20"/>
                <w:szCs w:val="20"/>
                <w:lang w:val="zh-CN"/>
              </w:rPr>
              <w:t>中央和国家机关及各省、自治区、直辖市所属党刊社</w:t>
            </w:r>
            <w:r>
              <w:rPr>
                <w:rFonts w:hint="eastAsia" w:ascii="仿宋" w:hAnsi="仿宋" w:eastAsia="仿宋" w:cs="微软雅黑"/>
                <w:color w:val="000000"/>
                <w:sz w:val="20"/>
                <w:szCs w:val="20"/>
              </w:rPr>
              <w:t>数量</w:t>
            </w:r>
            <w:r>
              <w:rPr>
                <w:rFonts w:hint="eastAsia" w:ascii="仿宋" w:hAnsi="仿宋" w:eastAsia="仿宋" w:cs="微软雅黑"/>
                <w:color w:val="000000"/>
                <w:sz w:val="20"/>
                <w:szCs w:val="20"/>
                <w:lang w:val="zh-CN"/>
              </w:rPr>
              <w:t>≥</w:t>
            </w:r>
            <w:r>
              <w:rPr>
                <w:rFonts w:hint="eastAsia" w:ascii="仿宋" w:hAnsi="仿宋" w:eastAsia="仿宋" w:cs="微软雅黑"/>
                <w:color w:val="000000"/>
                <w:sz w:val="20"/>
                <w:szCs w:val="20"/>
              </w:rPr>
              <w:t>40</w:t>
            </w:r>
            <w:r>
              <w:rPr>
                <w:rFonts w:hint="eastAsia" w:ascii="仿宋" w:hAnsi="仿宋" w:eastAsia="仿宋" w:cs="微软雅黑"/>
                <w:color w:val="000000"/>
                <w:sz w:val="20"/>
                <w:szCs w:val="20"/>
                <w:lang w:val="zh-CN"/>
              </w:rPr>
              <w:t>家。</w:t>
            </w:r>
          </w:p>
        </w:tc>
      </w:tr>
    </w:tbl>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二</w:t>
      </w:r>
      <w:r>
        <w:rPr>
          <w:rFonts w:ascii="仿宋" w:hAnsi="仿宋" w:eastAsia="仿宋" w:cs="Droid Sans"/>
          <w:color w:val="000000"/>
          <w:sz w:val="24"/>
          <w:lang w:val="zh-CN"/>
        </w:rPr>
        <w:t>、</w:t>
      </w:r>
      <w:r>
        <w:rPr>
          <w:rFonts w:hint="eastAsia" w:ascii="仿宋" w:hAnsi="仿宋" w:eastAsia="仿宋" w:cs="Droid Sans"/>
          <w:color w:val="000000"/>
          <w:sz w:val="24"/>
          <w:lang w:val="zh-CN"/>
        </w:rPr>
        <w:t>当年</w:t>
      </w:r>
      <w:r>
        <w:rPr>
          <w:rFonts w:ascii="仿宋" w:hAnsi="仿宋" w:eastAsia="仿宋" w:cs="Droid Sans"/>
          <w:color w:val="000000"/>
          <w:sz w:val="24"/>
          <w:lang w:val="zh-CN"/>
        </w:rPr>
        <w:t>预算执行情况</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202</w:t>
      </w:r>
      <w:r>
        <w:rPr>
          <w:rFonts w:hint="eastAsia" w:ascii="仿宋" w:hAnsi="仿宋" w:eastAsia="仿宋" w:cs="Droid Sans"/>
          <w:color w:val="000000"/>
          <w:sz w:val="24"/>
        </w:rPr>
        <w:t>1</w:t>
      </w:r>
      <w:r>
        <w:rPr>
          <w:rFonts w:hint="eastAsia" w:ascii="仿宋" w:hAnsi="仿宋" w:eastAsia="仿宋" w:cs="Droid Sans"/>
          <w:color w:val="000000"/>
          <w:sz w:val="24"/>
          <w:lang w:val="zh-CN"/>
        </w:rPr>
        <w:t>年全年预算数</w:t>
      </w:r>
      <w:r>
        <w:rPr>
          <w:rFonts w:hint="eastAsia" w:ascii="仿宋" w:hAnsi="仿宋" w:eastAsia="仿宋" w:cs="Droid Sans"/>
          <w:color w:val="000000"/>
          <w:sz w:val="24"/>
        </w:rPr>
        <w:t>6980.08</w:t>
      </w:r>
      <w:r>
        <w:rPr>
          <w:rFonts w:hint="eastAsia" w:ascii="仿宋" w:hAnsi="仿宋" w:eastAsia="仿宋" w:cs="Droid Sans"/>
          <w:color w:val="000000"/>
          <w:sz w:val="24"/>
          <w:lang w:val="zh-CN"/>
        </w:rPr>
        <w:t>万元，其中，基本支出预算数</w:t>
      </w:r>
      <w:r>
        <w:rPr>
          <w:rFonts w:hint="eastAsia" w:ascii="仿宋" w:hAnsi="仿宋" w:eastAsia="仿宋" w:cs="Droid Sans"/>
          <w:color w:val="000000"/>
          <w:sz w:val="24"/>
        </w:rPr>
        <w:t>4319.17</w:t>
      </w:r>
      <w:r>
        <w:rPr>
          <w:rFonts w:hint="eastAsia" w:ascii="仿宋" w:hAnsi="仿宋" w:eastAsia="仿宋" w:cs="Droid Sans"/>
          <w:color w:val="000000"/>
          <w:sz w:val="24"/>
          <w:lang w:val="zh-CN"/>
        </w:rPr>
        <w:t>万元，项目支出预算数</w:t>
      </w:r>
      <w:r>
        <w:rPr>
          <w:rFonts w:hint="eastAsia" w:ascii="仿宋" w:hAnsi="仿宋" w:eastAsia="仿宋" w:cs="Droid Sans"/>
          <w:color w:val="000000"/>
          <w:sz w:val="24"/>
        </w:rPr>
        <w:t>2288.35</w:t>
      </w:r>
      <w:r>
        <w:rPr>
          <w:rFonts w:hint="eastAsia" w:ascii="仿宋" w:hAnsi="仿宋" w:eastAsia="仿宋" w:cs="Droid Sans"/>
          <w:color w:val="000000"/>
          <w:sz w:val="24"/>
          <w:lang w:val="zh-CN"/>
        </w:rPr>
        <w:t>万元，经营支出预算数</w:t>
      </w:r>
      <w:r>
        <w:rPr>
          <w:rFonts w:hint="eastAsia" w:ascii="仿宋" w:hAnsi="仿宋" w:eastAsia="仿宋" w:cs="Droid Sans"/>
          <w:color w:val="000000"/>
          <w:sz w:val="24"/>
        </w:rPr>
        <w:t>372.56</w:t>
      </w:r>
      <w:r>
        <w:rPr>
          <w:rFonts w:hint="eastAsia" w:ascii="仿宋" w:hAnsi="仿宋" w:eastAsia="仿宋" w:cs="Droid Sans"/>
          <w:color w:val="000000"/>
          <w:sz w:val="24"/>
          <w:lang w:val="zh-CN"/>
        </w:rPr>
        <w:t>万元。</w:t>
      </w:r>
      <w:r>
        <w:rPr>
          <w:rFonts w:hint="eastAsia" w:ascii="仿宋" w:hAnsi="仿宋" w:eastAsia="仿宋" w:cs="宋体"/>
          <w:color w:val="000000"/>
          <w:kern w:val="0"/>
          <w:sz w:val="24"/>
        </w:rPr>
        <w:t>资金总体支出6402.75</w:t>
      </w:r>
      <w:r>
        <w:rPr>
          <w:rFonts w:ascii="仿宋" w:hAnsi="仿宋" w:eastAsia="仿宋" w:cs="宋体"/>
          <w:color w:val="000000"/>
          <w:kern w:val="0"/>
          <w:sz w:val="24"/>
        </w:rPr>
        <w:t>万元，其中，基本支出</w:t>
      </w:r>
      <w:r>
        <w:rPr>
          <w:rFonts w:hint="eastAsia" w:ascii="仿宋" w:hAnsi="仿宋" w:eastAsia="仿宋"/>
          <w:sz w:val="24"/>
        </w:rPr>
        <w:t>3976.32</w:t>
      </w:r>
      <w:r>
        <w:rPr>
          <w:rFonts w:ascii="仿宋" w:hAnsi="仿宋" w:eastAsia="仿宋" w:cs="宋体"/>
          <w:color w:val="000000"/>
          <w:kern w:val="0"/>
          <w:sz w:val="24"/>
        </w:rPr>
        <w:t>万元，项目</w:t>
      </w:r>
      <w:r>
        <w:rPr>
          <w:rFonts w:hint="eastAsia" w:ascii="仿宋" w:hAnsi="仿宋" w:eastAsia="仿宋" w:cs="宋体"/>
          <w:color w:val="000000"/>
          <w:kern w:val="0"/>
          <w:sz w:val="24"/>
        </w:rPr>
        <w:t>支出</w:t>
      </w:r>
      <w:r>
        <w:rPr>
          <w:rFonts w:hint="eastAsia" w:ascii="仿宋" w:hAnsi="仿宋" w:eastAsia="仿宋"/>
          <w:sz w:val="24"/>
        </w:rPr>
        <w:t>2317.06</w:t>
      </w:r>
      <w:r>
        <w:rPr>
          <w:rFonts w:ascii="仿宋" w:hAnsi="仿宋" w:eastAsia="仿宋" w:cs="宋体"/>
          <w:color w:val="000000"/>
          <w:kern w:val="0"/>
          <w:sz w:val="24"/>
        </w:rPr>
        <w:t>万元，</w:t>
      </w:r>
      <w:r>
        <w:rPr>
          <w:rFonts w:hint="eastAsia" w:ascii="仿宋" w:hAnsi="仿宋" w:eastAsia="仿宋" w:cs="宋体"/>
          <w:color w:val="000000"/>
          <w:kern w:val="0"/>
          <w:sz w:val="24"/>
        </w:rPr>
        <w:t>经营</w:t>
      </w:r>
      <w:r>
        <w:rPr>
          <w:rFonts w:ascii="仿宋" w:hAnsi="仿宋" w:eastAsia="仿宋" w:cs="宋体"/>
          <w:color w:val="000000"/>
          <w:kern w:val="0"/>
          <w:sz w:val="24"/>
        </w:rPr>
        <w:t>支出</w:t>
      </w:r>
      <w:r>
        <w:rPr>
          <w:rFonts w:hint="eastAsia" w:ascii="仿宋" w:hAnsi="仿宋" w:eastAsia="仿宋"/>
          <w:sz w:val="24"/>
        </w:rPr>
        <w:t>109.37</w:t>
      </w:r>
      <w:r>
        <w:rPr>
          <w:rFonts w:ascii="仿宋" w:hAnsi="仿宋" w:eastAsia="仿宋" w:cs="宋体"/>
          <w:color w:val="000000"/>
          <w:kern w:val="0"/>
          <w:sz w:val="24"/>
        </w:rPr>
        <w:t>万元。</w:t>
      </w:r>
      <w:r>
        <w:rPr>
          <w:rFonts w:hint="eastAsia" w:ascii="仿宋" w:hAnsi="仿宋" w:eastAsia="仿宋" w:cs="宋体"/>
          <w:color w:val="000000"/>
          <w:kern w:val="0"/>
          <w:sz w:val="24"/>
        </w:rPr>
        <w:t>预算</w:t>
      </w:r>
      <w:r>
        <w:rPr>
          <w:rFonts w:ascii="仿宋" w:hAnsi="仿宋" w:eastAsia="仿宋" w:cs="宋体"/>
          <w:color w:val="000000"/>
          <w:kern w:val="0"/>
          <w:sz w:val="24"/>
        </w:rPr>
        <w:t>执行率为</w:t>
      </w:r>
      <w:r>
        <w:rPr>
          <w:rFonts w:hint="eastAsia" w:ascii="仿宋" w:hAnsi="仿宋" w:eastAsia="仿宋" w:cs="宋体"/>
          <w:color w:val="000000"/>
          <w:kern w:val="0"/>
          <w:sz w:val="24"/>
        </w:rPr>
        <w:t>92%。</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三、</w:t>
      </w:r>
      <w:r>
        <w:rPr>
          <w:rFonts w:ascii="仿宋" w:hAnsi="仿宋" w:eastAsia="仿宋" w:cs="Droid Sans"/>
          <w:color w:val="000000"/>
          <w:sz w:val="24"/>
          <w:lang w:val="zh-CN"/>
        </w:rPr>
        <w:t>整体绩效目标实现情况</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 xml:space="preserve">（一）产出完成情况分析 </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1.产出数量及质量</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（1）保质保量完成编辑出版发行《前线》《北京支部生活》《大学生》杂志</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 xml:space="preserve"> 编辑出版发行《前线》《北京支部生活》《大学生》杂志正刊各12期，全年36期；编辑出版</w:t>
      </w:r>
      <w:r>
        <w:rPr>
          <w:rFonts w:hint="eastAsia" w:ascii="仿宋" w:hAnsi="仿宋" w:eastAsia="仿宋" w:cs="Droid Sans"/>
          <w:color w:val="000000"/>
          <w:sz w:val="24"/>
          <w:lang w:val="zh-CN" w:eastAsia="zh-CN"/>
        </w:rPr>
        <w:t>发行</w:t>
      </w:r>
      <w:r>
        <w:rPr>
          <w:rFonts w:hint="eastAsia" w:ascii="仿宋" w:hAnsi="仿宋" w:eastAsia="仿宋" w:cs="Droid Sans"/>
          <w:color w:val="000000"/>
          <w:sz w:val="24"/>
          <w:lang w:val="zh-CN"/>
        </w:rPr>
        <w:t>《前线》杂志增刊和《大学生》杂志增刊各1期。《前线》杂志刊发文章近400篇、图片160余幅。《北京支部生活》杂志刊发文章400余篇、图片1200余幅。《大学生》杂志刊发文章600余篇、图片1500幅。</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（2）大力推进媒体融合发展，做好前线客户端、“前线理论圈”微信公众号、“中国大学生网”微信公众号等平台内容建设</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前线客户端全年发布原创稿件约2000篇，图片约5000张；前线客户端全年阅读量累计超过10万次的稿件112篇，100万次的稿件13篇，1000万次的稿件2篇，亿次的稿件4篇。前线网每月发稿200篇。“前线理论圈”微信公众号全年发布原创文章25篇；“中国大学生网”微信公众号全年发表原创文章383篇；“东方红啦”微信公众号全年发表原创文章100篇。前线学习手机报全年编发52期。音像制品《党课一小时》全年摄制出版6辑。</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（3）完成市委交办的其他任务</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北京市习近平新时代中国特色社会主义思想研究中心前线杂志社研究基地全年在中央“三报一刊”发表文章</w:t>
      </w:r>
      <w:r>
        <w:rPr>
          <w:rFonts w:hint="eastAsia" w:ascii="仿宋" w:hAnsi="仿宋" w:eastAsia="仿宋" w:cs="Droid Sans"/>
          <w:color w:val="000000"/>
          <w:sz w:val="24"/>
          <w:lang w:val="en-US" w:eastAsia="zh-CN"/>
        </w:rPr>
        <w:t>17</w:t>
      </w:r>
      <w:r>
        <w:rPr>
          <w:rFonts w:hint="eastAsia" w:ascii="仿宋" w:hAnsi="仿宋" w:eastAsia="仿宋" w:cs="Droid Sans"/>
          <w:color w:val="000000"/>
          <w:sz w:val="24"/>
          <w:lang w:val="zh-CN"/>
        </w:rPr>
        <w:t>篇，圆满完成各项理论研究宣传任务。</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精心组织第十六届中国大学生年度人物评选活动。共有2600多所高校参加，评选年度人物20人，提名20人，入围101人，得到教育部的高度认可。</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（4）保障机构运行</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落实“三保”政策，保障机构正常运行。2021年安排基本经费4319.17万元。其中，人员经费3999.91万元，保障了全社在职人员和离退休人员的工资及津贴补贴发放；公用经费319.26万元，保障了杂志社日常运转。</w:t>
      </w:r>
    </w:p>
    <w:p>
      <w:pPr>
        <w:spacing w:line="300" w:lineRule="exact"/>
        <w:ind w:firstLine="480" w:firstLineChars="200"/>
        <w:rPr>
          <w:rFonts w:ascii="仿宋" w:hAnsi="仿宋" w:eastAsia="仿宋" w:cs="Droid Sans"/>
          <w:sz w:val="24"/>
          <w:lang w:val="zh-CN"/>
        </w:rPr>
      </w:pPr>
      <w:r>
        <w:rPr>
          <w:rFonts w:hint="eastAsia" w:ascii="仿宋" w:hAnsi="仿宋" w:eastAsia="仿宋" w:cs="Droid Sans"/>
          <w:sz w:val="24"/>
          <w:lang w:val="zh-CN"/>
        </w:rPr>
        <w:t>（二）效果实现情况分析</w:t>
      </w:r>
    </w:p>
    <w:p>
      <w:pPr>
        <w:spacing w:line="300" w:lineRule="exact"/>
        <w:ind w:firstLine="480" w:firstLineChars="200"/>
        <w:rPr>
          <w:rFonts w:ascii="仿宋" w:hAnsi="仿宋" w:eastAsia="仿宋" w:cs="Droid Sans"/>
          <w:sz w:val="24"/>
          <w:lang w:val="zh-CN"/>
        </w:rPr>
      </w:pPr>
      <w:r>
        <w:rPr>
          <w:rFonts w:hint="eastAsia" w:ascii="仿宋" w:hAnsi="仿宋" w:eastAsia="仿宋" w:cs="Droid Sans"/>
          <w:sz w:val="24"/>
          <w:lang w:val="zh-CN"/>
        </w:rPr>
        <w:t>1．经济效益</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落实政府部门过紧日子的要求，提高项目规划水平，按照轻重缓急对项目进行排序，2021年预算数在2020年基础上压减资金869.3万元。</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2.社会效益</w:t>
      </w:r>
    </w:p>
    <w:p>
      <w:pPr>
        <w:spacing w:line="300" w:lineRule="exact"/>
        <w:ind w:firstLine="480" w:firstLineChars="200"/>
        <w:rPr>
          <w:rFonts w:ascii="仿宋" w:hAnsi="仿宋" w:eastAsia="仿宋" w:cs="Droid Sans"/>
          <w:color w:val="000000"/>
          <w:sz w:val="24"/>
          <w:lang w:val="zh-CN"/>
        </w:rPr>
      </w:pPr>
      <w:r>
        <w:rPr>
          <w:rFonts w:hint="eastAsia" w:ascii="仿宋" w:hAnsi="仿宋" w:eastAsia="仿宋" w:cs="Droid Sans"/>
          <w:color w:val="000000"/>
          <w:sz w:val="24"/>
          <w:lang w:val="zh-CN"/>
        </w:rPr>
        <w:t>（1</w:t>
      </w:r>
      <w:r>
        <w:rPr>
          <w:rFonts w:ascii="仿宋" w:hAnsi="仿宋" w:eastAsia="仿宋" w:cs="Droid Sans"/>
          <w:color w:val="000000"/>
          <w:sz w:val="24"/>
          <w:lang w:val="zh-CN"/>
        </w:rPr>
        <w:t>）</w:t>
      </w:r>
      <w:r>
        <w:rPr>
          <w:rFonts w:hint="eastAsia" w:ascii="仿宋" w:hAnsi="仿宋" w:eastAsia="仿宋" w:cs="Droid Sans"/>
          <w:color w:val="000000"/>
          <w:sz w:val="24"/>
          <w:lang w:val="zh-CN"/>
        </w:rPr>
        <w:t>坚持党刊姓党，深入宣传贯彻习近平新时代中国特色社会主义思想。</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一是把宣传贯彻习近平新时代中国特色社会主义思想作为首要政治任务。《前线》杂志“习近平新时代中国特色社会主义思想”栏目，邀请知名专家学者撰写并刊发原创首发文章27篇。“首都发展与首都治理”栏目，围绕习近平新时代中国特色社会主义思想在京华大地的生动实践，组织刊发文章38篇。前线杂志社研究基地被中共北京市委宣传部、北京市习近平新时代中国特色社会主义思想研究中心评为优秀研究基地，全年完成重点文章写作任务5篇，入选十九届五中全会重大专项课题1项、“七一”重要讲话研究阐释重大项目3项。</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二是组织主题宣传活动，庆祝中国共产党成立100周年。出版《前线·党史学习教育专辑》。做好“奋斗百年路 启航新征程”大型主题采访报道工作。《前线》开设“奋斗百年路  启航新征程”专栏，《北京支部生活》开设“百年红船 风华正茂•庆祝中国共产党成立100周年”等专栏。与市委宣传部、市委网信办共同策划主办了“永远跟党走”歌曲传唱活动，举行活动2000余场，在学习强国、北京时间客户端、今日头条等平台集中发力，形成全方位立体化传播态势。圆满完成“庆祝建党100周年•党史学习教育”主题年会暨“庆百年华诞 访双奥之城”大型主题采访活动，来自中央和国家机关及各省、自治区、直辖市所属52家党刊社的100多名领导和编辑记者参加活动，相关报道在学习强国、北京日报、北京电视台以及各省区市党刊社的媒体平台刊发播出，为党的百年华诞献上一份厚礼。</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（2）以核心期刊标准为抓手，办最好党刊。</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一是向最好党刊目标稳步迈进。截至2021年年末，《前线》杂志文章被转载15篇。其中，《新华文摘》转载7篇、《人大报刊复印资料》转载7篇、《光明日报》转载1篇。《前线》杂志继入选全国百强期刊、中国人文社会科学（AMI）核心期刊之后，2021年荣获第五届中国出版政府奖期刊奖提名奖。《北京支部生活》杂志荣获2021年全国优秀封面设计奖。《大学生》杂志荣获2021年全国优秀版面设计奖。</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二是深入宣传北京市接诉即办改革。与市政务服务管理局联合发起“北京党建引领接诉即办改革论坛”，承办了其平行论坛一“深化党建引领 推动首都基层治理现代化论坛”，编辑出版了《北京党建引领接诉即办改革理论思考与实践探索》。</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（3）以媒体融合为抓手，谋高质量发展。</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前线客户端开设《光荣在党50年》专题，集中宣传北京百名党员风采人物先进事迹，总阅读量超3341万。组织“赓续红色基因 凝聚奋进力量”线上主题宣传活动。《答卷人》系列作品全网点击量累计总次数超10亿次。</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四、预算管理情况分析</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（一）财务管理</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1.财务管理制度健全性</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为健全完善财务管理制度，规范财务管理，充分发挥财务管理的监督核算保障职能，前线杂志社先后制定了《中共北京市委前线杂志社财务管理制度》等11项财务管理制度。根据北京市出台的新政策新要求，结合实际工作中的新情况新问题，及时就现有制度内容进行修订，有效保证了财务管理制度的健全。同时，以内部控制体系建设为抓手，结合外部要求及本社实际，对决策机制、审批权限、预算管理、支出管理、采购管理、资产管理、合同管理等业务流程进行梳理，编制了《中共北京市委前线杂志社内部控制手册》。</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2.资金使用合规性和安全性</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前线杂志社严格执行各项规章制度，未发现截留、挤占、挪用 、虚列支出等情况，资金使用合理合规。在资金使用监管上，落实重大支出集体研究制度，年度资金分配履行相关报批手续，会计凭证资料保存完整、装订规范。</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3.会计基础信息完善性</w:t>
      </w:r>
    </w:p>
    <w:p>
      <w:pPr>
        <w:spacing w:line="300" w:lineRule="exact"/>
        <w:ind w:firstLine="480" w:firstLineChars="200"/>
        <w:rPr>
          <w:rFonts w:hint="eastAsia" w:ascii="仿宋" w:hAnsi="仿宋" w:eastAsia="仿宋" w:cs="Droid Sans"/>
          <w:color w:val="000000"/>
          <w:sz w:val="24"/>
          <w:lang w:val="zh-CN"/>
        </w:rPr>
      </w:pPr>
      <w:bookmarkStart w:id="0" w:name="_Toc8871"/>
      <w:bookmarkStart w:id="1" w:name="_Toc32702"/>
      <w:r>
        <w:rPr>
          <w:rFonts w:hint="eastAsia" w:ascii="仿宋" w:hAnsi="仿宋" w:eastAsia="仿宋" w:cs="Droid Sans"/>
          <w:color w:val="000000"/>
          <w:sz w:val="24"/>
          <w:lang w:val="zh-CN"/>
        </w:rPr>
        <w:t>在费用报销及合同付款过程中，严格审批，谨慎支付。基础数据信息和会计信息资料能够做到真实、完整、准确。</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（二）资产管理</w:t>
      </w:r>
      <w:bookmarkEnd w:id="0"/>
      <w:bookmarkEnd w:id="1"/>
    </w:p>
    <w:p>
      <w:pPr>
        <w:spacing w:line="300" w:lineRule="exact"/>
        <w:ind w:firstLine="480" w:firstLineChars="200"/>
        <w:rPr>
          <w:rFonts w:hint="eastAsia" w:ascii="仿宋" w:hAnsi="仿宋" w:eastAsia="仿宋" w:cs="Droid Sans"/>
          <w:color w:val="000000"/>
          <w:sz w:val="24"/>
          <w:lang w:val="zh-CN"/>
        </w:rPr>
      </w:pPr>
      <w:bookmarkStart w:id="2" w:name="_Toc10199"/>
      <w:bookmarkStart w:id="3" w:name="_Toc3022"/>
      <w:r>
        <w:rPr>
          <w:rFonts w:hint="eastAsia" w:ascii="仿宋" w:hAnsi="仿宋" w:eastAsia="仿宋" w:cs="Droid Sans"/>
          <w:color w:val="000000"/>
          <w:sz w:val="24"/>
          <w:lang w:val="zh-CN"/>
        </w:rPr>
        <w:t>为提高财政资金使用效益，保证国有资产的安全完整，前线杂志社加强资产管理，定期对账，清理往来事项，及时处置财务挂账；定期对固定资产进行盘点，及时登记新购置的固定资产，按规定程序开展清理报废工作，确保资产安全完整，配置合理，使用和处理规范。</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（三）绩效管理</w:t>
      </w:r>
      <w:bookmarkEnd w:id="2"/>
      <w:bookmarkEnd w:id="3"/>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高度重视绩效管理工作，将绩效理念深度融入预算编制、执行和监督全过程，构建事前、事中、事后绩效管理闭环，扎实做好各项绩效管理工作。</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一是主动开展事前绩效评审。在安排2022年度项目预算时，对8个项目进行了事前预算评审。</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二是加强绩效目标管理。按照市财政局要求，将2021年预算项目支出绩效目标填报范围由原来的30％扩展为全部项目，完成了10个项目支出绩效目标申报表的审核及系统录入工作。</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三是开展事中绩效监控和事后绩效自评。对2021年度部门项目1至6月预算执行情况和绩效目标实现情况等内容进行了监督、控制和管理，并形成报告，项目数量10个，占部门项目总数的100%。对2020年度部门项目实施了绩效评价，评价项目15个，占部门项目总数的100%。</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四是开展成本绩效评价。对“杂志印刷费”项目开展成本预算绩效分析工作，并将分析结果运用在2022年预算编报工作中，节约资金75.78万元，进一步提升了资金使用的科学化</w:t>
      </w:r>
      <w:r>
        <w:rPr>
          <w:rFonts w:hint="eastAsia" w:ascii="仿宋" w:hAnsi="仿宋" w:eastAsia="仿宋" w:cs="Droid Sans"/>
          <w:color w:val="000000"/>
          <w:sz w:val="24"/>
          <w:lang w:val="zh-CN" w:eastAsia="zh-CN"/>
        </w:rPr>
        <w:t>和</w:t>
      </w:r>
      <w:r>
        <w:rPr>
          <w:rFonts w:hint="eastAsia" w:ascii="仿宋" w:hAnsi="仿宋" w:eastAsia="仿宋" w:cs="Droid Sans"/>
          <w:color w:val="000000"/>
          <w:sz w:val="24"/>
          <w:lang w:val="zh-CN"/>
        </w:rPr>
        <w:t>精细化管理水平。</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（四）结转结余率</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2021年结转结余总额232.41万元，结转结余率为3.3%，较上年度下降了4.66%。</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（五）部门预决算差异率</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2021年部门预决算差异率为8.27%，低于市级平均差异率2</w:t>
      </w:r>
      <w:r>
        <w:rPr>
          <w:rFonts w:hint="eastAsia" w:ascii="仿宋" w:hAnsi="仿宋" w:eastAsia="仿宋" w:cs="Droid Sans"/>
          <w:color w:val="000000"/>
          <w:sz w:val="24"/>
          <w:lang w:val="en-US" w:eastAsia="zh-CN"/>
        </w:rPr>
        <w:t>0</w:t>
      </w:r>
      <w:r>
        <w:rPr>
          <w:rFonts w:hint="eastAsia" w:ascii="仿宋" w:hAnsi="仿宋" w:eastAsia="仿宋" w:cs="Droid Sans"/>
          <w:color w:val="000000"/>
          <w:sz w:val="24"/>
          <w:lang w:val="zh-CN"/>
        </w:rPr>
        <w:t>.</w:t>
      </w:r>
      <w:r>
        <w:rPr>
          <w:rFonts w:hint="eastAsia" w:ascii="仿宋" w:hAnsi="仿宋" w:eastAsia="仿宋" w:cs="Droid Sans"/>
          <w:color w:val="000000"/>
          <w:sz w:val="24"/>
          <w:lang w:val="en-US" w:eastAsia="zh-CN"/>
        </w:rPr>
        <w:t>03</w:t>
      </w:r>
      <w:r>
        <w:rPr>
          <w:rFonts w:hint="eastAsia" w:ascii="仿宋" w:hAnsi="仿宋" w:eastAsia="仿宋" w:cs="Droid Sans"/>
          <w:color w:val="000000"/>
          <w:sz w:val="24"/>
          <w:lang w:val="zh-CN"/>
        </w:rPr>
        <w:t>%</w:t>
      </w:r>
      <w:bookmarkStart w:id="14" w:name="_GoBack"/>
      <w:bookmarkEnd w:id="14"/>
      <w:r>
        <w:rPr>
          <w:rFonts w:hint="eastAsia" w:ascii="仿宋" w:hAnsi="仿宋" w:eastAsia="仿宋" w:cs="Droid Sans"/>
          <w:color w:val="000000"/>
          <w:sz w:val="24"/>
          <w:lang w:val="zh-CN"/>
        </w:rPr>
        <w:t>，部门预决算差异率控制情况较好。</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 xml:space="preserve">五、总体评价结论     </w:t>
      </w:r>
    </w:p>
    <w:p>
      <w:pPr>
        <w:spacing w:line="300" w:lineRule="exact"/>
        <w:ind w:firstLine="480" w:firstLineChars="200"/>
        <w:rPr>
          <w:rFonts w:hint="eastAsia" w:ascii="仿宋" w:hAnsi="仿宋" w:eastAsia="仿宋" w:cs="Droid Sans"/>
          <w:color w:val="000000"/>
          <w:sz w:val="24"/>
          <w:lang w:val="zh-CN"/>
        </w:rPr>
      </w:pPr>
      <w:bookmarkStart w:id="4" w:name="_Toc16373"/>
      <w:bookmarkStart w:id="5" w:name="_Toc18073"/>
      <w:bookmarkStart w:id="6" w:name="_Toc8414"/>
      <w:bookmarkStart w:id="7" w:name="_Toc9756"/>
      <w:r>
        <w:rPr>
          <w:rFonts w:hint="eastAsia" w:ascii="仿宋" w:hAnsi="仿宋" w:eastAsia="仿宋" w:cs="Droid Sans"/>
          <w:color w:val="000000"/>
          <w:sz w:val="24"/>
          <w:lang w:val="zh-CN"/>
        </w:rPr>
        <w:t>（一）评价得分情况</w:t>
      </w:r>
      <w:bookmarkEnd w:id="4"/>
      <w:bookmarkEnd w:id="5"/>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2021年前线杂志社部门整体绩效评价综合评价得分92.5分，其中，当年预算执行情况17分，整体绩效目标实现情况56分，预算管理情况19.5分，综合评价等级为“优秀”。具体评分见《前线杂志社</w:t>
      </w:r>
      <w:bookmarkEnd w:id="6"/>
      <w:bookmarkEnd w:id="7"/>
      <w:bookmarkStart w:id="8" w:name="_Toc10673"/>
      <w:bookmarkStart w:id="9" w:name="_Toc23936"/>
      <w:r>
        <w:rPr>
          <w:rFonts w:hint="eastAsia" w:ascii="仿宋" w:hAnsi="仿宋" w:eastAsia="仿宋" w:cs="Droid Sans"/>
          <w:color w:val="000000"/>
          <w:sz w:val="24"/>
          <w:lang w:val="zh-CN"/>
        </w:rPr>
        <w:t>2021年部门整体绩效评价指标体系评分表</w:t>
      </w:r>
      <w:bookmarkEnd w:id="8"/>
      <w:bookmarkEnd w:id="9"/>
      <w:r>
        <w:rPr>
          <w:rFonts w:hint="eastAsia" w:ascii="仿宋" w:hAnsi="仿宋" w:eastAsia="仿宋" w:cs="Droid Sans"/>
          <w:color w:val="000000"/>
          <w:sz w:val="24"/>
          <w:lang w:val="zh-CN"/>
        </w:rPr>
        <w:t>》。</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（二）存在的问题及原因分析</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部门整体绩效目标和绩效指标的设定还需进一步优化。整体绩效目标和绩效指标的设定主要依据杂志社职能职责和年度工作计划确定，因前线杂志社多个新媒体平台的属性存在差异，导致各平台产品的内容生产要求、呈现形式、刊发推送时间均不同，实现部门整体绩效目标全覆盖和绩效指标细化量化的难度较大，因此，部门整体绩效目标和绩效指标设定需要在科学性、合理性、可量化等方面进一步优化。</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六、措施建议</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（一）构建科学合理的绩效目标管理组织实施体系，推进预算管理与绩效管理一体化</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借鉴北京市宣传系统事业单位创新实施绩效目标管理的理念和技术方法，进一步增强前线杂志社战略目标、年度工作任务、预算资金与项目支出绩效目标落实之间的关联性。加强杂志社内部沟通协作，建立绩效目标管理统筹部门、业务部门和项目负责人之间的业务沟通，强化财务部门与业务部门的有效衔接，提升各项目部门对绩效目标管理的重视程度，合理制定绩效目标，提高绩效指标的科学性、合理性、可衡量性。</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（二）加大财政资金统筹力度，提升预算管理水平</w:t>
      </w:r>
    </w:p>
    <w:p>
      <w:pPr>
        <w:spacing w:line="300" w:lineRule="exact"/>
        <w:ind w:firstLine="480" w:firstLineChars="200"/>
        <w:rPr>
          <w:rFonts w:hint="eastAsia" w:ascii="仿宋" w:hAnsi="仿宋" w:eastAsia="仿宋" w:cs="Droid Sans"/>
          <w:color w:val="000000"/>
          <w:sz w:val="24"/>
          <w:lang w:val="zh-CN"/>
        </w:rPr>
      </w:pPr>
      <w:r>
        <w:rPr>
          <w:rFonts w:hint="eastAsia" w:ascii="仿宋" w:hAnsi="仿宋" w:eastAsia="仿宋" w:cs="Droid Sans"/>
          <w:color w:val="000000"/>
          <w:sz w:val="24"/>
          <w:lang w:val="zh-CN"/>
        </w:rPr>
        <w:t>围绕杂志社中心工作，合理安排重点项目预算资金，增强预算资金与工作需求的匹配程度，全面提高预算编制的科学化精细化水平；打破惯性思维，加强结转结余资金管理，逐年消化存量资金。</w:t>
      </w:r>
    </w:p>
    <w:p>
      <w:pPr>
        <w:spacing w:line="300" w:lineRule="exact"/>
        <w:ind w:firstLine="480" w:firstLineChars="200"/>
        <w:rPr>
          <w:rFonts w:ascii="仿宋" w:hAnsi="仿宋" w:eastAsia="仿宋" w:cs="Droid Sans"/>
          <w:color w:val="000000"/>
          <w:sz w:val="24"/>
          <w:lang w:val="zh-CN"/>
        </w:rPr>
      </w:pPr>
      <w:bookmarkStart w:id="10" w:name="_Toc4599"/>
      <w:bookmarkStart w:id="11" w:name="_Toc13477"/>
      <w:bookmarkStart w:id="12" w:name="_Toc5559"/>
      <w:bookmarkStart w:id="13" w:name="_Toc28221"/>
      <w:r>
        <w:rPr>
          <w:rFonts w:hint="eastAsia" w:ascii="仿宋" w:hAnsi="仿宋" w:eastAsia="仿宋" w:cs="Droid Sans"/>
          <w:color w:val="000000"/>
          <w:sz w:val="24"/>
          <w:lang w:val="zh-CN"/>
        </w:rPr>
        <w:t>七、附件</w:t>
      </w:r>
      <w:bookmarkEnd w:id="10"/>
      <w:bookmarkEnd w:id="11"/>
      <w:bookmarkEnd w:id="12"/>
      <w:bookmarkEnd w:id="13"/>
    </w:p>
    <w:p>
      <w:pPr>
        <w:spacing w:line="300" w:lineRule="exact"/>
        <w:ind w:firstLine="480" w:firstLineChars="200"/>
        <w:rPr>
          <w:rFonts w:ascii="仿宋" w:hAnsi="仿宋" w:eastAsia="仿宋"/>
          <w:kern w:val="0"/>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r>
        <w:rPr>
          <w:rFonts w:hint="eastAsia" w:ascii="仿宋" w:hAnsi="仿宋" w:eastAsia="仿宋" w:cs="Droid Sans"/>
          <w:color w:val="000000"/>
          <w:sz w:val="24"/>
          <w:lang w:val="zh-CN"/>
        </w:rPr>
        <w:t>前线杂志社2021年部门整体绩效评价指标体系评分表</w:t>
      </w:r>
    </w:p>
    <w:tbl>
      <w:tblPr>
        <w:tblStyle w:val="11"/>
        <w:tblW w:w="5000" w:type="pct"/>
        <w:tblInd w:w="0" w:type="dxa"/>
        <w:tblLayout w:type="fixed"/>
        <w:tblCellMar>
          <w:top w:w="0" w:type="dxa"/>
          <w:left w:w="108" w:type="dxa"/>
          <w:bottom w:w="0" w:type="dxa"/>
          <w:right w:w="108" w:type="dxa"/>
        </w:tblCellMar>
      </w:tblPr>
      <w:tblGrid>
        <w:gridCol w:w="674"/>
        <w:gridCol w:w="757"/>
        <w:gridCol w:w="899"/>
        <w:gridCol w:w="2988"/>
        <w:gridCol w:w="2733"/>
        <w:gridCol w:w="598"/>
        <w:gridCol w:w="544"/>
        <w:gridCol w:w="2622"/>
        <w:gridCol w:w="2359"/>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36"/>
                <w:szCs w:val="36"/>
              </w:rPr>
              <w:t>前线杂志社2021年部门整体绩效评价指标体系评分表</w:t>
            </w:r>
          </w:p>
        </w:tc>
      </w:tr>
      <w:tr>
        <w:tblPrEx>
          <w:tblCellMar>
            <w:top w:w="0" w:type="dxa"/>
            <w:left w:w="108" w:type="dxa"/>
            <w:bottom w:w="0" w:type="dxa"/>
            <w:right w:w="108" w:type="dxa"/>
          </w:tblCellMar>
        </w:tblPrEx>
        <w:trPr>
          <w:trHeight w:val="420" w:hRule="atLeast"/>
        </w:trPr>
        <w:tc>
          <w:tcPr>
            <w:tcW w:w="5000" w:type="pct"/>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一、当年预算执行情况（20分）</w:t>
            </w:r>
          </w:p>
        </w:tc>
      </w:tr>
      <w:tr>
        <w:tblPrEx>
          <w:tblCellMar>
            <w:top w:w="0" w:type="dxa"/>
            <w:left w:w="108" w:type="dxa"/>
            <w:bottom w:w="0" w:type="dxa"/>
            <w:right w:w="108" w:type="dxa"/>
          </w:tblCellMar>
        </w:tblPrEx>
        <w:trPr>
          <w:trHeight w:val="617" w:hRule="atLeast"/>
        </w:trPr>
        <w:tc>
          <w:tcPr>
            <w:tcW w:w="23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一</w:t>
            </w:r>
            <w:r>
              <w:rPr>
                <w:rFonts w:ascii="宋体" w:hAnsi="宋体" w:cs="宋体"/>
                <w:color w:val="000000"/>
                <w:kern w:val="0"/>
                <w:sz w:val="16"/>
                <w:szCs w:val="16"/>
              </w:rPr>
              <w:t>级</w:t>
            </w:r>
          </w:p>
          <w:p>
            <w:pPr>
              <w:widowControl/>
              <w:jc w:val="center"/>
              <w:rPr>
                <w:rFonts w:ascii="宋体" w:hAnsi="宋体" w:cs="宋体"/>
                <w:color w:val="000000"/>
                <w:kern w:val="0"/>
                <w:sz w:val="16"/>
                <w:szCs w:val="16"/>
              </w:rPr>
            </w:pPr>
            <w:r>
              <w:rPr>
                <w:rFonts w:ascii="宋体" w:hAnsi="宋体" w:cs="宋体"/>
                <w:color w:val="000000"/>
                <w:kern w:val="0"/>
                <w:sz w:val="16"/>
                <w:szCs w:val="16"/>
              </w:rPr>
              <w:t>指标</w:t>
            </w:r>
            <w:r>
              <w:rPr>
                <w:rFonts w:hint="eastAsia" w:ascii="宋体" w:hAnsi="宋体" w:cs="宋体"/>
                <w:color w:val="000000"/>
                <w:kern w:val="0"/>
                <w:sz w:val="16"/>
                <w:szCs w:val="16"/>
              </w:rPr>
              <w:t>　</w:t>
            </w:r>
          </w:p>
        </w:tc>
        <w:tc>
          <w:tcPr>
            <w:tcW w:w="26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二</w:t>
            </w:r>
            <w:r>
              <w:rPr>
                <w:rFonts w:ascii="宋体" w:hAnsi="宋体" w:cs="宋体"/>
                <w:color w:val="000000"/>
                <w:kern w:val="0"/>
                <w:sz w:val="16"/>
                <w:szCs w:val="16"/>
              </w:rPr>
              <w:t>级</w:t>
            </w:r>
          </w:p>
          <w:p>
            <w:pPr>
              <w:widowControl/>
              <w:jc w:val="center"/>
              <w:rPr>
                <w:rFonts w:ascii="宋体" w:hAnsi="宋体" w:cs="宋体"/>
                <w:color w:val="000000"/>
                <w:kern w:val="0"/>
                <w:sz w:val="16"/>
                <w:szCs w:val="16"/>
              </w:rPr>
            </w:pPr>
            <w:r>
              <w:rPr>
                <w:rFonts w:ascii="宋体" w:hAnsi="宋体" w:cs="宋体"/>
                <w:color w:val="000000"/>
                <w:kern w:val="0"/>
                <w:sz w:val="16"/>
                <w:szCs w:val="16"/>
              </w:rPr>
              <w:t>指标</w:t>
            </w:r>
            <w:r>
              <w:rPr>
                <w:rFonts w:hint="eastAsia" w:ascii="宋体" w:hAnsi="宋体" w:cs="宋体"/>
                <w:color w:val="000000"/>
                <w:kern w:val="0"/>
                <w:sz w:val="16"/>
                <w:szCs w:val="16"/>
              </w:rPr>
              <w:t>　</w:t>
            </w:r>
          </w:p>
        </w:tc>
        <w:tc>
          <w:tcPr>
            <w:tcW w:w="3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预算数（万元）</w:t>
            </w:r>
          </w:p>
        </w:tc>
        <w:tc>
          <w:tcPr>
            <w:tcW w:w="10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执行数（万元）</w:t>
            </w:r>
          </w:p>
        </w:tc>
        <w:tc>
          <w:tcPr>
            <w:tcW w:w="9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预算执行率</w:t>
            </w:r>
          </w:p>
        </w:tc>
        <w:tc>
          <w:tcPr>
            <w:tcW w:w="21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19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得分</w:t>
            </w:r>
          </w:p>
        </w:tc>
        <w:tc>
          <w:tcPr>
            <w:tcW w:w="9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指标解释</w:t>
            </w:r>
          </w:p>
        </w:tc>
        <w:tc>
          <w:tcPr>
            <w:tcW w:w="82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评分标准</w:t>
            </w:r>
          </w:p>
        </w:tc>
      </w:tr>
      <w:tr>
        <w:tblPrEx>
          <w:tblCellMar>
            <w:top w:w="0" w:type="dxa"/>
            <w:left w:w="108" w:type="dxa"/>
            <w:bottom w:w="0" w:type="dxa"/>
            <w:right w:w="108" w:type="dxa"/>
          </w:tblCellMar>
        </w:tblPrEx>
        <w:trPr>
          <w:trHeight w:val="1397" w:hRule="atLeast"/>
        </w:trPr>
        <w:tc>
          <w:tcPr>
            <w:tcW w:w="238" w:type="pct"/>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当年预算执行情况（20）</w:t>
            </w:r>
          </w:p>
        </w:tc>
        <w:tc>
          <w:tcPr>
            <w:tcW w:w="26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资金</w:t>
            </w:r>
          </w:p>
          <w:p>
            <w:pPr>
              <w:widowControl/>
              <w:jc w:val="center"/>
              <w:rPr>
                <w:rFonts w:ascii="宋体" w:hAnsi="宋体" w:cs="宋体"/>
                <w:color w:val="000000"/>
                <w:kern w:val="0"/>
                <w:sz w:val="16"/>
                <w:szCs w:val="16"/>
              </w:rPr>
            </w:pPr>
            <w:r>
              <w:rPr>
                <w:rFonts w:hint="eastAsia" w:ascii="宋体" w:hAnsi="宋体" w:cs="宋体"/>
                <w:color w:val="000000"/>
                <w:kern w:val="0"/>
                <w:sz w:val="16"/>
                <w:szCs w:val="16"/>
              </w:rPr>
              <w:t>总体</w:t>
            </w:r>
          </w:p>
        </w:tc>
        <w:tc>
          <w:tcPr>
            <w:tcW w:w="3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6980.08　</w:t>
            </w:r>
          </w:p>
        </w:tc>
        <w:tc>
          <w:tcPr>
            <w:tcW w:w="10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6402.75　</w:t>
            </w:r>
          </w:p>
        </w:tc>
        <w:tc>
          <w:tcPr>
            <w:tcW w:w="9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91.72%　</w:t>
            </w:r>
          </w:p>
        </w:tc>
        <w:tc>
          <w:tcPr>
            <w:tcW w:w="21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20</w:t>
            </w:r>
          </w:p>
        </w:tc>
        <w:tc>
          <w:tcPr>
            <w:tcW w:w="19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17</w:t>
            </w:r>
          </w:p>
        </w:tc>
        <w:tc>
          <w:tcPr>
            <w:tcW w:w="92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部门全年执行数与全年预算数的比率。资金总体=基本支出+项目支出+其他</w:t>
            </w:r>
          </w:p>
        </w:tc>
        <w:tc>
          <w:tcPr>
            <w:tcW w:w="827" w:type="pct"/>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①得分一档最高不能超过该指标分值上限（20分）。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1100" w:hRule="atLeast"/>
        </w:trPr>
        <w:tc>
          <w:tcPr>
            <w:tcW w:w="23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267"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基本</w:t>
            </w:r>
          </w:p>
          <w:p>
            <w:pPr>
              <w:widowControl/>
              <w:jc w:val="center"/>
              <w:rPr>
                <w:rFonts w:ascii="宋体" w:hAnsi="宋体" w:cs="宋体"/>
                <w:color w:val="000000"/>
                <w:kern w:val="0"/>
                <w:sz w:val="16"/>
                <w:szCs w:val="16"/>
              </w:rPr>
            </w:pPr>
            <w:r>
              <w:rPr>
                <w:rFonts w:hint="eastAsia" w:ascii="宋体" w:hAnsi="宋体" w:cs="宋体"/>
                <w:color w:val="000000"/>
                <w:kern w:val="0"/>
                <w:sz w:val="16"/>
                <w:szCs w:val="16"/>
              </w:rPr>
              <w:t>支出</w:t>
            </w:r>
          </w:p>
        </w:tc>
        <w:tc>
          <w:tcPr>
            <w:tcW w:w="3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4319.17　</w:t>
            </w:r>
          </w:p>
        </w:tc>
        <w:tc>
          <w:tcPr>
            <w:tcW w:w="105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3976.32　</w:t>
            </w:r>
          </w:p>
        </w:tc>
        <w:tc>
          <w:tcPr>
            <w:tcW w:w="96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2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92"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16"/>
                <w:szCs w:val="16"/>
              </w:rPr>
            </w:pPr>
          </w:p>
        </w:tc>
        <w:tc>
          <w:tcPr>
            <w:tcW w:w="92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82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1471" w:hRule="atLeast"/>
        </w:trPr>
        <w:tc>
          <w:tcPr>
            <w:tcW w:w="23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267"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项目</w:t>
            </w:r>
          </w:p>
          <w:p>
            <w:pPr>
              <w:widowControl/>
              <w:jc w:val="center"/>
              <w:rPr>
                <w:rFonts w:ascii="宋体" w:hAnsi="宋体" w:cs="宋体"/>
                <w:color w:val="000000"/>
                <w:kern w:val="0"/>
                <w:sz w:val="16"/>
                <w:szCs w:val="16"/>
              </w:rPr>
            </w:pPr>
            <w:r>
              <w:rPr>
                <w:rFonts w:hint="eastAsia" w:ascii="宋体" w:hAnsi="宋体" w:cs="宋体"/>
                <w:color w:val="000000"/>
                <w:kern w:val="0"/>
                <w:sz w:val="16"/>
                <w:szCs w:val="16"/>
              </w:rPr>
              <w:t>支出</w:t>
            </w:r>
          </w:p>
        </w:tc>
        <w:tc>
          <w:tcPr>
            <w:tcW w:w="3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2288.35　</w:t>
            </w:r>
          </w:p>
        </w:tc>
        <w:tc>
          <w:tcPr>
            <w:tcW w:w="105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2317.06　</w:t>
            </w:r>
          </w:p>
        </w:tc>
        <w:tc>
          <w:tcPr>
            <w:tcW w:w="9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2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92"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16"/>
                <w:szCs w:val="16"/>
              </w:rPr>
            </w:pPr>
          </w:p>
        </w:tc>
        <w:tc>
          <w:tcPr>
            <w:tcW w:w="92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82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90" w:hRule="atLeast"/>
        </w:trPr>
        <w:tc>
          <w:tcPr>
            <w:tcW w:w="23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26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其他</w:t>
            </w:r>
          </w:p>
        </w:tc>
        <w:tc>
          <w:tcPr>
            <w:tcW w:w="3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372.56　</w:t>
            </w:r>
          </w:p>
        </w:tc>
        <w:tc>
          <w:tcPr>
            <w:tcW w:w="105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109.37　</w:t>
            </w:r>
          </w:p>
        </w:tc>
        <w:tc>
          <w:tcPr>
            <w:tcW w:w="9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2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92"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16"/>
                <w:szCs w:val="16"/>
              </w:rPr>
            </w:pPr>
          </w:p>
        </w:tc>
        <w:tc>
          <w:tcPr>
            <w:tcW w:w="92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82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516" w:hRule="atLeast"/>
        </w:trPr>
        <w:tc>
          <w:tcPr>
            <w:tcW w:w="5000" w:type="pct"/>
            <w:gridSpan w:val="9"/>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二</w:t>
            </w:r>
            <w:r>
              <w:rPr>
                <w:rFonts w:ascii="宋体" w:hAnsi="宋体" w:cs="宋体"/>
                <w:color w:val="000000"/>
                <w:kern w:val="0"/>
                <w:sz w:val="16"/>
                <w:szCs w:val="16"/>
              </w:rPr>
              <w:t>、</w:t>
            </w:r>
            <w:r>
              <w:rPr>
                <w:rFonts w:hint="eastAsia" w:ascii="宋体" w:hAnsi="宋体" w:cs="宋体"/>
                <w:color w:val="000000"/>
                <w:kern w:val="0"/>
                <w:sz w:val="16"/>
                <w:szCs w:val="16"/>
              </w:rPr>
              <w:t>整体绩效目标实现情况（60分）</w:t>
            </w:r>
          </w:p>
        </w:tc>
      </w:tr>
      <w:tr>
        <w:tblPrEx>
          <w:tblCellMar>
            <w:top w:w="0" w:type="dxa"/>
            <w:left w:w="108" w:type="dxa"/>
            <w:bottom w:w="0" w:type="dxa"/>
            <w:right w:w="108" w:type="dxa"/>
          </w:tblCellMar>
        </w:tblPrEx>
        <w:trPr>
          <w:trHeight w:val="499" w:hRule="atLeast"/>
        </w:trPr>
        <w:tc>
          <w:tcPr>
            <w:tcW w:w="238" w:type="pc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一</w:t>
            </w:r>
            <w:r>
              <w:rPr>
                <w:rFonts w:ascii="宋体" w:hAnsi="宋体" w:cs="宋体"/>
                <w:color w:val="000000"/>
                <w:kern w:val="0"/>
                <w:sz w:val="16"/>
                <w:szCs w:val="16"/>
              </w:rPr>
              <w:t>级指标</w:t>
            </w:r>
          </w:p>
        </w:tc>
        <w:tc>
          <w:tcPr>
            <w:tcW w:w="267" w:type="pct"/>
            <w:tcBorders>
              <w:top w:val="single" w:color="auto" w:sz="4" w:space="0"/>
              <w:left w:val="single" w:color="auto" w:sz="4" w:space="0"/>
              <w:bottom w:val="single" w:color="000000" w:sz="4" w:space="0"/>
              <w:right w:val="single" w:color="auto" w:sz="4" w:space="0"/>
            </w:tcBorders>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二</w:t>
            </w:r>
            <w:r>
              <w:rPr>
                <w:rFonts w:ascii="宋体" w:hAnsi="宋体" w:cs="宋体"/>
                <w:color w:val="000000"/>
                <w:kern w:val="0"/>
                <w:sz w:val="16"/>
                <w:szCs w:val="16"/>
              </w:rPr>
              <w:t>级指标</w:t>
            </w:r>
            <w:r>
              <w:rPr>
                <w:rFonts w:hint="eastAsia" w:ascii="宋体" w:hAnsi="宋体" w:cs="宋体"/>
                <w:color w:val="000000"/>
                <w:kern w:val="0"/>
                <w:sz w:val="16"/>
                <w:szCs w:val="16"/>
              </w:rPr>
              <w:t>　</w:t>
            </w:r>
          </w:p>
        </w:tc>
        <w:tc>
          <w:tcPr>
            <w:tcW w:w="317" w:type="pc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三</w:t>
            </w:r>
            <w:r>
              <w:rPr>
                <w:rFonts w:ascii="宋体" w:hAnsi="宋体" w:cs="宋体"/>
                <w:color w:val="000000"/>
                <w:kern w:val="0"/>
                <w:sz w:val="16"/>
                <w:szCs w:val="16"/>
              </w:rPr>
              <w:t>级指标</w:t>
            </w:r>
            <w:r>
              <w:rPr>
                <w:rFonts w:hint="eastAsia" w:ascii="宋体" w:hAnsi="宋体" w:cs="宋体"/>
                <w:color w:val="000000"/>
                <w:kern w:val="0"/>
                <w:sz w:val="16"/>
                <w:szCs w:val="16"/>
              </w:rPr>
              <w:t>　</w:t>
            </w:r>
          </w:p>
        </w:tc>
        <w:tc>
          <w:tcPr>
            <w:tcW w:w="1054" w:type="pc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指标值</w:t>
            </w:r>
          </w:p>
        </w:tc>
        <w:tc>
          <w:tcPr>
            <w:tcW w:w="964" w:type="pc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完成值</w:t>
            </w:r>
          </w:p>
        </w:tc>
        <w:tc>
          <w:tcPr>
            <w:tcW w:w="211" w:type="pc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192" w:type="pc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得分</w:t>
            </w:r>
          </w:p>
        </w:tc>
        <w:tc>
          <w:tcPr>
            <w:tcW w:w="925" w:type="pc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指标</w:t>
            </w:r>
            <w:r>
              <w:rPr>
                <w:rFonts w:ascii="宋体" w:hAnsi="宋体" w:cs="宋体"/>
                <w:bCs/>
                <w:color w:val="000000"/>
                <w:kern w:val="0"/>
                <w:sz w:val="16"/>
                <w:szCs w:val="16"/>
              </w:rPr>
              <w:t>解释</w:t>
            </w:r>
          </w:p>
        </w:tc>
        <w:tc>
          <w:tcPr>
            <w:tcW w:w="827" w:type="pc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评</w:t>
            </w:r>
            <w:r>
              <w:rPr>
                <w:rFonts w:ascii="宋体" w:hAnsi="宋体" w:cs="宋体"/>
                <w:color w:val="000000"/>
                <w:kern w:val="0"/>
                <w:sz w:val="16"/>
                <w:szCs w:val="16"/>
              </w:rPr>
              <w:t>分标准</w:t>
            </w:r>
          </w:p>
        </w:tc>
      </w:tr>
      <w:tr>
        <w:tblPrEx>
          <w:tblCellMar>
            <w:top w:w="0" w:type="dxa"/>
            <w:left w:w="108" w:type="dxa"/>
            <w:bottom w:w="0" w:type="dxa"/>
            <w:right w:w="108" w:type="dxa"/>
          </w:tblCellMar>
        </w:tblPrEx>
        <w:trPr>
          <w:trHeight w:val="352" w:hRule="atLeast"/>
        </w:trPr>
        <w:tc>
          <w:tcPr>
            <w:tcW w:w="238"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整体绩效目标实现情况（60）</w:t>
            </w:r>
          </w:p>
        </w:tc>
        <w:tc>
          <w:tcPr>
            <w:tcW w:w="267"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p>
          <w:p>
            <w:pPr>
              <w:jc w:val="center"/>
              <w:rPr>
                <w:rFonts w:ascii="宋体" w:hAnsi="宋体" w:cs="宋体"/>
                <w:color w:val="000000"/>
                <w:kern w:val="0"/>
                <w:sz w:val="16"/>
                <w:szCs w:val="16"/>
              </w:rPr>
            </w:pPr>
            <w:r>
              <w:rPr>
                <w:rFonts w:hint="eastAsia" w:ascii="宋体" w:hAnsi="宋体" w:cs="宋体"/>
                <w:color w:val="000000"/>
                <w:kern w:val="0"/>
                <w:sz w:val="16"/>
                <w:szCs w:val="16"/>
              </w:rPr>
              <w:t>产出（30）</w:t>
            </w:r>
          </w:p>
        </w:tc>
        <w:tc>
          <w:tcPr>
            <w:tcW w:w="317" w:type="pct"/>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kern w:val="0"/>
                <w:sz w:val="16"/>
                <w:szCs w:val="16"/>
              </w:rPr>
            </w:pPr>
            <w:r>
              <w:rPr>
                <w:rFonts w:hint="eastAsia" w:ascii="宋体" w:hAnsi="宋体" w:cs="宋体"/>
                <w:color w:val="000000"/>
                <w:kern w:val="0"/>
                <w:sz w:val="16"/>
                <w:szCs w:val="16"/>
              </w:rPr>
              <w:t>数量指标</w:t>
            </w:r>
          </w:p>
        </w:tc>
        <w:tc>
          <w:tcPr>
            <w:tcW w:w="1054"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人员工资足额保障率为100%。</w:t>
            </w:r>
          </w:p>
        </w:tc>
        <w:tc>
          <w:tcPr>
            <w:tcW w:w="964" w:type="pct"/>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211" w:type="pct"/>
            <w:tcBorders>
              <w:top w:val="single" w:color="000000" w:sz="4" w:space="0"/>
              <w:left w:val="single" w:color="000000" w:sz="4" w:space="0"/>
              <w:bottom w:val="single" w:color="auto" w:sz="4" w:space="0"/>
              <w:right w:val="single" w:color="000000" w:sz="4" w:space="0"/>
            </w:tcBorders>
            <w:vAlign w:val="center"/>
          </w:tcPr>
          <w:p>
            <w:pPr>
              <w:ind w:firstLine="160" w:firstLineChars="100"/>
              <w:rPr>
                <w:rFonts w:ascii="宋体" w:hAnsi="宋体" w:cs="宋体"/>
                <w:color w:val="000000"/>
                <w:kern w:val="0"/>
                <w:sz w:val="16"/>
                <w:szCs w:val="16"/>
              </w:rPr>
            </w:pPr>
            <w:r>
              <w:rPr>
                <w:rFonts w:hint="eastAsia" w:ascii="宋体" w:hAnsi="宋体" w:cs="宋体"/>
                <w:color w:val="000000"/>
                <w:kern w:val="0"/>
                <w:sz w:val="16"/>
                <w:szCs w:val="16"/>
              </w:rPr>
              <w:t>3</w:t>
            </w:r>
          </w:p>
        </w:tc>
        <w:tc>
          <w:tcPr>
            <w:tcW w:w="192" w:type="pct"/>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925"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r>
              <w:rPr>
                <w:rFonts w:hint="eastAsia" w:ascii="宋体" w:hAnsi="宋体" w:cs="宋体"/>
                <w:b/>
                <w:bCs/>
                <w:color w:val="000000"/>
                <w:kern w:val="0"/>
                <w:sz w:val="16"/>
                <w:szCs w:val="16"/>
              </w:rPr>
              <w:t>产出数量</w:t>
            </w:r>
            <w:r>
              <w:rPr>
                <w:rFonts w:hint="eastAsia" w:ascii="宋体" w:hAnsi="宋体" w:cs="宋体"/>
                <w:color w:val="000000"/>
                <w:kern w:val="0"/>
                <w:sz w:val="16"/>
                <w:szCs w:val="16"/>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6"/>
                <w:szCs w:val="16"/>
              </w:rPr>
              <w:t>产出质量</w:t>
            </w:r>
            <w:r>
              <w:rPr>
                <w:rFonts w:hint="eastAsia" w:ascii="宋体" w:hAnsi="宋体" w:cs="宋体"/>
                <w:color w:val="000000"/>
                <w:kern w:val="0"/>
                <w:sz w:val="16"/>
                <w:szCs w:val="16"/>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6"/>
                <w:szCs w:val="16"/>
              </w:rPr>
              <w:t>产出进度：</w:t>
            </w:r>
            <w:r>
              <w:rPr>
                <w:rFonts w:hint="eastAsia" w:ascii="宋体" w:hAnsi="宋体" w:cs="宋体"/>
                <w:color w:val="000000"/>
                <w:kern w:val="0"/>
                <w:sz w:val="16"/>
                <w:szCs w:val="16"/>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6"/>
                <w:szCs w:val="16"/>
              </w:rPr>
              <w:t>产出成本</w:t>
            </w:r>
            <w:r>
              <w:rPr>
                <w:rFonts w:hint="eastAsia" w:ascii="宋体" w:hAnsi="宋体" w:cs="宋体"/>
                <w:color w:val="000000"/>
                <w:kern w:val="0"/>
                <w:sz w:val="16"/>
                <w:szCs w:val="16"/>
              </w:rPr>
              <w:t>：</w:t>
            </w:r>
            <w:r>
              <w:rPr>
                <w:rFonts w:ascii="宋体" w:hAnsi="宋体" w:cs="宋体"/>
                <w:color w:val="000000"/>
                <w:kern w:val="0"/>
                <w:sz w:val="16"/>
                <w:szCs w:val="16"/>
              </w:rPr>
              <w:t>①</w:t>
            </w:r>
            <w:r>
              <w:rPr>
                <w:rFonts w:hint="eastAsia" w:ascii="宋体" w:hAnsi="宋体" w:cs="宋体"/>
                <w:color w:val="000000"/>
                <w:kern w:val="0"/>
                <w:sz w:val="16"/>
                <w:szCs w:val="16"/>
              </w:rPr>
              <w:t>单位产出相对于上一年度的节约额；②单位产出相对于市场同类产出的节约额；③部门公用经费的控制情况。</w:t>
            </w:r>
          </w:p>
        </w:tc>
        <w:tc>
          <w:tcPr>
            <w:tcW w:w="827"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331" w:hRule="atLeast"/>
        </w:trPr>
        <w:tc>
          <w:tcPr>
            <w:tcW w:w="238"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c>
          <w:tcPr>
            <w:tcW w:w="26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rPr>
            </w:pPr>
          </w:p>
        </w:tc>
        <w:tc>
          <w:tcPr>
            <w:tcW w:w="317" w:type="pct"/>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kern w:val="0"/>
                <w:sz w:val="16"/>
                <w:szCs w:val="16"/>
              </w:rPr>
            </w:pPr>
            <w:r>
              <w:rPr>
                <w:rFonts w:hint="eastAsia" w:ascii="宋体" w:hAnsi="宋体" w:cs="宋体"/>
                <w:color w:val="000000"/>
                <w:kern w:val="0"/>
                <w:sz w:val="16"/>
                <w:szCs w:val="16"/>
              </w:rPr>
              <w:t>质量指标</w:t>
            </w:r>
          </w:p>
        </w:tc>
        <w:tc>
          <w:tcPr>
            <w:tcW w:w="1054"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基本支出科目调整次数≤5次。</w:t>
            </w:r>
          </w:p>
        </w:tc>
        <w:tc>
          <w:tcPr>
            <w:tcW w:w="964" w:type="pc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无调整</w:t>
            </w:r>
          </w:p>
        </w:tc>
        <w:tc>
          <w:tcPr>
            <w:tcW w:w="211" w:type="pc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192" w:type="pc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92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b/>
                <w:bCs/>
                <w:color w:val="000000"/>
                <w:kern w:val="0"/>
                <w:sz w:val="16"/>
                <w:szCs w:val="16"/>
              </w:rPr>
            </w:pPr>
          </w:p>
        </w:tc>
        <w:tc>
          <w:tcPr>
            <w:tcW w:w="82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293" w:hRule="atLeast"/>
        </w:trPr>
        <w:tc>
          <w:tcPr>
            <w:tcW w:w="238"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c>
          <w:tcPr>
            <w:tcW w:w="26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rPr>
            </w:pPr>
          </w:p>
        </w:tc>
        <w:tc>
          <w:tcPr>
            <w:tcW w:w="317" w:type="pct"/>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kern w:val="0"/>
                <w:sz w:val="16"/>
                <w:szCs w:val="16"/>
              </w:rPr>
            </w:pPr>
            <w:r>
              <w:rPr>
                <w:rFonts w:hint="eastAsia" w:ascii="宋体" w:hAnsi="宋体" w:cs="宋体"/>
                <w:color w:val="000000"/>
                <w:kern w:val="0"/>
                <w:sz w:val="16"/>
                <w:szCs w:val="16"/>
              </w:rPr>
              <w:t>时效指标</w:t>
            </w:r>
          </w:p>
        </w:tc>
        <w:tc>
          <w:tcPr>
            <w:tcW w:w="1054"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工资发放及时率为100%。</w:t>
            </w:r>
          </w:p>
        </w:tc>
        <w:tc>
          <w:tcPr>
            <w:tcW w:w="964" w:type="pc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211" w:type="pc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192" w:type="pc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92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b/>
                <w:bCs/>
                <w:color w:val="000000"/>
                <w:kern w:val="0"/>
                <w:sz w:val="16"/>
                <w:szCs w:val="16"/>
              </w:rPr>
            </w:pPr>
          </w:p>
        </w:tc>
        <w:tc>
          <w:tcPr>
            <w:tcW w:w="82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374" w:hRule="atLeast"/>
        </w:trPr>
        <w:tc>
          <w:tcPr>
            <w:tcW w:w="238"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c>
          <w:tcPr>
            <w:tcW w:w="26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rPr>
            </w:pPr>
          </w:p>
        </w:tc>
        <w:tc>
          <w:tcPr>
            <w:tcW w:w="317" w:type="pct"/>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kern w:val="0"/>
                <w:sz w:val="16"/>
                <w:szCs w:val="16"/>
              </w:rPr>
            </w:pPr>
            <w:r>
              <w:rPr>
                <w:rFonts w:hint="eastAsia" w:ascii="宋体" w:hAnsi="宋体" w:cs="宋体"/>
                <w:color w:val="000000"/>
                <w:kern w:val="0"/>
                <w:sz w:val="16"/>
                <w:szCs w:val="16"/>
              </w:rPr>
              <w:t>成本指标</w:t>
            </w:r>
          </w:p>
        </w:tc>
        <w:tc>
          <w:tcPr>
            <w:tcW w:w="1054"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基本支出结转结余率≤5%。</w:t>
            </w:r>
          </w:p>
        </w:tc>
        <w:tc>
          <w:tcPr>
            <w:tcW w:w="964" w:type="pc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7.9%</w:t>
            </w:r>
          </w:p>
        </w:tc>
        <w:tc>
          <w:tcPr>
            <w:tcW w:w="211" w:type="pc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192" w:type="pct"/>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92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b/>
                <w:bCs/>
                <w:color w:val="000000"/>
                <w:kern w:val="0"/>
                <w:sz w:val="16"/>
                <w:szCs w:val="16"/>
              </w:rPr>
            </w:pPr>
          </w:p>
        </w:tc>
        <w:tc>
          <w:tcPr>
            <w:tcW w:w="82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90" w:hRule="atLeast"/>
        </w:trPr>
        <w:tc>
          <w:tcPr>
            <w:tcW w:w="238"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c>
          <w:tcPr>
            <w:tcW w:w="26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rPr>
            </w:pPr>
          </w:p>
        </w:tc>
        <w:tc>
          <w:tcPr>
            <w:tcW w:w="317"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数量</w:t>
            </w:r>
          </w:p>
          <w:p>
            <w:pPr>
              <w:jc w:val="center"/>
              <w:rPr>
                <w:rFonts w:ascii="宋体" w:hAnsi="宋体" w:cs="宋体"/>
                <w:color w:val="000000"/>
                <w:kern w:val="0"/>
                <w:sz w:val="16"/>
                <w:szCs w:val="16"/>
              </w:rPr>
            </w:pPr>
            <w:r>
              <w:rPr>
                <w:rFonts w:hint="eastAsia" w:ascii="宋体" w:hAnsi="宋体" w:cs="宋体"/>
                <w:color w:val="000000"/>
                <w:kern w:val="0"/>
                <w:sz w:val="16"/>
                <w:szCs w:val="16"/>
              </w:rPr>
              <w:t>指标</w:t>
            </w:r>
          </w:p>
        </w:tc>
        <w:tc>
          <w:tcPr>
            <w:tcW w:w="1054" w:type="pct"/>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kern w:val="0"/>
                <w:sz w:val="16"/>
                <w:szCs w:val="16"/>
              </w:rPr>
            </w:pPr>
            <w:r>
              <w:rPr>
                <w:rFonts w:hint="eastAsia" w:ascii="宋体" w:hAnsi="宋体" w:cs="宋体"/>
                <w:color w:val="000000"/>
                <w:kern w:val="0"/>
                <w:sz w:val="16"/>
                <w:szCs w:val="16"/>
              </w:rPr>
              <w:t>编辑出版</w:t>
            </w:r>
            <w:r>
              <w:rPr>
                <w:rFonts w:hint="eastAsia" w:ascii="宋体" w:hAnsi="宋体" w:cs="宋体"/>
                <w:color w:val="000000"/>
                <w:kern w:val="0"/>
                <w:sz w:val="16"/>
                <w:szCs w:val="16"/>
                <w:lang w:eastAsia="zh-CN"/>
              </w:rPr>
              <w:t>发行</w:t>
            </w:r>
            <w:r>
              <w:rPr>
                <w:rFonts w:hint="eastAsia" w:ascii="宋体" w:hAnsi="宋体" w:cs="宋体"/>
                <w:color w:val="000000"/>
                <w:kern w:val="0"/>
                <w:sz w:val="16"/>
                <w:szCs w:val="16"/>
              </w:rPr>
              <w:t>《前线》杂志12期，刊发文章</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200篇、图片</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50幅；编辑出版</w:t>
            </w:r>
            <w:r>
              <w:rPr>
                <w:rFonts w:hint="eastAsia" w:ascii="宋体" w:hAnsi="宋体" w:cs="宋体"/>
                <w:color w:val="000000"/>
                <w:kern w:val="0"/>
                <w:sz w:val="16"/>
                <w:szCs w:val="16"/>
                <w:lang w:eastAsia="zh-CN"/>
              </w:rPr>
              <w:t>发行</w:t>
            </w:r>
            <w:r>
              <w:rPr>
                <w:rFonts w:hint="eastAsia" w:ascii="宋体" w:hAnsi="宋体" w:cs="宋体"/>
                <w:color w:val="000000"/>
                <w:kern w:val="0"/>
                <w:sz w:val="16"/>
                <w:szCs w:val="16"/>
              </w:rPr>
              <w:t>《北京支部生活》杂志12期，刊发文章</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200篇、图片</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600幅；编辑出版</w:t>
            </w:r>
            <w:r>
              <w:rPr>
                <w:rFonts w:hint="eastAsia" w:ascii="宋体" w:hAnsi="宋体" w:cs="宋体"/>
                <w:color w:val="000000"/>
                <w:kern w:val="0"/>
                <w:sz w:val="16"/>
                <w:szCs w:val="16"/>
                <w:lang w:eastAsia="zh-CN"/>
              </w:rPr>
              <w:t>发行</w:t>
            </w:r>
            <w:r>
              <w:rPr>
                <w:rFonts w:hint="eastAsia" w:ascii="宋体" w:hAnsi="宋体" w:cs="宋体"/>
                <w:color w:val="000000"/>
                <w:kern w:val="0"/>
                <w:sz w:val="16"/>
                <w:szCs w:val="16"/>
              </w:rPr>
              <w:t>《大学生》杂志12期，刊发文章</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200篇、图片</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600幅。</w:t>
            </w:r>
          </w:p>
        </w:tc>
        <w:tc>
          <w:tcPr>
            <w:tcW w:w="964" w:type="pct"/>
            <w:tcBorders>
              <w:top w:val="single" w:color="auto" w:sz="4" w:space="0"/>
              <w:left w:val="single" w:color="000000" w:sz="4" w:space="0"/>
              <w:bottom w:val="single" w:color="000000" w:sz="4" w:space="0"/>
              <w:right w:val="single" w:color="000000" w:sz="4" w:space="0"/>
            </w:tcBorders>
            <w:vAlign w:val="center"/>
          </w:tcPr>
          <w:p>
            <w:pPr>
              <w:jc w:val="left"/>
              <w:rPr>
                <w:rFonts w:ascii="宋体" w:hAnsi="宋体" w:cs="宋体"/>
                <w:color w:val="000000"/>
                <w:kern w:val="0"/>
                <w:sz w:val="16"/>
                <w:szCs w:val="16"/>
                <w:lang w:val="zh-CN"/>
              </w:rPr>
            </w:pPr>
            <w:r>
              <w:rPr>
                <w:rFonts w:hint="eastAsia" w:ascii="宋体" w:hAnsi="宋体" w:cs="宋体"/>
                <w:color w:val="000000"/>
                <w:kern w:val="0"/>
                <w:sz w:val="16"/>
                <w:szCs w:val="16"/>
              </w:rPr>
              <w:t>编辑出版</w:t>
            </w:r>
            <w:r>
              <w:rPr>
                <w:rFonts w:hint="eastAsia" w:ascii="宋体" w:hAnsi="宋体" w:cs="宋体"/>
                <w:color w:val="000000"/>
                <w:kern w:val="0"/>
                <w:sz w:val="16"/>
                <w:szCs w:val="16"/>
                <w:lang w:eastAsia="zh-CN"/>
              </w:rPr>
              <w:t>发行</w:t>
            </w:r>
            <w:r>
              <w:rPr>
                <w:rFonts w:hint="eastAsia" w:ascii="宋体" w:hAnsi="宋体" w:cs="宋体"/>
                <w:color w:val="000000"/>
                <w:kern w:val="0"/>
                <w:sz w:val="16"/>
                <w:szCs w:val="16"/>
              </w:rPr>
              <w:t>《前线》杂志12期，增刊1期</w:t>
            </w:r>
            <w:r>
              <w:rPr>
                <w:rFonts w:hint="eastAsia" w:ascii="宋体" w:hAnsi="宋体" w:cs="宋体"/>
                <w:color w:val="000000"/>
                <w:kern w:val="0"/>
                <w:sz w:val="16"/>
                <w:szCs w:val="16"/>
                <w:lang w:eastAsia="zh-CN"/>
              </w:rPr>
              <w:t>，</w:t>
            </w:r>
            <w:r>
              <w:rPr>
                <w:rFonts w:hint="eastAsia" w:ascii="宋体" w:hAnsi="宋体" w:cs="宋体"/>
                <w:color w:val="000000"/>
                <w:kern w:val="0"/>
                <w:sz w:val="16"/>
                <w:szCs w:val="16"/>
              </w:rPr>
              <w:t>刊发文章近400篇、图片160余幅</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编辑出版</w:t>
            </w:r>
            <w:r>
              <w:rPr>
                <w:rFonts w:hint="eastAsia" w:ascii="宋体" w:hAnsi="宋体" w:cs="宋体"/>
                <w:color w:val="000000"/>
                <w:kern w:val="0"/>
                <w:sz w:val="16"/>
                <w:szCs w:val="16"/>
                <w:lang w:eastAsia="zh-CN"/>
              </w:rPr>
              <w:t>发行</w:t>
            </w:r>
            <w:r>
              <w:rPr>
                <w:rFonts w:hint="eastAsia" w:ascii="宋体" w:hAnsi="宋体" w:cs="宋体"/>
                <w:color w:val="000000"/>
                <w:kern w:val="0"/>
                <w:sz w:val="16"/>
                <w:szCs w:val="16"/>
              </w:rPr>
              <w:t>《北京支部生活》杂志12期，刊发文章400余篇、图片1200余幅</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编辑出版</w:t>
            </w:r>
            <w:r>
              <w:rPr>
                <w:rFonts w:hint="eastAsia" w:ascii="宋体" w:hAnsi="宋体" w:cs="宋体"/>
                <w:color w:val="000000"/>
                <w:kern w:val="0"/>
                <w:sz w:val="16"/>
                <w:szCs w:val="16"/>
                <w:lang w:eastAsia="zh-CN"/>
              </w:rPr>
              <w:t>发行</w:t>
            </w:r>
            <w:r>
              <w:rPr>
                <w:rFonts w:hint="eastAsia" w:ascii="宋体" w:hAnsi="宋体" w:cs="宋体"/>
                <w:color w:val="000000"/>
                <w:kern w:val="0"/>
                <w:sz w:val="16"/>
                <w:szCs w:val="16"/>
              </w:rPr>
              <w:t>12期《大学生》杂志，增刊1期</w:t>
            </w:r>
            <w:r>
              <w:rPr>
                <w:rFonts w:hint="eastAsia" w:ascii="宋体" w:hAnsi="宋体" w:cs="宋体"/>
                <w:color w:val="000000"/>
                <w:kern w:val="0"/>
                <w:sz w:val="16"/>
                <w:szCs w:val="16"/>
                <w:lang w:eastAsia="zh-CN"/>
              </w:rPr>
              <w:t>，</w:t>
            </w:r>
            <w:r>
              <w:rPr>
                <w:rFonts w:hint="eastAsia" w:ascii="宋体" w:hAnsi="宋体" w:cs="宋体"/>
                <w:color w:val="000000"/>
                <w:kern w:val="0"/>
                <w:sz w:val="16"/>
                <w:szCs w:val="16"/>
              </w:rPr>
              <w:t>刊发文章600余篇、图片1500幅</w:t>
            </w:r>
            <w:r>
              <w:rPr>
                <w:rFonts w:hint="eastAsia" w:ascii="宋体" w:hAnsi="宋体" w:cs="宋体"/>
                <w:color w:val="000000"/>
                <w:kern w:val="0"/>
                <w:sz w:val="16"/>
                <w:szCs w:val="16"/>
                <w:lang w:val="zh-CN"/>
              </w:rPr>
              <w:t>。</w:t>
            </w:r>
          </w:p>
          <w:p>
            <w:pPr>
              <w:jc w:val="center"/>
              <w:rPr>
                <w:rFonts w:ascii="宋体" w:hAnsi="宋体" w:cs="宋体"/>
                <w:color w:val="000000"/>
                <w:kern w:val="0"/>
                <w:sz w:val="16"/>
                <w:szCs w:val="16"/>
              </w:rPr>
            </w:pPr>
          </w:p>
        </w:tc>
        <w:tc>
          <w:tcPr>
            <w:tcW w:w="211" w:type="pct"/>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192"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92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c>
          <w:tcPr>
            <w:tcW w:w="82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r>
    </w:tbl>
    <w:p>
      <w:pPr>
        <w:widowControl/>
        <w:jc w:val="left"/>
        <w:rPr>
          <w:rFonts w:ascii="宋体" w:hAnsi="宋体" w:cs="宋体"/>
          <w:color w:val="000000"/>
          <w:kern w:val="0"/>
          <w:sz w:val="16"/>
          <w:szCs w:val="16"/>
        </w:rPr>
      </w:pPr>
      <w:r>
        <w:rPr>
          <w:rFonts w:hint="eastAsia" w:ascii="宋体" w:hAnsi="宋体" w:cs="宋体"/>
          <w:color w:val="000000"/>
          <w:kern w:val="0"/>
          <w:sz w:val="16"/>
          <w:szCs w:val="16"/>
        </w:rPr>
        <w:br w:type="page"/>
      </w:r>
    </w:p>
    <w:tbl>
      <w:tblPr>
        <w:tblStyle w:val="11"/>
        <w:tblW w:w="5000" w:type="pct"/>
        <w:tblInd w:w="0" w:type="dxa"/>
        <w:tblLayout w:type="fixed"/>
        <w:tblCellMar>
          <w:top w:w="0" w:type="dxa"/>
          <w:left w:w="108" w:type="dxa"/>
          <w:bottom w:w="0" w:type="dxa"/>
          <w:right w:w="108" w:type="dxa"/>
        </w:tblCellMar>
      </w:tblPr>
      <w:tblGrid>
        <w:gridCol w:w="676"/>
        <w:gridCol w:w="758"/>
        <w:gridCol w:w="899"/>
        <w:gridCol w:w="2991"/>
        <w:gridCol w:w="2736"/>
        <w:gridCol w:w="598"/>
        <w:gridCol w:w="544"/>
        <w:gridCol w:w="53"/>
        <w:gridCol w:w="2572"/>
        <w:gridCol w:w="2347"/>
      </w:tblGrid>
      <w:tr>
        <w:tblPrEx>
          <w:tblCellMar>
            <w:top w:w="0" w:type="dxa"/>
            <w:left w:w="108" w:type="dxa"/>
            <w:bottom w:w="0" w:type="dxa"/>
            <w:right w:w="108" w:type="dxa"/>
          </w:tblCellMar>
        </w:tblPrEx>
        <w:trPr>
          <w:trHeight w:val="3155" w:hRule="atLeast"/>
        </w:trPr>
        <w:tc>
          <w:tcPr>
            <w:tcW w:w="238" w:type="pct"/>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267" w:type="pct"/>
            <w:tcBorders>
              <w:top w:val="single" w:color="auto" w:sz="4" w:space="0"/>
              <w:left w:val="single" w:color="000000"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317" w:type="pc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数量指标</w:t>
            </w:r>
          </w:p>
        </w:tc>
        <w:tc>
          <w:tcPr>
            <w:tcW w:w="1055" w:type="pct"/>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kern w:val="0"/>
                <w:sz w:val="16"/>
                <w:szCs w:val="16"/>
              </w:rPr>
            </w:pPr>
            <w:r>
              <w:rPr>
                <w:rFonts w:hint="eastAsia" w:ascii="宋体" w:hAnsi="宋体" w:cs="宋体"/>
                <w:color w:val="000000"/>
                <w:kern w:val="0"/>
                <w:sz w:val="16"/>
                <w:szCs w:val="16"/>
              </w:rPr>
              <w:t>客户端</w:t>
            </w:r>
            <w:r>
              <w:rPr>
                <w:rFonts w:hint="eastAsia" w:ascii="宋体" w:hAnsi="宋体" w:cs="宋体"/>
                <w:color w:val="000000"/>
                <w:kern w:val="0"/>
                <w:sz w:val="16"/>
                <w:szCs w:val="16"/>
                <w:lang w:val="zh-CN"/>
              </w:rPr>
              <w:t>原创稿</w:t>
            </w:r>
            <w:r>
              <w:rPr>
                <w:rFonts w:hint="eastAsia" w:ascii="宋体" w:hAnsi="宋体" w:cs="宋体"/>
                <w:color w:val="000000"/>
                <w:kern w:val="0"/>
                <w:sz w:val="16"/>
                <w:szCs w:val="16"/>
                <w:lang w:val="zh-CN" w:eastAsia="zh-CN"/>
              </w:rPr>
              <w:t>约</w:t>
            </w:r>
            <w:r>
              <w:rPr>
                <w:rFonts w:hint="eastAsia" w:ascii="宋体" w:hAnsi="宋体" w:cs="宋体"/>
                <w:color w:val="000000"/>
                <w:kern w:val="0"/>
                <w:sz w:val="16"/>
                <w:szCs w:val="16"/>
                <w:lang w:val="zh-CN"/>
              </w:rPr>
              <w:t>2000篇，图片约5000张。前线网平均每天发稿≥10篇，每月发稿≥200篇。“前线理论圈”微信公众号</w:t>
            </w:r>
            <w:r>
              <w:rPr>
                <w:rFonts w:hint="eastAsia" w:ascii="宋体" w:hAnsi="宋体" w:cs="宋体"/>
                <w:color w:val="000000"/>
                <w:kern w:val="0"/>
                <w:sz w:val="16"/>
                <w:szCs w:val="16"/>
              </w:rPr>
              <w:t>全年</w:t>
            </w:r>
            <w:r>
              <w:rPr>
                <w:rFonts w:hint="eastAsia" w:ascii="宋体" w:hAnsi="宋体" w:cs="宋体"/>
                <w:color w:val="000000"/>
                <w:kern w:val="0"/>
                <w:sz w:val="16"/>
                <w:szCs w:val="16"/>
                <w:lang w:val="zh-CN"/>
              </w:rPr>
              <w:t>发布原创文章≥2</w:t>
            </w:r>
            <w:r>
              <w:rPr>
                <w:rFonts w:hint="eastAsia" w:ascii="宋体" w:hAnsi="宋体" w:cs="宋体"/>
                <w:color w:val="000000"/>
                <w:kern w:val="0"/>
                <w:sz w:val="16"/>
                <w:szCs w:val="16"/>
              </w:rPr>
              <w:t>0</w:t>
            </w:r>
            <w:r>
              <w:rPr>
                <w:rFonts w:hint="eastAsia" w:ascii="宋体" w:hAnsi="宋体" w:cs="宋体"/>
                <w:color w:val="000000"/>
                <w:kern w:val="0"/>
                <w:sz w:val="16"/>
                <w:szCs w:val="16"/>
                <w:lang w:val="zh-CN"/>
              </w:rPr>
              <w:t>篇。“中国大学生网”微信公众号</w:t>
            </w:r>
            <w:r>
              <w:rPr>
                <w:rFonts w:hint="eastAsia" w:ascii="宋体" w:hAnsi="宋体" w:cs="宋体"/>
                <w:color w:val="000000"/>
                <w:kern w:val="0"/>
                <w:sz w:val="16"/>
                <w:szCs w:val="16"/>
              </w:rPr>
              <w:t>全年</w:t>
            </w:r>
            <w:r>
              <w:rPr>
                <w:rFonts w:hint="eastAsia" w:ascii="宋体" w:hAnsi="宋体" w:cs="宋体"/>
                <w:color w:val="000000"/>
                <w:kern w:val="0"/>
                <w:sz w:val="16"/>
                <w:szCs w:val="16"/>
                <w:lang w:val="zh-CN"/>
              </w:rPr>
              <w:t>发表</w:t>
            </w:r>
            <w:r>
              <w:rPr>
                <w:rFonts w:hint="eastAsia" w:ascii="宋体" w:hAnsi="宋体" w:cs="宋体"/>
                <w:color w:val="000000"/>
                <w:kern w:val="0"/>
                <w:sz w:val="16"/>
                <w:szCs w:val="16"/>
              </w:rPr>
              <w:t>原创</w:t>
            </w:r>
            <w:r>
              <w:rPr>
                <w:rFonts w:hint="eastAsia" w:ascii="宋体" w:hAnsi="宋体" w:cs="宋体"/>
                <w:color w:val="000000"/>
                <w:kern w:val="0"/>
                <w:sz w:val="16"/>
                <w:szCs w:val="16"/>
                <w:lang w:val="zh-CN"/>
              </w:rPr>
              <w:t>文章</w:t>
            </w:r>
            <w:r>
              <w:rPr>
                <w:rFonts w:hint="eastAsia" w:ascii="宋体" w:hAnsi="宋体" w:cs="宋体"/>
                <w:color w:val="000000"/>
                <w:kern w:val="0"/>
                <w:sz w:val="16"/>
                <w:szCs w:val="16"/>
              </w:rPr>
              <w:t>200</w:t>
            </w:r>
            <w:r>
              <w:rPr>
                <w:rFonts w:hint="eastAsia" w:ascii="宋体" w:hAnsi="宋体" w:cs="宋体"/>
                <w:color w:val="000000"/>
                <w:kern w:val="0"/>
                <w:sz w:val="16"/>
                <w:szCs w:val="16"/>
                <w:lang w:val="zh-CN"/>
              </w:rPr>
              <w:t>篇。“东方红啦”微信公众号全年发表原创文章100篇。</w:t>
            </w:r>
            <w:r>
              <w:rPr>
                <w:rFonts w:hint="eastAsia" w:ascii="宋体" w:hAnsi="宋体" w:cs="宋体"/>
                <w:color w:val="000000"/>
                <w:kern w:val="0"/>
                <w:sz w:val="16"/>
                <w:szCs w:val="16"/>
              </w:rPr>
              <w:t>前线手机报全年编发</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50期。</w:t>
            </w:r>
            <w:r>
              <w:rPr>
                <w:rFonts w:hint="eastAsia" w:ascii="宋体" w:hAnsi="宋体" w:cs="宋体"/>
                <w:color w:val="000000"/>
                <w:kern w:val="0"/>
                <w:sz w:val="16"/>
                <w:szCs w:val="16"/>
                <w:lang w:val="zh-CN"/>
              </w:rPr>
              <w:t>音像制品《党课一小时》摄制出版</w:t>
            </w:r>
            <w:r>
              <w:rPr>
                <w:rFonts w:hint="eastAsia" w:ascii="宋体" w:hAnsi="宋体" w:cs="宋体"/>
                <w:color w:val="000000"/>
                <w:kern w:val="0"/>
                <w:sz w:val="16"/>
                <w:szCs w:val="16"/>
                <w:lang w:val="en-US" w:eastAsia="zh-CN"/>
              </w:rPr>
              <w:t>6辑</w:t>
            </w:r>
            <w:r>
              <w:rPr>
                <w:rFonts w:hint="eastAsia" w:ascii="宋体" w:hAnsi="宋体" w:cs="宋体"/>
                <w:color w:val="000000"/>
                <w:kern w:val="0"/>
                <w:sz w:val="16"/>
                <w:szCs w:val="16"/>
                <w:lang w:val="zh-CN"/>
              </w:rPr>
              <w:t>。</w:t>
            </w:r>
          </w:p>
        </w:tc>
        <w:tc>
          <w:tcPr>
            <w:tcW w:w="965" w:type="pct"/>
            <w:tcBorders>
              <w:top w:val="single" w:color="000000" w:sz="4" w:space="0"/>
              <w:left w:val="single" w:color="000000" w:sz="4" w:space="0"/>
              <w:bottom w:val="single" w:color="000000" w:sz="4" w:space="0"/>
              <w:right w:val="single" w:color="auto" w:sz="4" w:space="0"/>
            </w:tcBorders>
            <w:vAlign w:val="center"/>
          </w:tcPr>
          <w:p>
            <w:pPr>
              <w:rPr>
                <w:rFonts w:ascii="宋体" w:hAnsi="宋体" w:cs="宋体"/>
                <w:color w:val="000000"/>
                <w:kern w:val="0"/>
                <w:sz w:val="16"/>
                <w:szCs w:val="16"/>
              </w:rPr>
            </w:pPr>
            <w:r>
              <w:rPr>
                <w:rFonts w:hint="eastAsia" w:ascii="宋体" w:hAnsi="宋体" w:cs="宋体"/>
                <w:color w:val="000000"/>
                <w:kern w:val="0"/>
                <w:sz w:val="16"/>
                <w:szCs w:val="16"/>
                <w:lang w:val="zh-CN"/>
              </w:rPr>
              <w:t>前线客户端全年发布原创稿件约2000篇，图片约5000张。前线网每月发稿200篇。“前线理论圈”微信公众号全年发布原创文章25篇；“中国大学生网”微信公众号全年发表原创文章383篇；“东方红啦”微信公众号全年发表原创文章100篇。前线学习手机报全年编发52期。音像制品《党课一小时》全年摄制出版6辑。</w:t>
            </w:r>
          </w:p>
        </w:tc>
        <w:tc>
          <w:tcPr>
            <w:tcW w:w="210" w:type="pct"/>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191" w:type="pct"/>
            <w:tcBorders>
              <w:top w:val="single" w:color="auto" w:sz="4" w:space="0"/>
              <w:left w:val="single" w:color="000000" w:sz="4" w:space="0"/>
              <w:bottom w:val="single" w:color="auto" w:sz="4" w:space="0"/>
              <w:right w:val="single" w:color="000000"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925" w:type="pct"/>
            <w:gridSpan w:val="2"/>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hAnsi="宋体" w:cs="宋体"/>
                <w:color w:val="000000"/>
                <w:kern w:val="0"/>
                <w:sz w:val="16"/>
                <w:szCs w:val="16"/>
              </w:rPr>
            </w:pPr>
          </w:p>
        </w:tc>
        <w:tc>
          <w:tcPr>
            <w:tcW w:w="827" w:type="pct"/>
            <w:tcBorders>
              <w:top w:val="single" w:color="auto" w:sz="4" w:space="0"/>
              <w:left w:val="single" w:color="000000"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735" w:hRule="atLeast"/>
        </w:trPr>
        <w:tc>
          <w:tcPr>
            <w:tcW w:w="238" w:type="pct"/>
            <w:vMerge w:val="restart"/>
            <w:tcBorders>
              <w:top w:val="single" w:color="auto" w:sz="4" w:space="0"/>
              <w:left w:val="single" w:color="auto"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267" w:type="pct"/>
            <w:vMerge w:val="restart"/>
            <w:tcBorders>
              <w:top w:val="single" w:color="auto" w:sz="4" w:space="0"/>
              <w:left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317" w:type="pc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数量指标</w:t>
            </w:r>
          </w:p>
        </w:tc>
        <w:tc>
          <w:tcPr>
            <w:tcW w:w="1055" w:type="pct"/>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kern w:val="0"/>
                <w:sz w:val="16"/>
                <w:szCs w:val="16"/>
                <w:lang w:val="zh-CN"/>
              </w:rPr>
            </w:pPr>
            <w:r>
              <w:rPr>
                <w:rFonts w:hint="eastAsia" w:ascii="宋体" w:hAnsi="宋体" w:cs="宋体"/>
                <w:color w:val="000000"/>
                <w:kern w:val="0"/>
                <w:sz w:val="16"/>
                <w:szCs w:val="16"/>
              </w:rPr>
              <w:t>在</w:t>
            </w:r>
            <w:r>
              <w:rPr>
                <w:rFonts w:hint="eastAsia" w:ascii="宋体" w:hAnsi="宋体" w:cs="宋体"/>
                <w:color w:val="000000"/>
                <w:kern w:val="0"/>
                <w:sz w:val="16"/>
                <w:szCs w:val="16"/>
                <w:lang w:val="zh-CN"/>
              </w:rPr>
              <w:t>中央“三报一刊”发表文章≥</w:t>
            </w:r>
            <w:r>
              <w:rPr>
                <w:rFonts w:hint="eastAsia" w:ascii="宋体" w:hAnsi="宋体" w:cs="宋体"/>
                <w:color w:val="000000"/>
                <w:kern w:val="0"/>
                <w:sz w:val="16"/>
                <w:szCs w:val="16"/>
              </w:rPr>
              <w:t>5</w:t>
            </w:r>
            <w:r>
              <w:rPr>
                <w:rFonts w:hint="eastAsia" w:ascii="宋体" w:hAnsi="宋体" w:cs="宋体"/>
                <w:color w:val="000000"/>
                <w:kern w:val="0"/>
                <w:sz w:val="16"/>
                <w:szCs w:val="16"/>
                <w:lang w:val="zh-CN"/>
              </w:rPr>
              <w:t>篇。</w:t>
            </w:r>
            <w:r>
              <w:rPr>
                <w:rFonts w:hint="eastAsia" w:ascii="宋体" w:hAnsi="宋体" w:cs="宋体"/>
                <w:color w:val="000000"/>
                <w:kern w:val="0"/>
                <w:sz w:val="16"/>
                <w:szCs w:val="16"/>
              </w:rPr>
              <w:t>召开</w:t>
            </w:r>
            <w:r>
              <w:rPr>
                <w:rFonts w:hint="eastAsia" w:ascii="宋体" w:hAnsi="宋体" w:cs="宋体"/>
                <w:color w:val="000000"/>
                <w:kern w:val="0"/>
                <w:sz w:val="16"/>
                <w:szCs w:val="16"/>
                <w:lang w:val="zh-CN"/>
              </w:rPr>
              <w:t>“北京市接诉即办”理论研讨会</w:t>
            </w:r>
            <w:r>
              <w:rPr>
                <w:rFonts w:hint="eastAsia" w:ascii="宋体" w:hAnsi="宋体" w:cs="宋体"/>
                <w:color w:val="000000"/>
                <w:kern w:val="0"/>
                <w:sz w:val="16"/>
                <w:szCs w:val="16"/>
              </w:rPr>
              <w:t>1次。</w:t>
            </w:r>
            <w:r>
              <w:rPr>
                <w:rFonts w:hint="eastAsia" w:ascii="宋体" w:hAnsi="宋体" w:cs="宋体"/>
                <w:color w:val="000000"/>
                <w:kern w:val="0"/>
                <w:sz w:val="16"/>
                <w:szCs w:val="16"/>
                <w:lang w:val="zh-CN"/>
              </w:rPr>
              <w:t>举办1次评选活动，年度人物20人。</w:t>
            </w:r>
            <w:r>
              <w:rPr>
                <w:rFonts w:hint="eastAsia" w:ascii="宋体" w:hAnsi="宋体" w:cs="宋体"/>
                <w:color w:val="000000"/>
                <w:kern w:val="0"/>
                <w:sz w:val="16"/>
                <w:szCs w:val="16"/>
              </w:rPr>
              <w:t>举办</w:t>
            </w:r>
            <w:r>
              <w:rPr>
                <w:rFonts w:hint="eastAsia" w:ascii="宋体" w:hAnsi="宋体" w:cs="宋体"/>
                <w:color w:val="000000"/>
                <w:kern w:val="0"/>
                <w:sz w:val="16"/>
                <w:szCs w:val="16"/>
                <w:lang w:val="zh-CN"/>
              </w:rPr>
              <w:t>“庆祝建党100周年·党史学习教育”主题年会暨“庆百年华诞 访双奥之城”大型主题采访活动，</w:t>
            </w:r>
            <w:r>
              <w:rPr>
                <w:rFonts w:hint="eastAsia" w:ascii="宋体" w:hAnsi="宋体" w:cs="宋体"/>
                <w:color w:val="000000"/>
                <w:kern w:val="0"/>
                <w:sz w:val="16"/>
                <w:szCs w:val="16"/>
              </w:rPr>
              <w:t>参会的</w:t>
            </w:r>
            <w:r>
              <w:rPr>
                <w:rFonts w:hint="eastAsia" w:ascii="宋体" w:hAnsi="宋体" w:cs="宋体"/>
                <w:color w:val="000000"/>
                <w:kern w:val="0"/>
                <w:sz w:val="16"/>
                <w:szCs w:val="16"/>
                <w:lang w:val="zh-CN"/>
              </w:rPr>
              <w:t>中央和国家机关及各省、自治区、直辖市所属党刊社</w:t>
            </w:r>
            <w:r>
              <w:rPr>
                <w:rFonts w:hint="eastAsia" w:ascii="宋体" w:hAnsi="宋体" w:cs="宋体"/>
                <w:color w:val="000000"/>
                <w:kern w:val="0"/>
                <w:sz w:val="16"/>
                <w:szCs w:val="16"/>
              </w:rPr>
              <w:t>数量</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40</w:t>
            </w:r>
            <w:r>
              <w:rPr>
                <w:rFonts w:hint="eastAsia" w:ascii="宋体" w:hAnsi="宋体" w:cs="宋体"/>
                <w:color w:val="000000"/>
                <w:kern w:val="0"/>
                <w:sz w:val="16"/>
                <w:szCs w:val="16"/>
                <w:lang w:val="zh-CN"/>
              </w:rPr>
              <w:t>家。</w:t>
            </w:r>
          </w:p>
          <w:p>
            <w:pPr>
              <w:rPr>
                <w:rFonts w:ascii="宋体" w:hAnsi="宋体" w:cs="宋体"/>
                <w:color w:val="000000"/>
                <w:kern w:val="0"/>
                <w:sz w:val="16"/>
                <w:szCs w:val="16"/>
              </w:rPr>
            </w:pPr>
          </w:p>
        </w:tc>
        <w:tc>
          <w:tcPr>
            <w:tcW w:w="965" w:type="pct"/>
            <w:tcBorders>
              <w:top w:val="single" w:color="000000" w:sz="4" w:space="0"/>
              <w:left w:val="single" w:color="000000" w:sz="4" w:space="0"/>
              <w:bottom w:val="single" w:color="auto" w:sz="4" w:space="0"/>
              <w:right w:val="single" w:color="auto" w:sz="4" w:space="0"/>
            </w:tcBorders>
            <w:vAlign w:val="center"/>
          </w:tcPr>
          <w:p>
            <w:pPr>
              <w:rPr>
                <w:rFonts w:hint="eastAsia" w:ascii="宋体" w:hAnsi="宋体" w:cs="宋体"/>
                <w:color w:val="000000"/>
                <w:kern w:val="0"/>
                <w:sz w:val="16"/>
                <w:szCs w:val="16"/>
                <w:lang w:val="zh-CN"/>
              </w:rPr>
            </w:pPr>
            <w:r>
              <w:rPr>
                <w:rFonts w:hint="eastAsia" w:ascii="宋体" w:hAnsi="宋体" w:cs="宋体"/>
                <w:color w:val="000000"/>
                <w:kern w:val="0"/>
                <w:sz w:val="16"/>
                <w:szCs w:val="16"/>
                <w:lang w:val="zh-CN"/>
              </w:rPr>
              <w:t>在中央“三报一刊”发表文章</w:t>
            </w:r>
            <w:r>
              <w:rPr>
                <w:rFonts w:hint="eastAsia" w:ascii="宋体" w:hAnsi="宋体" w:cs="宋体"/>
                <w:color w:val="000000"/>
                <w:kern w:val="0"/>
                <w:sz w:val="16"/>
                <w:szCs w:val="16"/>
                <w:lang w:val="en-US" w:eastAsia="zh-CN"/>
              </w:rPr>
              <w:t>17</w:t>
            </w:r>
            <w:r>
              <w:rPr>
                <w:rFonts w:hint="eastAsia" w:ascii="宋体" w:hAnsi="宋体" w:cs="宋体"/>
                <w:color w:val="000000"/>
                <w:kern w:val="0"/>
                <w:sz w:val="16"/>
                <w:szCs w:val="16"/>
                <w:lang w:val="zh-CN"/>
              </w:rPr>
              <w:t>篇。</w:t>
            </w:r>
            <w:r>
              <w:rPr>
                <w:rFonts w:hint="eastAsia" w:ascii="宋体" w:hAnsi="宋体" w:cs="宋体"/>
                <w:color w:val="000000"/>
                <w:kern w:val="0"/>
                <w:sz w:val="16"/>
                <w:szCs w:val="16"/>
                <w:lang w:val="zh-CN" w:eastAsia="zh-CN"/>
              </w:rPr>
              <w:t>承办</w:t>
            </w:r>
            <w:r>
              <w:rPr>
                <w:rFonts w:hint="eastAsia" w:ascii="宋体" w:hAnsi="宋体" w:cs="宋体"/>
                <w:color w:val="000000"/>
                <w:kern w:val="0"/>
                <w:sz w:val="16"/>
                <w:szCs w:val="16"/>
                <w:lang w:val="zh-CN"/>
              </w:rPr>
              <w:t>“深化党建引领 推动首都基层治理现代化论坛</w:t>
            </w:r>
            <w:r>
              <w:rPr>
                <w:rFonts w:hint="default" w:ascii="宋体" w:hAnsi="宋体" w:cs="宋体"/>
                <w:color w:val="000000"/>
                <w:kern w:val="0"/>
                <w:sz w:val="16"/>
                <w:szCs w:val="16"/>
                <w:lang w:val="en-US" w:eastAsia="zh-CN"/>
              </w:rPr>
              <w:t>”</w:t>
            </w:r>
            <w:r>
              <w:rPr>
                <w:rFonts w:hint="eastAsia" w:ascii="宋体" w:hAnsi="宋体" w:cs="宋体"/>
                <w:color w:val="000000"/>
                <w:kern w:val="0"/>
                <w:sz w:val="16"/>
                <w:szCs w:val="16"/>
                <w:lang w:val="zh-CN"/>
              </w:rPr>
              <w:t>。组织第十六届中国大学生年度人物评选活动，年度人物20人，提名20人，入围101人。参与高校2600多所，得到教育部的高度认可。举办“庆祝建党100周年·党史学习教育”主题年会暨“庆百年华诞 访双奥之城”大型主题采访活动，参会的中央和国家机关及各省、自治区、直辖市所属党刊社数量52家。</w:t>
            </w:r>
          </w:p>
        </w:tc>
        <w:tc>
          <w:tcPr>
            <w:tcW w:w="210" w:type="pct"/>
            <w:tcBorders>
              <w:top w:val="single" w:color="auto" w:sz="4" w:space="0"/>
              <w:left w:val="single" w:color="auto" w:sz="4" w:space="0"/>
              <w:bottom w:val="single" w:color="auto" w:sz="4" w:space="0"/>
              <w:right w:val="single" w:color="000000" w:sz="4" w:space="0"/>
            </w:tcBorders>
            <w:vAlign w:val="center"/>
          </w:tcPr>
          <w:p>
            <w:pPr>
              <w:jc w:val="center"/>
              <w:rPr>
                <w:rFonts w:hint="eastAsia" w:ascii="宋体" w:hAnsi="宋体" w:cs="宋体"/>
                <w:color w:val="000000"/>
                <w:kern w:val="0"/>
                <w:sz w:val="16"/>
                <w:szCs w:val="16"/>
                <w:lang w:val="zh-CN"/>
              </w:rPr>
            </w:pPr>
            <w:r>
              <w:rPr>
                <w:rFonts w:hint="eastAsia" w:ascii="宋体" w:hAnsi="宋体" w:cs="宋体"/>
                <w:color w:val="000000"/>
                <w:kern w:val="0"/>
                <w:sz w:val="16"/>
                <w:szCs w:val="16"/>
                <w:lang w:val="zh-CN"/>
              </w:rPr>
              <w:t>3</w:t>
            </w:r>
          </w:p>
        </w:tc>
        <w:tc>
          <w:tcPr>
            <w:tcW w:w="191" w:type="pct"/>
            <w:tcBorders>
              <w:top w:val="single" w:color="auto"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925" w:type="pct"/>
            <w:gridSpan w:val="2"/>
            <w:vMerge w:val="restart"/>
            <w:tcBorders>
              <w:top w:val="single" w:color="auto" w:sz="4" w:space="0"/>
              <w:left w:val="single" w:color="000000" w:sz="4" w:space="0"/>
              <w:right w:val="single" w:color="000000" w:sz="4" w:space="0"/>
            </w:tcBorders>
            <w:vAlign w:val="center"/>
          </w:tcPr>
          <w:p>
            <w:pPr>
              <w:widowControl/>
              <w:jc w:val="left"/>
              <w:rPr>
                <w:rFonts w:ascii="宋体" w:hAnsi="宋体" w:cs="宋体"/>
                <w:color w:val="000000"/>
                <w:kern w:val="0"/>
                <w:sz w:val="16"/>
                <w:szCs w:val="16"/>
              </w:rPr>
            </w:pPr>
          </w:p>
        </w:tc>
        <w:tc>
          <w:tcPr>
            <w:tcW w:w="827" w:type="pct"/>
            <w:vMerge w:val="restart"/>
            <w:tcBorders>
              <w:top w:val="single" w:color="auto" w:sz="4" w:space="0"/>
              <w:left w:val="single" w:color="000000" w:sz="4" w:space="0"/>
              <w:right w:val="single" w:color="auto"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90" w:hRule="atLeast"/>
        </w:trPr>
        <w:tc>
          <w:tcPr>
            <w:tcW w:w="238" w:type="pct"/>
            <w:vMerge w:val="continue"/>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color w:val="000000"/>
                <w:kern w:val="0"/>
                <w:sz w:val="16"/>
                <w:szCs w:val="16"/>
              </w:rPr>
            </w:pPr>
          </w:p>
        </w:tc>
        <w:tc>
          <w:tcPr>
            <w:tcW w:w="267" w:type="pct"/>
            <w:vMerge w:val="continue"/>
            <w:tcBorders>
              <w:top w:val="single" w:color="auto" w:sz="4" w:space="0"/>
              <w:left w:val="single" w:color="000000"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317" w:type="pc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质量指标</w:t>
            </w:r>
          </w:p>
        </w:tc>
        <w:tc>
          <w:tcPr>
            <w:tcW w:w="1055"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项目质量达标率为100%</w:t>
            </w:r>
          </w:p>
        </w:tc>
        <w:tc>
          <w:tcPr>
            <w:tcW w:w="965" w:type="pct"/>
            <w:tcBorders>
              <w:top w:val="single" w:color="auto" w:sz="4" w:space="0"/>
              <w:left w:val="single" w:color="000000" w:sz="4" w:space="0"/>
              <w:bottom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210" w:type="pct"/>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191"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925"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c>
          <w:tcPr>
            <w:tcW w:w="827" w:type="pct"/>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403" w:hRule="atLeast"/>
        </w:trPr>
        <w:tc>
          <w:tcPr>
            <w:tcW w:w="238" w:type="pct"/>
            <w:vMerge w:val="continue"/>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color w:val="000000"/>
                <w:kern w:val="0"/>
                <w:sz w:val="16"/>
                <w:szCs w:val="16"/>
              </w:rPr>
            </w:pPr>
          </w:p>
        </w:tc>
        <w:tc>
          <w:tcPr>
            <w:tcW w:w="267" w:type="pct"/>
            <w:vMerge w:val="continue"/>
            <w:tcBorders>
              <w:top w:val="single" w:color="auto" w:sz="4" w:space="0"/>
              <w:left w:val="single" w:color="000000"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317" w:type="pc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时效指标</w:t>
            </w:r>
          </w:p>
        </w:tc>
        <w:tc>
          <w:tcPr>
            <w:tcW w:w="1055"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项目按时完成率为100%。</w:t>
            </w:r>
          </w:p>
        </w:tc>
        <w:tc>
          <w:tcPr>
            <w:tcW w:w="965" w:type="pct"/>
            <w:tcBorders>
              <w:top w:val="single" w:color="000000" w:sz="4" w:space="0"/>
              <w:left w:val="single" w:color="000000"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90%</w:t>
            </w:r>
          </w:p>
        </w:tc>
        <w:tc>
          <w:tcPr>
            <w:tcW w:w="210" w:type="pct"/>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191"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925"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c>
          <w:tcPr>
            <w:tcW w:w="827" w:type="pct"/>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r>
      <w:tr>
        <w:tblPrEx>
          <w:tblCellMar>
            <w:top w:w="0" w:type="dxa"/>
            <w:left w:w="108" w:type="dxa"/>
            <w:bottom w:w="0" w:type="dxa"/>
            <w:right w:w="108" w:type="dxa"/>
          </w:tblCellMar>
        </w:tblPrEx>
        <w:trPr>
          <w:trHeight w:val="382" w:hRule="atLeast"/>
        </w:trPr>
        <w:tc>
          <w:tcPr>
            <w:tcW w:w="238" w:type="pct"/>
            <w:vMerge w:val="continue"/>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color w:val="000000"/>
                <w:kern w:val="0"/>
                <w:sz w:val="16"/>
                <w:szCs w:val="16"/>
              </w:rPr>
            </w:pPr>
          </w:p>
        </w:tc>
        <w:tc>
          <w:tcPr>
            <w:tcW w:w="267" w:type="pct"/>
            <w:vMerge w:val="continue"/>
            <w:tcBorders>
              <w:top w:val="single" w:color="auto" w:sz="4" w:space="0"/>
              <w:left w:val="single" w:color="000000"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317" w:type="pct"/>
            <w:tcBorders>
              <w:top w:val="single" w:color="000000" w:sz="4" w:space="0"/>
              <w:left w:val="single" w:color="auto" w:sz="4" w:space="0"/>
              <w:bottom w:val="single" w:color="000000" w:sz="4" w:space="0"/>
              <w:right w:val="single" w:color="000000" w:sz="4" w:space="0"/>
            </w:tcBorders>
            <w:vAlign w:val="center"/>
          </w:tcPr>
          <w:p>
            <w:pPr>
              <w:widowControl/>
              <w:jc w:val="both"/>
              <w:rPr>
                <w:rFonts w:ascii="宋体" w:hAnsi="宋体" w:cs="宋体"/>
                <w:color w:val="000000"/>
                <w:kern w:val="0"/>
                <w:sz w:val="16"/>
                <w:szCs w:val="16"/>
              </w:rPr>
            </w:pPr>
            <w:r>
              <w:rPr>
                <w:rFonts w:hint="eastAsia" w:ascii="宋体" w:hAnsi="宋体" w:cs="宋体"/>
                <w:color w:val="000000"/>
                <w:kern w:val="0"/>
                <w:sz w:val="16"/>
                <w:szCs w:val="16"/>
              </w:rPr>
              <w:t>成本指标</w:t>
            </w:r>
          </w:p>
        </w:tc>
        <w:tc>
          <w:tcPr>
            <w:tcW w:w="1055"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项目成本节约额增加率</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10%。</w:t>
            </w:r>
          </w:p>
        </w:tc>
        <w:tc>
          <w:tcPr>
            <w:tcW w:w="965" w:type="pct"/>
            <w:tcBorders>
              <w:top w:val="single" w:color="auto" w:sz="4" w:space="0"/>
              <w:left w:val="single" w:color="000000"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项目成本节约额增加率为</w:t>
            </w:r>
            <w:r>
              <w:rPr>
                <w:rFonts w:hint="eastAsia" w:ascii="宋体" w:hAnsi="宋体" w:cs="宋体"/>
                <w:color w:val="000000"/>
                <w:kern w:val="0"/>
                <w:sz w:val="16"/>
                <w:szCs w:val="16"/>
                <w:lang w:val="en-US" w:eastAsia="zh-CN"/>
              </w:rPr>
              <w:t>6</w:t>
            </w:r>
            <w:r>
              <w:rPr>
                <w:rFonts w:hint="eastAsia" w:ascii="宋体" w:hAnsi="宋体" w:cs="宋体"/>
                <w:color w:val="000000"/>
                <w:kern w:val="0"/>
                <w:sz w:val="16"/>
                <w:szCs w:val="16"/>
              </w:rPr>
              <w:t>21%。</w:t>
            </w:r>
          </w:p>
        </w:tc>
        <w:tc>
          <w:tcPr>
            <w:tcW w:w="210" w:type="pct"/>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191"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925"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p>
        </w:tc>
        <w:tc>
          <w:tcPr>
            <w:tcW w:w="827" w:type="pct"/>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632" w:hRule="atLeast"/>
        </w:trPr>
        <w:tc>
          <w:tcPr>
            <w:tcW w:w="238" w:type="pct"/>
            <w:vMerge w:val="restart"/>
            <w:tcBorders>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整体绩效目标实现情况（60）</w:t>
            </w:r>
          </w:p>
        </w:tc>
        <w:tc>
          <w:tcPr>
            <w:tcW w:w="267" w:type="pct"/>
            <w:vMerge w:val="restart"/>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效果（30）</w:t>
            </w:r>
          </w:p>
        </w:tc>
        <w:tc>
          <w:tcPr>
            <w:tcW w:w="317" w:type="pct"/>
            <w:tcBorders>
              <w:left w:val="single" w:color="auto" w:sz="4" w:space="0"/>
              <w:bottom w:val="single" w:color="auto" w:sz="4" w:space="0"/>
              <w:right w:val="single" w:color="auto"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经济效益指标</w:t>
            </w:r>
          </w:p>
        </w:tc>
        <w:tc>
          <w:tcPr>
            <w:tcW w:w="1055" w:type="pct"/>
            <w:tcBorders>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“三公经费控制率”≤100%（实际支出数/预算安排数）×100%）。</w:t>
            </w:r>
          </w:p>
        </w:tc>
        <w:tc>
          <w:tcPr>
            <w:tcW w:w="965" w:type="pct"/>
            <w:tcBorders>
              <w:left w:val="single" w:color="auto" w:sz="4" w:space="0"/>
              <w:bottom w:val="single" w:color="auto" w:sz="4" w:space="0"/>
              <w:right w:val="single" w:color="auto"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34.16%</w:t>
            </w:r>
          </w:p>
        </w:tc>
        <w:tc>
          <w:tcPr>
            <w:tcW w:w="210" w:type="pct"/>
            <w:tcBorders>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7.5</w:t>
            </w:r>
          </w:p>
        </w:tc>
        <w:tc>
          <w:tcPr>
            <w:tcW w:w="191" w:type="pct"/>
            <w:tcBorders>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7.5　</w:t>
            </w:r>
          </w:p>
        </w:tc>
        <w:tc>
          <w:tcPr>
            <w:tcW w:w="925" w:type="pct"/>
            <w:gridSpan w:val="2"/>
            <w:vMerge w:val="restart"/>
            <w:tcBorders>
              <w:left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b/>
                <w:bCs/>
                <w:color w:val="000000"/>
                <w:kern w:val="0"/>
                <w:sz w:val="16"/>
                <w:szCs w:val="16"/>
              </w:rPr>
              <w:t>经济效益</w:t>
            </w:r>
            <w:r>
              <w:rPr>
                <w:rFonts w:hint="eastAsia" w:ascii="宋体" w:hAnsi="宋体" w:cs="宋体"/>
                <w:color w:val="000000"/>
                <w:kern w:val="0"/>
                <w:sz w:val="16"/>
                <w:szCs w:val="16"/>
              </w:rPr>
              <w:t>：部门（单位）履行职责对经济发展所带来的直接或间接影响。</w:t>
            </w:r>
            <w:r>
              <w:rPr>
                <w:rFonts w:hint="eastAsia" w:ascii="宋体" w:hAnsi="宋体" w:cs="宋体"/>
                <w:b/>
                <w:bCs/>
                <w:color w:val="000000"/>
                <w:kern w:val="0"/>
                <w:sz w:val="16"/>
                <w:szCs w:val="16"/>
              </w:rPr>
              <w:t>社会效益</w:t>
            </w:r>
            <w:r>
              <w:rPr>
                <w:rFonts w:hint="eastAsia" w:ascii="宋体" w:hAnsi="宋体" w:cs="宋体"/>
                <w:color w:val="000000"/>
                <w:kern w:val="0"/>
                <w:sz w:val="16"/>
                <w:szCs w:val="16"/>
              </w:rPr>
              <w:t>：部门（单位）履行职责对社会发展所带来的直接或间接影响。</w:t>
            </w:r>
            <w:r>
              <w:rPr>
                <w:rFonts w:hint="eastAsia" w:ascii="宋体" w:hAnsi="宋体" w:cs="宋体"/>
                <w:b/>
                <w:bCs/>
                <w:color w:val="000000"/>
                <w:kern w:val="0"/>
                <w:sz w:val="16"/>
                <w:szCs w:val="16"/>
              </w:rPr>
              <w:t>环境效益</w:t>
            </w:r>
            <w:r>
              <w:rPr>
                <w:rFonts w:hint="eastAsia" w:ascii="宋体" w:hAnsi="宋体" w:cs="宋体"/>
                <w:color w:val="000000"/>
                <w:kern w:val="0"/>
                <w:sz w:val="16"/>
                <w:szCs w:val="16"/>
              </w:rPr>
              <w:t>：部门（单位）履行职责对环境所带来的直接或间接影响。</w:t>
            </w:r>
            <w:r>
              <w:rPr>
                <w:rFonts w:hint="eastAsia" w:ascii="宋体" w:hAnsi="宋体" w:cs="宋体"/>
                <w:b/>
                <w:bCs/>
                <w:color w:val="000000"/>
                <w:kern w:val="0"/>
                <w:sz w:val="16"/>
                <w:szCs w:val="16"/>
              </w:rPr>
              <w:t>可持续性影响：</w:t>
            </w:r>
            <w:r>
              <w:rPr>
                <w:rFonts w:hint="eastAsia" w:ascii="宋体" w:hAnsi="宋体" w:cs="宋体"/>
                <w:color w:val="000000"/>
                <w:kern w:val="0"/>
                <w:sz w:val="16"/>
                <w:szCs w:val="16"/>
              </w:rPr>
              <w:t>部门绩效目标实现的长效机制建设情况，部门工作效率提升措施的创新。</w:t>
            </w:r>
            <w:r>
              <w:rPr>
                <w:rFonts w:hint="eastAsia" w:ascii="宋体" w:hAnsi="宋体" w:cs="宋体"/>
                <w:b/>
                <w:bCs/>
                <w:color w:val="000000"/>
                <w:kern w:val="0"/>
                <w:sz w:val="16"/>
                <w:szCs w:val="16"/>
              </w:rPr>
              <w:t>服务对象满意度</w:t>
            </w:r>
            <w:r>
              <w:rPr>
                <w:rFonts w:hint="eastAsia" w:ascii="宋体" w:hAnsi="宋体" w:cs="宋体"/>
                <w:color w:val="000000"/>
                <w:kern w:val="0"/>
                <w:sz w:val="16"/>
                <w:szCs w:val="16"/>
              </w:rPr>
              <w:t>：部门（单位）的服务对象对部门履职效果的满意程度。</w:t>
            </w:r>
          </w:p>
        </w:tc>
        <w:tc>
          <w:tcPr>
            <w:tcW w:w="827" w:type="pct"/>
            <w:vMerge w:val="restart"/>
            <w:tcBorders>
              <w:lef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部门根据实际情况选择指标进行填写，并将其细化为相应的个性化指标。对于效益类指标可从受益对象瞄准度、受益广度和受益深度上进行设计分析。</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1470" w:hRule="atLeast"/>
        </w:trPr>
        <w:tc>
          <w:tcPr>
            <w:tcW w:w="238" w:type="pct"/>
            <w:vMerge w:val="continue"/>
            <w:tcBorders>
              <w:right w:val="single" w:color="auto" w:sz="4" w:space="0"/>
            </w:tcBorders>
            <w:vAlign w:val="center"/>
          </w:tcPr>
          <w:p>
            <w:pPr>
              <w:widowControl/>
              <w:jc w:val="left"/>
              <w:rPr>
                <w:rFonts w:ascii="宋体" w:hAnsi="宋体" w:cs="宋体"/>
                <w:color w:val="000000"/>
                <w:kern w:val="0"/>
                <w:sz w:val="16"/>
                <w:szCs w:val="16"/>
              </w:rPr>
            </w:pPr>
          </w:p>
        </w:tc>
        <w:tc>
          <w:tcPr>
            <w:tcW w:w="2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3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经济效益指标</w:t>
            </w:r>
          </w:p>
        </w:tc>
        <w:tc>
          <w:tcPr>
            <w:tcW w:w="1055" w:type="pct"/>
            <w:tcBorders>
              <w:top w:val="single" w:color="auto" w:sz="4" w:space="0"/>
              <w:left w:val="nil"/>
              <w:bottom w:val="single" w:color="auto" w:sz="4" w:space="0"/>
              <w:right w:val="single" w:color="auto" w:sz="4" w:space="0"/>
            </w:tcBorders>
            <w:vAlign w:val="center"/>
          </w:tcPr>
          <w:p>
            <w:pPr>
              <w:rPr>
                <w:rFonts w:ascii="宋体" w:hAnsi="宋体" w:cs="宋体"/>
                <w:color w:val="000000"/>
                <w:kern w:val="0"/>
                <w:sz w:val="16"/>
                <w:szCs w:val="16"/>
              </w:rPr>
            </w:pPr>
            <w:r>
              <w:rPr>
                <w:rFonts w:hint="eastAsia" w:ascii="宋体" w:hAnsi="宋体" w:cs="宋体"/>
                <w:color w:val="000000"/>
                <w:kern w:val="0"/>
                <w:sz w:val="16"/>
                <w:szCs w:val="16"/>
              </w:rPr>
              <w:t>预算资金比上年度压减金额</w:t>
            </w:r>
            <w:r>
              <w:rPr>
                <w:rFonts w:hint="eastAsia" w:ascii="宋体" w:hAnsi="宋体" w:cs="宋体"/>
                <w:color w:val="000000"/>
                <w:kern w:val="0"/>
                <w:sz w:val="16"/>
                <w:szCs w:val="16"/>
                <w:lang w:val="zh-CN"/>
              </w:rPr>
              <w:t>≥</w:t>
            </w:r>
            <w:r>
              <w:rPr>
                <w:rFonts w:hint="eastAsia" w:ascii="宋体" w:hAnsi="宋体" w:cs="宋体"/>
                <w:color w:val="000000"/>
                <w:kern w:val="0"/>
                <w:sz w:val="16"/>
                <w:szCs w:val="16"/>
              </w:rPr>
              <w:t>500万。</w:t>
            </w:r>
          </w:p>
        </w:tc>
        <w:tc>
          <w:tcPr>
            <w:tcW w:w="965" w:type="pct"/>
            <w:tcBorders>
              <w:top w:val="single" w:color="auto" w:sz="4" w:space="0"/>
              <w:left w:val="nil"/>
              <w:bottom w:val="single" w:color="auto" w:sz="4" w:space="0"/>
              <w:right w:val="single" w:color="auto" w:sz="4" w:space="0"/>
            </w:tcBorders>
            <w:vAlign w:val="center"/>
          </w:tcPr>
          <w:p>
            <w:pPr>
              <w:rPr>
                <w:rFonts w:ascii="宋体" w:hAnsi="宋体" w:cs="宋体"/>
                <w:color w:val="000000"/>
                <w:kern w:val="0"/>
                <w:sz w:val="16"/>
                <w:szCs w:val="16"/>
              </w:rPr>
            </w:pPr>
            <w:r>
              <w:rPr>
                <w:rFonts w:hint="eastAsia" w:ascii="宋体" w:hAnsi="宋体" w:cs="宋体"/>
                <w:color w:val="000000"/>
                <w:kern w:val="0"/>
                <w:sz w:val="16"/>
                <w:szCs w:val="16"/>
              </w:rPr>
              <w:t>落实政府部门过紧日子的要求，提高项目规划水平，按照轻重缓急对项目进行排序，2021年预算数在2020年基础上压减资金869.3万元。</w:t>
            </w:r>
          </w:p>
        </w:tc>
        <w:tc>
          <w:tcPr>
            <w:tcW w:w="210"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7.5</w:t>
            </w:r>
          </w:p>
        </w:tc>
        <w:tc>
          <w:tcPr>
            <w:tcW w:w="19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7.5</w:t>
            </w:r>
          </w:p>
        </w:tc>
        <w:tc>
          <w:tcPr>
            <w:tcW w:w="925" w:type="pct"/>
            <w:gridSpan w:val="2"/>
            <w:vMerge w:val="continue"/>
            <w:tcBorders>
              <w:left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827" w:type="pct"/>
            <w:vMerge w:val="continue"/>
            <w:tcBorders>
              <w:left w:val="single" w:color="auto" w:sz="4" w:space="0"/>
            </w:tcBorders>
            <w:vAlign w:val="center"/>
          </w:tcPr>
          <w:p>
            <w:pPr>
              <w:widowControl/>
              <w:jc w:val="left"/>
              <w:rPr>
                <w:rFonts w:ascii="宋体" w:hAnsi="宋体" w:cs="宋体"/>
                <w:color w:val="000000"/>
                <w:kern w:val="0"/>
                <w:sz w:val="16"/>
                <w:szCs w:val="16"/>
              </w:rPr>
            </w:pP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1494" w:hRule="atLeast"/>
        </w:trPr>
        <w:tc>
          <w:tcPr>
            <w:tcW w:w="238" w:type="pct"/>
            <w:tcBorders>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267" w:type="pct"/>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3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社会效益指标</w:t>
            </w:r>
          </w:p>
        </w:tc>
        <w:tc>
          <w:tcPr>
            <w:tcW w:w="1055"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6"/>
                <w:szCs w:val="16"/>
                <w:lang w:val="zh-CN"/>
              </w:rPr>
            </w:pPr>
            <w:r>
              <w:rPr>
                <w:rFonts w:hint="eastAsia" w:ascii="宋体" w:hAnsi="宋体" w:cs="宋体"/>
                <w:color w:val="000000"/>
                <w:kern w:val="0"/>
                <w:sz w:val="16"/>
                <w:szCs w:val="16"/>
                <w:lang w:val="zh-CN"/>
              </w:rPr>
              <w:t>加强中央和北京市重大理论和实践创新宣传，提高党刊的影响力和传播力。</w:t>
            </w:r>
            <w:r>
              <w:rPr>
                <w:rFonts w:hint="eastAsia" w:ascii="宋体" w:hAnsi="宋体" w:cs="宋体"/>
                <w:color w:val="000000"/>
                <w:kern w:val="0"/>
                <w:sz w:val="16"/>
                <w:szCs w:val="16"/>
              </w:rPr>
              <w:t>　</w:t>
            </w:r>
          </w:p>
        </w:tc>
        <w:tc>
          <w:tcPr>
            <w:tcW w:w="965" w:type="pct"/>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kern w:val="0"/>
                <w:sz w:val="16"/>
                <w:szCs w:val="16"/>
                <w:lang w:val="zh-CN" w:eastAsia="zh-CN"/>
              </w:rPr>
            </w:pPr>
            <w:r>
              <w:rPr>
                <w:rFonts w:hint="eastAsia" w:ascii="宋体" w:hAnsi="宋体" w:cs="宋体"/>
                <w:color w:val="000000"/>
                <w:kern w:val="0"/>
                <w:sz w:val="16"/>
                <w:szCs w:val="16"/>
              </w:rPr>
              <w:t>截至2021年年末，《前线》文章被转载15篇，其中，《新华文摘》转载7篇、《人大报刊</w:t>
            </w:r>
            <w:r>
              <w:rPr>
                <w:rFonts w:hint="eastAsia" w:ascii="宋体" w:hAnsi="宋体" w:cs="宋体"/>
                <w:color w:val="000000"/>
                <w:kern w:val="0"/>
                <w:sz w:val="16"/>
                <w:szCs w:val="16"/>
                <w:lang w:eastAsia="zh-CN"/>
              </w:rPr>
              <w:t>复</w:t>
            </w:r>
            <w:r>
              <w:rPr>
                <w:rFonts w:hint="eastAsia" w:ascii="宋体" w:hAnsi="宋体" w:cs="宋体"/>
                <w:color w:val="000000"/>
                <w:kern w:val="0"/>
                <w:sz w:val="16"/>
                <w:szCs w:val="16"/>
              </w:rPr>
              <w:t>印资料》转载7篇、《光明日报》转载1篇。《前线》继入选全国百强期刊、中国人文社会科学（AMI）核心期刊之后，2021年荣获第五届中国出版政府奖期刊奖提名奖。《北京支部生活》</w:t>
            </w:r>
            <w:r>
              <w:rPr>
                <w:rFonts w:hint="eastAsia" w:ascii="宋体" w:hAnsi="宋体" w:cs="宋体"/>
                <w:color w:val="000000"/>
                <w:kern w:val="0"/>
                <w:sz w:val="16"/>
                <w:szCs w:val="16"/>
                <w:lang w:eastAsia="zh-CN"/>
              </w:rPr>
              <w:t>杂志</w:t>
            </w:r>
            <w:r>
              <w:rPr>
                <w:rFonts w:hint="eastAsia" w:ascii="宋体" w:hAnsi="宋体" w:cs="宋体"/>
                <w:color w:val="000000"/>
                <w:kern w:val="0"/>
                <w:sz w:val="16"/>
                <w:szCs w:val="16"/>
              </w:rPr>
              <w:t>荣获</w:t>
            </w:r>
            <w:r>
              <w:rPr>
                <w:rFonts w:hint="eastAsia" w:ascii="宋体" w:hAnsi="宋体" w:cs="宋体"/>
                <w:color w:val="000000"/>
                <w:kern w:val="0"/>
                <w:sz w:val="16"/>
                <w:szCs w:val="16"/>
                <w:lang w:val="en-US" w:eastAsia="zh-CN"/>
              </w:rPr>
              <w:t>2021年</w:t>
            </w:r>
            <w:r>
              <w:rPr>
                <w:rFonts w:hint="eastAsia" w:ascii="宋体" w:hAnsi="宋体" w:cs="宋体"/>
                <w:color w:val="000000"/>
                <w:kern w:val="0"/>
                <w:sz w:val="16"/>
                <w:szCs w:val="16"/>
              </w:rPr>
              <w:t>全国优秀封面设计奖</w:t>
            </w:r>
            <w:r>
              <w:rPr>
                <w:rFonts w:hint="eastAsia" w:ascii="宋体" w:hAnsi="宋体" w:cs="宋体"/>
                <w:color w:val="000000"/>
                <w:kern w:val="0"/>
                <w:sz w:val="16"/>
                <w:szCs w:val="16"/>
                <w:lang w:eastAsia="zh-CN"/>
              </w:rPr>
              <w:t>。</w:t>
            </w:r>
            <w:r>
              <w:rPr>
                <w:rFonts w:hint="eastAsia" w:ascii="宋体" w:hAnsi="宋体" w:cs="宋体"/>
                <w:color w:val="000000"/>
                <w:kern w:val="0"/>
                <w:sz w:val="16"/>
                <w:szCs w:val="16"/>
              </w:rPr>
              <w:t>《大学生》</w:t>
            </w:r>
            <w:r>
              <w:rPr>
                <w:rFonts w:hint="eastAsia" w:ascii="宋体" w:hAnsi="宋体" w:cs="宋体"/>
                <w:color w:val="000000"/>
                <w:kern w:val="0"/>
                <w:sz w:val="16"/>
                <w:szCs w:val="16"/>
                <w:lang w:eastAsia="zh-CN"/>
              </w:rPr>
              <w:t>杂志</w:t>
            </w:r>
            <w:r>
              <w:rPr>
                <w:rFonts w:hint="eastAsia" w:ascii="宋体" w:hAnsi="宋体" w:cs="宋体"/>
                <w:color w:val="000000"/>
                <w:kern w:val="0"/>
                <w:sz w:val="16"/>
                <w:szCs w:val="16"/>
              </w:rPr>
              <w:t>荣获</w:t>
            </w:r>
            <w:r>
              <w:rPr>
                <w:rFonts w:hint="eastAsia" w:ascii="宋体" w:hAnsi="宋体" w:cs="宋体"/>
                <w:color w:val="000000"/>
                <w:kern w:val="0"/>
                <w:sz w:val="16"/>
                <w:szCs w:val="16"/>
                <w:lang w:val="en-US" w:eastAsia="zh-CN"/>
              </w:rPr>
              <w:t>2021年</w:t>
            </w:r>
            <w:r>
              <w:rPr>
                <w:rFonts w:hint="eastAsia" w:ascii="宋体" w:hAnsi="宋体" w:cs="宋体"/>
                <w:color w:val="000000"/>
                <w:kern w:val="0"/>
                <w:sz w:val="16"/>
                <w:szCs w:val="16"/>
              </w:rPr>
              <w:t>全国优秀版面设计奖。</w:t>
            </w:r>
          </w:p>
        </w:tc>
        <w:tc>
          <w:tcPr>
            <w:tcW w:w="210" w:type="pct"/>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7.5</w:t>
            </w:r>
          </w:p>
        </w:tc>
        <w:tc>
          <w:tcPr>
            <w:tcW w:w="19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7.5</w:t>
            </w:r>
          </w:p>
        </w:tc>
        <w:tc>
          <w:tcPr>
            <w:tcW w:w="925" w:type="pct"/>
            <w:gridSpan w:val="2"/>
            <w:vMerge w:val="continue"/>
            <w:tcBorders>
              <w:left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827" w:type="pct"/>
            <w:vMerge w:val="continue"/>
            <w:tcBorders>
              <w:left w:val="single" w:color="auto" w:sz="4" w:space="0"/>
            </w:tcBorders>
            <w:vAlign w:val="center"/>
          </w:tcPr>
          <w:p>
            <w:pPr>
              <w:widowControl/>
              <w:jc w:val="left"/>
              <w:rPr>
                <w:rFonts w:ascii="宋体" w:hAnsi="宋体" w:cs="宋体"/>
                <w:color w:val="000000"/>
                <w:kern w:val="0"/>
                <w:sz w:val="16"/>
                <w:szCs w:val="16"/>
              </w:rPr>
            </w:pP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1954" w:hRule="atLeast"/>
        </w:trPr>
        <w:tc>
          <w:tcPr>
            <w:tcW w:w="238" w:type="pct"/>
            <w:tcBorders>
              <w:right w:val="single" w:color="auto" w:sz="4" w:space="0"/>
            </w:tcBorders>
            <w:vAlign w:val="center"/>
          </w:tcPr>
          <w:p>
            <w:pPr>
              <w:widowControl/>
              <w:jc w:val="both"/>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267"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3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社会效益指标</w:t>
            </w:r>
          </w:p>
        </w:tc>
        <w:tc>
          <w:tcPr>
            <w:tcW w:w="1055"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6"/>
                <w:szCs w:val="16"/>
                <w:lang w:val="zh-CN"/>
              </w:rPr>
            </w:pPr>
            <w:r>
              <w:rPr>
                <w:rFonts w:hint="eastAsia" w:ascii="宋体" w:hAnsi="宋体" w:cs="宋体"/>
                <w:color w:val="000000"/>
                <w:kern w:val="0"/>
                <w:sz w:val="16"/>
                <w:szCs w:val="16"/>
              </w:rPr>
              <w:t>客户端</w:t>
            </w:r>
            <w:r>
              <w:rPr>
                <w:rFonts w:hint="eastAsia" w:ascii="宋体" w:hAnsi="宋体" w:cs="宋体"/>
                <w:color w:val="000000"/>
                <w:kern w:val="0"/>
                <w:sz w:val="16"/>
                <w:szCs w:val="16"/>
                <w:lang w:val="zh-CN"/>
              </w:rPr>
              <w:t>阅读量累计超过10万的次数≥10次。阅读量累计超过100万的次数≥1次。</w:t>
            </w:r>
          </w:p>
          <w:p>
            <w:pPr>
              <w:widowControl/>
              <w:jc w:val="left"/>
              <w:rPr>
                <w:rFonts w:ascii="宋体" w:hAnsi="宋体" w:cs="宋体"/>
                <w:color w:val="000000"/>
                <w:kern w:val="0"/>
                <w:sz w:val="16"/>
                <w:szCs w:val="16"/>
              </w:rPr>
            </w:pPr>
            <w:r>
              <w:rPr>
                <w:rFonts w:hint="eastAsia" w:ascii="宋体" w:hAnsi="宋体" w:cs="宋体"/>
                <w:color w:val="000000"/>
                <w:kern w:val="0"/>
                <w:sz w:val="16"/>
                <w:szCs w:val="16"/>
              </w:rPr>
              <w:t>　</w:t>
            </w:r>
          </w:p>
        </w:tc>
        <w:tc>
          <w:tcPr>
            <w:tcW w:w="965" w:type="pct"/>
            <w:tcBorders>
              <w:top w:val="single" w:color="auto" w:sz="4" w:space="0"/>
              <w:left w:val="nil"/>
              <w:bottom w:val="single" w:color="auto" w:sz="4" w:space="0"/>
              <w:right w:val="single" w:color="auto" w:sz="4" w:space="0"/>
            </w:tcBorders>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全年阅读量累计超过10万次的稿件112篇，100万次的稿件13篇，1000万次的稿件2篇，</w:t>
            </w:r>
            <w:r>
              <w:rPr>
                <w:rFonts w:hint="eastAsia" w:ascii="宋体" w:hAnsi="宋体" w:cs="宋体"/>
                <w:color w:val="000000"/>
                <w:kern w:val="0"/>
                <w:sz w:val="16"/>
                <w:szCs w:val="16"/>
                <w:lang w:val="zh-CN"/>
              </w:rPr>
              <w:t>1000万</w:t>
            </w:r>
            <w:r>
              <w:rPr>
                <w:rFonts w:hint="eastAsia" w:ascii="宋体" w:hAnsi="宋体" w:cs="宋体"/>
                <w:color w:val="000000"/>
                <w:kern w:val="0"/>
                <w:sz w:val="16"/>
                <w:szCs w:val="16"/>
              </w:rPr>
              <w:t>次的</w:t>
            </w:r>
            <w:r>
              <w:rPr>
                <w:rFonts w:hint="eastAsia" w:ascii="宋体" w:hAnsi="宋体" w:cs="宋体"/>
                <w:color w:val="000000"/>
                <w:kern w:val="0"/>
                <w:sz w:val="16"/>
                <w:szCs w:val="16"/>
                <w:lang w:val="zh-CN"/>
              </w:rPr>
              <w:t>稿件2篇，亿次</w:t>
            </w:r>
            <w:r>
              <w:rPr>
                <w:rFonts w:hint="eastAsia" w:ascii="宋体" w:hAnsi="宋体" w:cs="宋体"/>
                <w:color w:val="000000"/>
                <w:kern w:val="0"/>
                <w:sz w:val="16"/>
                <w:szCs w:val="16"/>
              </w:rPr>
              <w:t>的</w:t>
            </w:r>
            <w:r>
              <w:rPr>
                <w:rFonts w:hint="eastAsia" w:ascii="宋体" w:hAnsi="宋体" w:cs="宋体"/>
                <w:color w:val="000000"/>
                <w:kern w:val="0"/>
                <w:sz w:val="16"/>
                <w:szCs w:val="16"/>
                <w:lang w:val="zh-CN"/>
              </w:rPr>
              <w:t>稿件4篇，</w:t>
            </w:r>
            <w:r>
              <w:rPr>
                <w:rFonts w:hint="eastAsia" w:ascii="宋体" w:hAnsi="宋体" w:cs="宋体"/>
                <w:color w:val="000000"/>
                <w:kern w:val="0"/>
                <w:sz w:val="16"/>
                <w:szCs w:val="16"/>
              </w:rPr>
              <w:t>《答卷人》系列</w:t>
            </w:r>
            <w:r>
              <w:rPr>
                <w:rFonts w:hint="eastAsia" w:ascii="宋体" w:hAnsi="宋体" w:cs="宋体"/>
                <w:color w:val="000000"/>
                <w:kern w:val="0"/>
                <w:sz w:val="16"/>
                <w:szCs w:val="16"/>
                <w:lang w:eastAsia="zh-CN"/>
              </w:rPr>
              <w:t>作品</w:t>
            </w:r>
            <w:r>
              <w:rPr>
                <w:rFonts w:hint="eastAsia" w:ascii="宋体" w:hAnsi="宋体" w:cs="宋体"/>
                <w:color w:val="000000"/>
                <w:kern w:val="0"/>
                <w:sz w:val="16"/>
                <w:szCs w:val="16"/>
              </w:rPr>
              <w:t>全网点击量累计总次数超10亿次。</w:t>
            </w:r>
          </w:p>
        </w:tc>
        <w:tc>
          <w:tcPr>
            <w:tcW w:w="210"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7.5</w:t>
            </w:r>
          </w:p>
        </w:tc>
        <w:tc>
          <w:tcPr>
            <w:tcW w:w="19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7.5</w:t>
            </w:r>
          </w:p>
        </w:tc>
        <w:tc>
          <w:tcPr>
            <w:tcW w:w="92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827" w:type="pct"/>
            <w:tcBorders>
              <w:top w:val="single" w:color="auto" w:sz="4" w:space="0"/>
              <w:left w:val="single" w:color="auto" w:sz="4" w:space="0"/>
              <w:bottom w:val="single" w:color="auto" w:sz="4" w:space="0"/>
            </w:tcBorders>
            <w:vAlign w:val="center"/>
          </w:tcPr>
          <w:p>
            <w:pPr>
              <w:widowControl/>
              <w:jc w:val="left"/>
              <w:rPr>
                <w:rFonts w:ascii="宋体" w:hAnsi="宋体" w:cs="宋体"/>
                <w:color w:val="000000"/>
                <w:kern w:val="0"/>
                <w:sz w:val="16"/>
                <w:szCs w:val="16"/>
              </w:rPr>
            </w:pP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90" w:hRule="atLeast"/>
        </w:trPr>
        <w:tc>
          <w:tcPr>
            <w:tcW w:w="5000" w:type="pct"/>
            <w:gridSpan w:val="10"/>
            <w:tcBorders>
              <w:top w:val="single" w:color="auto" w:sz="4" w:space="0"/>
              <w:bottom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三</w:t>
            </w:r>
            <w:r>
              <w:rPr>
                <w:rFonts w:ascii="宋体" w:hAnsi="宋体" w:cs="宋体"/>
                <w:color w:val="000000"/>
                <w:kern w:val="0"/>
                <w:sz w:val="16"/>
                <w:szCs w:val="16"/>
              </w:rPr>
              <w:t>、</w:t>
            </w:r>
            <w:r>
              <w:rPr>
                <w:rFonts w:hint="eastAsia" w:ascii="宋体" w:hAnsi="宋体" w:cs="宋体"/>
                <w:color w:val="000000"/>
                <w:kern w:val="0"/>
                <w:sz w:val="16"/>
                <w:szCs w:val="16"/>
              </w:rPr>
              <w:t>预算管理情况（20分）</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554" w:hRule="atLeast"/>
        </w:trPr>
        <w:tc>
          <w:tcPr>
            <w:tcW w:w="238" w:type="pct"/>
            <w:tcBorders>
              <w:top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一</w:t>
            </w:r>
            <w:r>
              <w:rPr>
                <w:rFonts w:ascii="宋体" w:hAnsi="宋体" w:cs="宋体"/>
                <w:color w:val="000000"/>
                <w:kern w:val="0"/>
                <w:sz w:val="16"/>
                <w:szCs w:val="16"/>
              </w:rPr>
              <w:t>级指标</w:t>
            </w:r>
          </w:p>
        </w:tc>
        <w:tc>
          <w:tcPr>
            <w:tcW w:w="267" w:type="pct"/>
            <w:tcBorders>
              <w:top w:val="single" w:color="auto" w:sz="4" w:space="0"/>
              <w:left w:val="single" w:color="auto" w:sz="4" w:space="0"/>
              <w:bottom w:val="single" w:color="auto" w:sz="4" w:space="0"/>
              <w:right w:val="single" w:color="auto" w:sz="4" w:space="0"/>
            </w:tcBorders>
            <w:vAlign w:val="center"/>
          </w:tcPr>
          <w:p>
            <w:pPr>
              <w:widowControl/>
              <w:jc w:val="both"/>
              <w:rPr>
                <w:rFonts w:ascii="宋体" w:hAnsi="宋体" w:cs="宋体"/>
                <w:color w:val="000000"/>
                <w:kern w:val="0"/>
                <w:sz w:val="16"/>
                <w:szCs w:val="16"/>
              </w:rPr>
            </w:pPr>
            <w:r>
              <w:rPr>
                <w:rFonts w:hint="eastAsia" w:ascii="宋体" w:hAnsi="宋体" w:cs="宋体"/>
                <w:color w:val="000000"/>
                <w:kern w:val="0"/>
                <w:sz w:val="16"/>
                <w:szCs w:val="16"/>
              </w:rPr>
              <w:t>二</w:t>
            </w:r>
            <w:r>
              <w:rPr>
                <w:rFonts w:ascii="宋体" w:hAnsi="宋体" w:cs="宋体"/>
                <w:color w:val="000000"/>
                <w:kern w:val="0"/>
                <w:sz w:val="16"/>
                <w:szCs w:val="16"/>
              </w:rPr>
              <w:t>级指标</w:t>
            </w:r>
          </w:p>
        </w:tc>
        <w:tc>
          <w:tcPr>
            <w:tcW w:w="3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三</w:t>
            </w:r>
            <w:r>
              <w:rPr>
                <w:rFonts w:ascii="宋体" w:hAnsi="宋体" w:cs="宋体"/>
                <w:color w:val="000000"/>
                <w:kern w:val="0"/>
                <w:sz w:val="16"/>
                <w:szCs w:val="16"/>
              </w:rPr>
              <w:t>级指标</w:t>
            </w:r>
          </w:p>
        </w:tc>
        <w:tc>
          <w:tcPr>
            <w:tcW w:w="1055"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值</w:t>
            </w:r>
          </w:p>
        </w:tc>
        <w:tc>
          <w:tcPr>
            <w:tcW w:w="965"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完成</w:t>
            </w:r>
            <w:r>
              <w:rPr>
                <w:rFonts w:ascii="宋体" w:hAnsi="宋体" w:cs="宋体"/>
                <w:color w:val="000000"/>
                <w:kern w:val="0"/>
                <w:sz w:val="16"/>
                <w:szCs w:val="16"/>
              </w:rPr>
              <w:t>值</w:t>
            </w:r>
          </w:p>
        </w:tc>
        <w:tc>
          <w:tcPr>
            <w:tcW w:w="21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分</w:t>
            </w:r>
            <w:r>
              <w:rPr>
                <w:rFonts w:ascii="宋体" w:hAnsi="宋体" w:cs="宋体"/>
                <w:color w:val="000000"/>
                <w:kern w:val="0"/>
                <w:sz w:val="16"/>
                <w:szCs w:val="16"/>
              </w:rPr>
              <w:t>值</w:t>
            </w:r>
          </w:p>
        </w:tc>
        <w:tc>
          <w:tcPr>
            <w:tcW w:w="210" w:type="pct"/>
            <w:gridSpan w:val="2"/>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得</w:t>
            </w:r>
            <w:r>
              <w:rPr>
                <w:rFonts w:ascii="宋体" w:hAnsi="宋体" w:cs="宋体"/>
                <w:color w:val="000000"/>
                <w:kern w:val="0"/>
                <w:sz w:val="16"/>
                <w:szCs w:val="16"/>
              </w:rPr>
              <w:t>分</w:t>
            </w:r>
          </w:p>
        </w:tc>
        <w:tc>
          <w:tcPr>
            <w:tcW w:w="9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Cs/>
                <w:color w:val="000000"/>
                <w:kern w:val="0"/>
                <w:sz w:val="16"/>
                <w:szCs w:val="16"/>
              </w:rPr>
              <w:t>指标</w:t>
            </w:r>
            <w:r>
              <w:rPr>
                <w:rFonts w:ascii="宋体" w:hAnsi="宋体" w:cs="宋体"/>
                <w:bCs/>
                <w:color w:val="000000"/>
                <w:kern w:val="0"/>
                <w:sz w:val="16"/>
                <w:szCs w:val="16"/>
              </w:rPr>
              <w:t>解释</w:t>
            </w:r>
          </w:p>
        </w:tc>
        <w:tc>
          <w:tcPr>
            <w:tcW w:w="827" w:type="pct"/>
            <w:tcBorders>
              <w:top w:val="single" w:color="auto" w:sz="4" w:space="0"/>
              <w:left w:val="nil"/>
              <w:bottom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评</w:t>
            </w:r>
            <w:r>
              <w:rPr>
                <w:rFonts w:ascii="宋体" w:hAnsi="宋体" w:cs="宋体"/>
                <w:color w:val="000000"/>
                <w:kern w:val="0"/>
                <w:sz w:val="16"/>
                <w:szCs w:val="16"/>
              </w:rPr>
              <w:t>分标准</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2054" w:hRule="atLeast"/>
        </w:trPr>
        <w:tc>
          <w:tcPr>
            <w:tcW w:w="238" w:type="pct"/>
            <w:tcBorders>
              <w:top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预算管理情况（20）</w:t>
            </w:r>
          </w:p>
        </w:tc>
        <w:tc>
          <w:tcPr>
            <w:tcW w:w="26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财务管理（4）</w:t>
            </w:r>
          </w:p>
        </w:tc>
        <w:tc>
          <w:tcPr>
            <w:tcW w:w="3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财务管理制度健全性</w:t>
            </w:r>
          </w:p>
        </w:tc>
        <w:tc>
          <w:tcPr>
            <w:tcW w:w="1055" w:type="pct"/>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内控制度健全、完整、合规。　</w:t>
            </w:r>
          </w:p>
        </w:tc>
        <w:tc>
          <w:tcPr>
            <w:tcW w:w="965"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预算资金管理办法、资产管理办法等</w:t>
            </w:r>
            <w:r>
              <w:rPr>
                <w:rFonts w:hint="eastAsia" w:ascii="宋体" w:hAnsi="宋体" w:cs="宋体"/>
                <w:color w:val="000000"/>
                <w:kern w:val="0"/>
                <w:sz w:val="16"/>
                <w:szCs w:val="16"/>
                <w:lang w:val="zh-CN"/>
              </w:rPr>
              <w:t>建设较为完善，</w:t>
            </w:r>
            <w:r>
              <w:rPr>
                <w:rFonts w:hint="eastAsia" w:ascii="宋体" w:hAnsi="宋体" w:cs="宋体"/>
                <w:color w:val="000000"/>
                <w:kern w:val="0"/>
                <w:sz w:val="16"/>
                <w:szCs w:val="16"/>
              </w:rPr>
              <w:t>未出台绩效跟踪管理办法；内部财务管理制度和会计核算制度完整、合规。</w:t>
            </w:r>
          </w:p>
        </w:tc>
        <w:tc>
          <w:tcPr>
            <w:tcW w:w="21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210" w:type="pct"/>
            <w:gridSpan w:val="2"/>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0.5</w:t>
            </w:r>
          </w:p>
        </w:tc>
        <w:tc>
          <w:tcPr>
            <w:tcW w:w="907"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b/>
                <w:bCs/>
                <w:color w:val="000000"/>
                <w:kern w:val="0"/>
                <w:sz w:val="16"/>
                <w:szCs w:val="16"/>
              </w:rPr>
              <w:t>财务管理制度健全性:</w:t>
            </w:r>
            <w:r>
              <w:rPr>
                <w:rFonts w:hint="eastAsia" w:ascii="宋体" w:hAnsi="宋体" w:cs="宋体"/>
                <w:color w:val="000000"/>
                <w:kern w:val="0"/>
                <w:sz w:val="16"/>
                <w:szCs w:val="16"/>
              </w:rPr>
              <w:t>部门（单位）为加强财务管理、规范财务行为而制定的管理制度。</w:t>
            </w:r>
          </w:p>
        </w:tc>
        <w:tc>
          <w:tcPr>
            <w:tcW w:w="827" w:type="pct"/>
            <w:tcBorders>
              <w:top w:val="single" w:color="auto" w:sz="4" w:space="0"/>
              <w:left w:val="nil"/>
              <w:bottom w:val="single" w:color="auto" w:sz="4" w:space="0"/>
            </w:tcBorders>
            <w:vAlign w:val="center"/>
          </w:tcPr>
          <w:p>
            <w:pPr>
              <w:widowControl/>
              <w:jc w:val="left"/>
              <w:rPr>
                <w:rFonts w:ascii="宋体" w:hAnsi="宋体" w:cs="宋体"/>
                <w:color w:val="000000"/>
                <w:kern w:val="0"/>
                <w:sz w:val="13"/>
                <w:szCs w:val="13"/>
              </w:rPr>
            </w:pPr>
            <w:r>
              <w:rPr>
                <w:rFonts w:hint="eastAsia" w:ascii="宋体" w:hAnsi="宋体" w:cs="宋体"/>
                <w:color w:val="000000"/>
                <w:kern w:val="0"/>
                <w:sz w:val="13"/>
                <w:szCs w:val="13"/>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2220" w:hRule="atLeast"/>
        </w:trPr>
        <w:tc>
          <w:tcPr>
            <w:tcW w:w="238" w:type="pct"/>
            <w:vMerge w:val="restart"/>
            <w:tcBorders>
              <w:top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267" w:type="pct"/>
            <w:vMerge w:val="restart"/>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3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资金使用合规性和安全性</w:t>
            </w:r>
          </w:p>
        </w:tc>
        <w:tc>
          <w:tcPr>
            <w:tcW w:w="1055"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预算资金符合相关的预算财务管理制度和相关规定的开支范围。　</w:t>
            </w:r>
          </w:p>
        </w:tc>
        <w:tc>
          <w:tcPr>
            <w:tcW w:w="965"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使用预算资金符合相关的预算财务管理制度的规定，符合相关规定的开支范围，单位预算资金做到了规范运行和安全运行。</w:t>
            </w:r>
          </w:p>
        </w:tc>
        <w:tc>
          <w:tcPr>
            <w:tcW w:w="21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w:t>
            </w:r>
          </w:p>
        </w:tc>
        <w:tc>
          <w:tcPr>
            <w:tcW w:w="210" w:type="pct"/>
            <w:gridSpan w:val="2"/>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w:t>
            </w:r>
          </w:p>
        </w:tc>
        <w:tc>
          <w:tcPr>
            <w:tcW w:w="907"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b/>
                <w:bCs/>
                <w:color w:val="000000"/>
                <w:kern w:val="0"/>
                <w:sz w:val="16"/>
                <w:szCs w:val="16"/>
              </w:rPr>
              <w:t>资金使用合规性和安全性:</w:t>
            </w:r>
            <w:r>
              <w:rPr>
                <w:rFonts w:hint="eastAsia" w:ascii="宋体" w:hAnsi="宋体" w:cs="宋体"/>
                <w:color w:val="000000"/>
                <w:kern w:val="0"/>
                <w:sz w:val="16"/>
                <w:szCs w:val="16"/>
              </w:rPr>
              <w:t>部门（单位）使用预算资金是否符合相关的预算财务管理制度的规定，是否符合相关规定的开支范围，用以反映考核部门（单位）预算资金的规范运行和安全运行情况。</w:t>
            </w:r>
          </w:p>
        </w:tc>
        <w:tc>
          <w:tcPr>
            <w:tcW w:w="827" w:type="pct"/>
            <w:tcBorders>
              <w:top w:val="single" w:color="auto" w:sz="4" w:space="0"/>
              <w:left w:val="nil"/>
              <w:bottom w:val="single" w:color="auto" w:sz="4" w:space="0"/>
            </w:tcBorders>
            <w:vAlign w:val="center"/>
          </w:tcPr>
          <w:p>
            <w:pPr>
              <w:widowControl/>
              <w:jc w:val="left"/>
              <w:rPr>
                <w:rFonts w:ascii="宋体" w:hAnsi="宋体" w:cs="宋体"/>
                <w:color w:val="000000"/>
                <w:kern w:val="0"/>
                <w:sz w:val="13"/>
                <w:szCs w:val="13"/>
              </w:rPr>
            </w:pPr>
            <w:r>
              <w:rPr>
                <w:rFonts w:hint="eastAsia" w:ascii="宋体" w:hAnsi="宋体" w:cs="宋体"/>
                <w:color w:val="000000"/>
                <w:kern w:val="0"/>
                <w:sz w:val="13"/>
                <w:szCs w:val="13"/>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1035" w:hRule="atLeast"/>
        </w:trPr>
        <w:tc>
          <w:tcPr>
            <w:tcW w:w="238" w:type="pct"/>
            <w:vMerge w:val="continue"/>
            <w:tcBorders>
              <w:top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26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317"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会计基础信息完善性</w:t>
            </w:r>
          </w:p>
        </w:tc>
        <w:tc>
          <w:tcPr>
            <w:tcW w:w="1055" w:type="pct"/>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基础数据信息和会计信息资料是否真实、完整、准确。</w:t>
            </w:r>
          </w:p>
        </w:tc>
        <w:tc>
          <w:tcPr>
            <w:tcW w:w="965" w:type="pct"/>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基础数据信息和会计信息资料能够做到真实、完整、准确</w:t>
            </w:r>
          </w:p>
        </w:tc>
        <w:tc>
          <w:tcPr>
            <w:tcW w:w="210" w:type="pct"/>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210" w:type="pct"/>
            <w:gridSpan w:val="2"/>
            <w:tcBorders>
              <w:top w:val="nil"/>
              <w:left w:val="nil"/>
              <w:bottom w:val="single" w:color="auto" w:sz="4" w:space="0"/>
              <w:right w:val="nil"/>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907"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b/>
                <w:bCs/>
                <w:color w:val="000000"/>
                <w:kern w:val="0"/>
                <w:sz w:val="16"/>
                <w:szCs w:val="16"/>
              </w:rPr>
              <w:t>会计基础信息完善性:</w:t>
            </w:r>
            <w:r>
              <w:rPr>
                <w:rFonts w:hint="eastAsia" w:ascii="宋体" w:hAnsi="宋体" w:cs="宋体"/>
                <w:color w:val="000000"/>
                <w:kern w:val="0"/>
                <w:sz w:val="16"/>
                <w:szCs w:val="16"/>
              </w:rPr>
              <w:t>部门（单位）会计基础信息情况。</w:t>
            </w:r>
          </w:p>
        </w:tc>
        <w:tc>
          <w:tcPr>
            <w:tcW w:w="827" w:type="pct"/>
            <w:tcBorders>
              <w:top w:val="nil"/>
              <w:left w:val="nil"/>
              <w:bottom w:val="single" w:color="auto" w:sz="4" w:space="0"/>
            </w:tcBorders>
            <w:vAlign w:val="center"/>
          </w:tcPr>
          <w:p>
            <w:pPr>
              <w:widowControl/>
              <w:jc w:val="left"/>
              <w:rPr>
                <w:rFonts w:ascii="宋体" w:hAnsi="宋体" w:cs="宋体"/>
                <w:color w:val="000000"/>
                <w:kern w:val="0"/>
                <w:sz w:val="13"/>
                <w:szCs w:val="13"/>
              </w:rPr>
            </w:pPr>
            <w:r>
              <w:rPr>
                <w:rFonts w:hint="eastAsia" w:ascii="宋体" w:hAnsi="宋体" w:cs="宋体"/>
                <w:color w:val="000000"/>
                <w:kern w:val="0"/>
                <w:sz w:val="13"/>
                <w:szCs w:val="13"/>
              </w:rPr>
              <w:t>①基础数据信息和会计信息资料是否真实；②基础数据信息和会计信息资料是否完整；③基础数据信息和会计信息资料是否准确。每有一项不合格扣0.5分，扣完为止。</w:t>
            </w:r>
          </w:p>
        </w:tc>
      </w:tr>
    </w:tbl>
    <w:p>
      <w:pPr>
        <w:widowControl/>
        <w:jc w:val="left"/>
        <w:rPr>
          <w:sz w:val="16"/>
          <w:szCs w:val="16"/>
        </w:rPr>
      </w:pPr>
      <w:r>
        <w:rPr>
          <w:rFonts w:ascii="宋体" w:hAnsi="宋体" w:cs="宋体"/>
          <w:color w:val="000000"/>
          <w:kern w:val="0"/>
          <w:sz w:val="16"/>
          <w:szCs w:val="16"/>
        </w:rPr>
        <w:br w:type="page"/>
      </w:r>
    </w:p>
    <w:tbl>
      <w:tblPr>
        <w:tblStyle w:val="11"/>
        <w:tblW w:w="5000" w:type="pct"/>
        <w:tblInd w:w="0" w:type="dxa"/>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Layout w:type="autofit"/>
        <w:tblCellMar>
          <w:top w:w="0" w:type="dxa"/>
          <w:left w:w="108" w:type="dxa"/>
          <w:bottom w:w="0" w:type="dxa"/>
          <w:right w:w="108" w:type="dxa"/>
        </w:tblCellMar>
      </w:tblPr>
      <w:tblGrid>
        <w:gridCol w:w="1133"/>
        <w:gridCol w:w="1058"/>
        <w:gridCol w:w="3"/>
        <w:gridCol w:w="916"/>
        <w:gridCol w:w="1753"/>
        <w:gridCol w:w="3"/>
        <w:gridCol w:w="1846"/>
        <w:gridCol w:w="6"/>
        <w:gridCol w:w="658"/>
        <w:gridCol w:w="3"/>
        <w:gridCol w:w="610"/>
        <w:gridCol w:w="3165"/>
        <w:gridCol w:w="3020"/>
      </w:tblGrid>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2703" w:hRule="atLeast"/>
        </w:trPr>
        <w:tc>
          <w:tcPr>
            <w:tcW w:w="400" w:type="pct"/>
            <w:vMerge w:val="restart"/>
            <w:tcBorders>
              <w:top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资产管理（4）</w:t>
            </w:r>
          </w:p>
        </w:tc>
        <w:tc>
          <w:tcPr>
            <w:tcW w:w="32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资产管理规范性</w:t>
            </w:r>
          </w:p>
        </w:tc>
        <w:tc>
          <w:tcPr>
            <w:tcW w:w="619"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资产的安全完整、资产配置、资产使用和资产处理的规范性。</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资产管理安全完整，资产配置合理，资产使用和资产处理规范。</w:t>
            </w:r>
          </w:p>
        </w:tc>
        <w:tc>
          <w:tcPr>
            <w:tcW w:w="23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4</w:t>
            </w:r>
          </w:p>
        </w:tc>
        <w:tc>
          <w:tcPr>
            <w:tcW w:w="21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4</w:t>
            </w:r>
          </w:p>
        </w:tc>
        <w:tc>
          <w:tcPr>
            <w:tcW w:w="111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b/>
                <w:bCs/>
                <w:color w:val="000000"/>
                <w:kern w:val="0"/>
                <w:sz w:val="16"/>
                <w:szCs w:val="16"/>
              </w:rPr>
              <w:t>资产管理规范性:</w:t>
            </w:r>
            <w:r>
              <w:rPr>
                <w:rFonts w:hint="eastAsia" w:ascii="宋体" w:hAnsi="宋体" w:cs="宋体"/>
                <w:color w:val="000000"/>
                <w:kern w:val="0"/>
                <w:sz w:val="16"/>
                <w:szCs w:val="16"/>
              </w:rPr>
              <w:t>部门（单位）的资产是否保持安全完整，资产配置是否合理，资产使用和资产处理是否规范，用以反映和考核部门（单位）资产管理的整体水平。</w:t>
            </w:r>
          </w:p>
        </w:tc>
        <w:tc>
          <w:tcPr>
            <w:tcW w:w="1064" w:type="pct"/>
            <w:tcBorders>
              <w:top w:val="single" w:color="auto" w:sz="4" w:space="0"/>
              <w:left w:val="single" w:color="auto" w:sz="4" w:space="0"/>
              <w:bottom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1271" w:hRule="atLeast"/>
        </w:trPr>
        <w:tc>
          <w:tcPr>
            <w:tcW w:w="400" w:type="pct"/>
            <w:vMerge w:val="continue"/>
            <w:tcBorders>
              <w:top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绩效管理（4）</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绩效管理情况</w:t>
            </w:r>
          </w:p>
        </w:tc>
        <w:tc>
          <w:tcPr>
            <w:tcW w:w="619" w:type="pct"/>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绩效管理的规范性、及时性。</w:t>
            </w:r>
          </w:p>
        </w:tc>
        <w:tc>
          <w:tcPr>
            <w:tcW w:w="65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绩效管理比较规范，能够及时对绩效信息进行汇总整理，对绩效目标偏离情况进行矫正。</w:t>
            </w:r>
          </w:p>
        </w:tc>
        <w:tc>
          <w:tcPr>
            <w:tcW w:w="233"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4</w:t>
            </w:r>
          </w:p>
        </w:tc>
        <w:tc>
          <w:tcPr>
            <w:tcW w:w="216" w:type="pct"/>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4</w:t>
            </w:r>
          </w:p>
        </w:tc>
        <w:tc>
          <w:tcPr>
            <w:tcW w:w="111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b/>
                <w:bCs/>
                <w:color w:val="000000"/>
                <w:kern w:val="0"/>
                <w:sz w:val="16"/>
                <w:szCs w:val="16"/>
              </w:rPr>
              <w:t>绩效管理情况:</w:t>
            </w:r>
            <w:r>
              <w:rPr>
                <w:rFonts w:hint="eastAsia" w:ascii="宋体" w:hAnsi="宋体" w:cs="宋体"/>
                <w:color w:val="000000"/>
                <w:kern w:val="0"/>
                <w:sz w:val="16"/>
                <w:szCs w:val="16"/>
              </w:rPr>
              <w:t>考核部门（单位）在绩效管理信息的汇总和应用情况。</w:t>
            </w:r>
          </w:p>
        </w:tc>
        <w:tc>
          <w:tcPr>
            <w:tcW w:w="1064" w:type="pct"/>
            <w:tcBorders>
              <w:top w:val="single" w:color="auto" w:sz="4" w:space="0"/>
              <w:left w:val="nil"/>
              <w:bottom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①部门（单位）是否及时对绩效信息进行汇总分析整理；②部门（单位）是否对绩效目标偏离情况及时进行矫正。每有一项不合格扣2分。</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264" w:hRule="atLeast"/>
        </w:trPr>
        <w:tc>
          <w:tcPr>
            <w:tcW w:w="400" w:type="pct"/>
            <w:vMerge w:val="continue"/>
            <w:tcBorders>
              <w:top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指标　</w:t>
            </w:r>
          </w:p>
        </w:tc>
        <w:tc>
          <w:tcPr>
            <w:tcW w:w="942" w:type="pct"/>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2020年</w:t>
            </w:r>
          </w:p>
        </w:tc>
        <w:tc>
          <w:tcPr>
            <w:tcW w:w="65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2021年</w:t>
            </w:r>
          </w:p>
        </w:tc>
        <w:tc>
          <w:tcPr>
            <w:tcW w:w="233"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216"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得分</w:t>
            </w:r>
          </w:p>
        </w:tc>
        <w:tc>
          <w:tcPr>
            <w:tcW w:w="11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bCs/>
                <w:color w:val="000000"/>
                <w:kern w:val="0"/>
                <w:sz w:val="16"/>
                <w:szCs w:val="16"/>
              </w:rPr>
              <w:t>指标</w:t>
            </w:r>
            <w:r>
              <w:rPr>
                <w:rFonts w:ascii="宋体" w:hAnsi="宋体" w:cs="宋体"/>
                <w:bCs/>
                <w:color w:val="000000"/>
                <w:kern w:val="0"/>
                <w:sz w:val="16"/>
                <w:szCs w:val="16"/>
              </w:rPr>
              <w:t>解释</w:t>
            </w:r>
          </w:p>
        </w:tc>
        <w:tc>
          <w:tcPr>
            <w:tcW w:w="1064" w:type="pct"/>
            <w:tcBorders>
              <w:top w:val="single" w:color="auto" w:sz="4" w:space="0"/>
              <w:left w:val="nil"/>
              <w:bottom w:val="single" w:color="auto" w:sz="4" w:space="0"/>
            </w:tcBorders>
            <w:vAlign w:val="center"/>
          </w:tcPr>
          <w:p>
            <w:pPr>
              <w:widowControl/>
              <w:jc w:val="center"/>
              <w:rPr>
                <w:rFonts w:eastAsia="Times New Roman"/>
                <w:kern w:val="0"/>
                <w:sz w:val="16"/>
                <w:szCs w:val="16"/>
              </w:rPr>
            </w:pPr>
            <w:r>
              <w:rPr>
                <w:rFonts w:hint="eastAsia" w:ascii="宋体" w:hAnsi="宋体" w:cs="宋体"/>
                <w:color w:val="000000"/>
                <w:kern w:val="0"/>
                <w:sz w:val="16"/>
                <w:szCs w:val="16"/>
              </w:rPr>
              <w:t>评</w:t>
            </w:r>
            <w:r>
              <w:rPr>
                <w:rFonts w:ascii="宋体" w:hAnsi="宋体" w:cs="宋体"/>
                <w:color w:val="000000"/>
                <w:kern w:val="0"/>
                <w:sz w:val="16"/>
                <w:szCs w:val="16"/>
              </w:rPr>
              <w:t>分标准</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90" w:hRule="atLeast"/>
        </w:trPr>
        <w:tc>
          <w:tcPr>
            <w:tcW w:w="400" w:type="pct"/>
            <w:vMerge w:val="continue"/>
            <w:tcBorders>
              <w:top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结转结余率（4）</w:t>
            </w:r>
          </w:p>
        </w:tc>
        <w:tc>
          <w:tcPr>
            <w:tcW w:w="942"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9.04%　</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3.5%</w:t>
            </w:r>
          </w:p>
        </w:tc>
        <w:tc>
          <w:tcPr>
            <w:tcW w:w="23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4</w:t>
            </w:r>
          </w:p>
        </w:tc>
        <w:tc>
          <w:tcPr>
            <w:tcW w:w="21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　4</w:t>
            </w:r>
          </w:p>
        </w:tc>
        <w:tc>
          <w:tcPr>
            <w:tcW w:w="111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结转结余率=结转结余总额/支出预算数×100%。</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结转结余总额：部门（单位）本年度的结转资金与结余资金之和。</w:t>
            </w:r>
          </w:p>
        </w:tc>
        <w:tc>
          <w:tcPr>
            <w:tcW w:w="1064" w:type="pct"/>
            <w:tcBorders>
              <w:top w:val="single" w:color="auto" w:sz="4" w:space="0"/>
              <w:left w:val="nil"/>
              <w:bottom w:val="single" w:color="auto"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806" w:hRule="atLeast"/>
        </w:trPr>
        <w:tc>
          <w:tcPr>
            <w:tcW w:w="400" w:type="pct"/>
            <w:tcBorders>
              <w:top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续上页</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部门预决算差异率（4）</w:t>
            </w:r>
          </w:p>
        </w:tc>
        <w:tc>
          <w:tcPr>
            <w:tcW w:w="942"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653"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8.27%</w:t>
            </w:r>
          </w:p>
        </w:tc>
        <w:tc>
          <w:tcPr>
            <w:tcW w:w="2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4</w:t>
            </w:r>
          </w:p>
        </w:tc>
        <w:tc>
          <w:tcPr>
            <w:tcW w:w="215"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　4</w:t>
            </w:r>
          </w:p>
        </w:tc>
        <w:tc>
          <w:tcPr>
            <w:tcW w:w="1116"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通过年度部门决算与年初部门预算对比，对部门的年度支出情况进行考核，衡量部门预算的约束力。</w:t>
            </w:r>
          </w:p>
        </w:tc>
        <w:tc>
          <w:tcPr>
            <w:tcW w:w="1065" w:type="pct"/>
            <w:tcBorders>
              <w:top w:val="single" w:color="000000" w:sz="4" w:space="0"/>
              <w:left w:val="single" w:color="000000" w:sz="4" w:space="0"/>
              <w:bottom w:val="single" w:color="000000" w:sz="4" w:space="0"/>
            </w:tcBorders>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部门预决算差异率高于市级平均差异率（28.3%）的，每高出10%（含），扣0.4分，扣完为止。</w:t>
            </w:r>
          </w:p>
        </w:tc>
      </w:tr>
      <w:tr>
        <w:tblPrEx>
          <w:tblBorders>
            <w:top w:val="single" w:color="000000" w:sz="4" w:space="0"/>
            <w:left w:val="single" w:color="000000" w:sz="4" w:space="0"/>
            <w:bottom w:val="single" w:color="000000" w:sz="4" w:space="0"/>
            <w:right w:val="single" w:color="000000" w:sz="4" w:space="0"/>
            <w:insideH w:val="none" w:color="auto" w:sz="4" w:space="0"/>
            <w:insideV w:val="none" w:color="auto" w:sz="4" w:space="0"/>
          </w:tblBorders>
          <w:tblCellMar>
            <w:top w:w="0" w:type="dxa"/>
            <w:left w:w="108" w:type="dxa"/>
            <w:bottom w:w="0" w:type="dxa"/>
            <w:right w:w="108" w:type="dxa"/>
          </w:tblCellMar>
        </w:tblPrEx>
        <w:trPr>
          <w:trHeight w:val="284" w:hRule="atLeast"/>
        </w:trPr>
        <w:tc>
          <w:tcPr>
            <w:tcW w:w="2369" w:type="pct"/>
            <w:gridSpan w:val="8"/>
            <w:tcBorders>
              <w:top w:val="single" w:color="000000" w:sz="4" w:space="0"/>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合计</w:t>
            </w:r>
          </w:p>
        </w:tc>
        <w:tc>
          <w:tcPr>
            <w:tcW w:w="233" w:type="pct"/>
            <w:gridSpan w:val="2"/>
            <w:tcBorders>
              <w:top w:val="single" w:color="000000" w:sz="4" w:space="0"/>
              <w:left w:val="nil"/>
              <w:righ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215" w:type="pct"/>
            <w:tcBorders>
              <w:top w:val="single" w:color="000000" w:sz="4" w:space="0"/>
              <w:left w:val="nil"/>
              <w:right w:val="nil"/>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92.5　</w:t>
            </w:r>
          </w:p>
        </w:tc>
        <w:tc>
          <w:tcPr>
            <w:tcW w:w="2181" w:type="pct"/>
            <w:gridSpan w:val="2"/>
            <w:tcBorders>
              <w:top w:val="single" w:color="000000" w:sz="4" w:space="0"/>
              <w:left w:val="single" w:color="auto" w:sz="4" w:space="0"/>
            </w:tcBorders>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　</w:t>
            </w:r>
          </w:p>
        </w:tc>
      </w:tr>
    </w:tbl>
    <w:p>
      <w:pPr>
        <w:pStyle w:val="2"/>
        <w:ind w:left="0" w:leftChars="0" w:firstLine="0" w:firstLineChars="0"/>
        <w:rPr>
          <w:sz w:val="16"/>
          <w:szCs w:val="16"/>
        </w:rPr>
      </w:pP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宋体"/>
    <w:panose1 w:val="00000000000000000000"/>
    <w:charset w:val="86"/>
    <w:family w:val="auto"/>
    <w:pitch w:val="default"/>
    <w:sig w:usb0="00000000" w:usb1="00000000"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Droid Sans">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r>
      <w:rPr>
        <w:sz w:val="28"/>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fV2T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K&#10;8vQBK6q6D1QXh3d+SKVTHCmYWA8t2PQlPozyJO75Kq4aIpPp0nq1XpeUkpSbHcIpHq8HwPheecuS&#10;UXOg18uiitNHjGPpXJK6OX+njaG4qIxjfc1vXr8p84VrhsCNox6JxDhssuKwHyYGe9+ciVhPG1Bz&#10;RwvPmfngSOC0LLMBs7GfjWMAfehoxmXuh+HtMdI0ecjUYYSdGtPTZZrTmqXd+NvPVY+/1v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L1fV2TQAQAAogMAAA4AAAAAAAAAAQAgAAAAHwEAAGRy&#10;cy9lMm9Eb2MueG1sUEsFBgAAAAAGAAYAWQEAAGEFAAAAAA==&#10;">
          <v:path/>
          <v:fill on="f" focussize="0,0"/>
          <v:stroke on="f" weight="0.5pt" joinstyle="miter"/>
          <v:imagedata o:title=""/>
          <o:lock v:ext="edit"/>
          <v:textbox inset="0mm,0mm,0mm,0mm" style="mso-fit-shape-to-text:t;">
            <w:txbxContent>
              <w:p>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98A525"/>
    <w:multiLevelType w:val="singleLevel"/>
    <w:tmpl w:val="DD98A52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Y1MjUxZjJmMGQ2ZjBjNmYzN2FmNTFkNmI3MDgwZmMifQ=="/>
  </w:docVars>
  <w:rsids>
    <w:rsidRoot w:val="F77F09F4"/>
    <w:rsid w:val="00034CC0"/>
    <w:rsid w:val="00074D11"/>
    <w:rsid w:val="00076D02"/>
    <w:rsid w:val="000D505A"/>
    <w:rsid w:val="000D7181"/>
    <w:rsid w:val="000E02AB"/>
    <w:rsid w:val="000F3814"/>
    <w:rsid w:val="000F7656"/>
    <w:rsid w:val="00146D9E"/>
    <w:rsid w:val="0014755B"/>
    <w:rsid w:val="00192A1D"/>
    <w:rsid w:val="001A4EA1"/>
    <w:rsid w:val="001C4CA8"/>
    <w:rsid w:val="002207AD"/>
    <w:rsid w:val="00225E1B"/>
    <w:rsid w:val="00283C9D"/>
    <w:rsid w:val="00293805"/>
    <w:rsid w:val="00293856"/>
    <w:rsid w:val="002B0DB5"/>
    <w:rsid w:val="00302E59"/>
    <w:rsid w:val="003646FE"/>
    <w:rsid w:val="003715A1"/>
    <w:rsid w:val="00391182"/>
    <w:rsid w:val="003A7B95"/>
    <w:rsid w:val="00405C84"/>
    <w:rsid w:val="004A7610"/>
    <w:rsid w:val="004D180D"/>
    <w:rsid w:val="004D2CF9"/>
    <w:rsid w:val="00537182"/>
    <w:rsid w:val="00564142"/>
    <w:rsid w:val="005648BE"/>
    <w:rsid w:val="00583495"/>
    <w:rsid w:val="005A1BC0"/>
    <w:rsid w:val="005C7503"/>
    <w:rsid w:val="005D0BE9"/>
    <w:rsid w:val="0062735F"/>
    <w:rsid w:val="00665A01"/>
    <w:rsid w:val="0068178C"/>
    <w:rsid w:val="006B3F1E"/>
    <w:rsid w:val="007046C1"/>
    <w:rsid w:val="00746FD6"/>
    <w:rsid w:val="00774659"/>
    <w:rsid w:val="00774831"/>
    <w:rsid w:val="00776EE9"/>
    <w:rsid w:val="007A64FB"/>
    <w:rsid w:val="008147E2"/>
    <w:rsid w:val="00814802"/>
    <w:rsid w:val="00816713"/>
    <w:rsid w:val="008240C7"/>
    <w:rsid w:val="00895453"/>
    <w:rsid w:val="008C13EC"/>
    <w:rsid w:val="008D119D"/>
    <w:rsid w:val="00925689"/>
    <w:rsid w:val="00954737"/>
    <w:rsid w:val="00984A04"/>
    <w:rsid w:val="009A35CB"/>
    <w:rsid w:val="00A06E31"/>
    <w:rsid w:val="00A1791E"/>
    <w:rsid w:val="00A33B8B"/>
    <w:rsid w:val="00A35E44"/>
    <w:rsid w:val="00A73F61"/>
    <w:rsid w:val="00AB516E"/>
    <w:rsid w:val="00AB51AB"/>
    <w:rsid w:val="00AC145A"/>
    <w:rsid w:val="00B351C3"/>
    <w:rsid w:val="00BB3DE7"/>
    <w:rsid w:val="00BF2CC4"/>
    <w:rsid w:val="00BF53FF"/>
    <w:rsid w:val="00C51CEE"/>
    <w:rsid w:val="00C72FE2"/>
    <w:rsid w:val="00CB7A3D"/>
    <w:rsid w:val="00CC6DA6"/>
    <w:rsid w:val="00D71A3F"/>
    <w:rsid w:val="00E025D5"/>
    <w:rsid w:val="00EB3D41"/>
    <w:rsid w:val="00EE6CAD"/>
    <w:rsid w:val="00F21B2B"/>
    <w:rsid w:val="00F74CFB"/>
    <w:rsid w:val="00FB5FF1"/>
    <w:rsid w:val="00FC7F92"/>
    <w:rsid w:val="00FE0033"/>
    <w:rsid w:val="014F7FC1"/>
    <w:rsid w:val="015B791C"/>
    <w:rsid w:val="02794D85"/>
    <w:rsid w:val="027A512B"/>
    <w:rsid w:val="02EE3C38"/>
    <w:rsid w:val="0340010F"/>
    <w:rsid w:val="035F1FFC"/>
    <w:rsid w:val="0371289F"/>
    <w:rsid w:val="039D1FD6"/>
    <w:rsid w:val="03A367D0"/>
    <w:rsid w:val="04207E21"/>
    <w:rsid w:val="042A6EF2"/>
    <w:rsid w:val="051145C3"/>
    <w:rsid w:val="053F3E7B"/>
    <w:rsid w:val="055A4A00"/>
    <w:rsid w:val="06572259"/>
    <w:rsid w:val="068F5D25"/>
    <w:rsid w:val="071B1B89"/>
    <w:rsid w:val="071D4AEC"/>
    <w:rsid w:val="07672E34"/>
    <w:rsid w:val="08157DFB"/>
    <w:rsid w:val="082D2605"/>
    <w:rsid w:val="08B31558"/>
    <w:rsid w:val="091A42AD"/>
    <w:rsid w:val="09376339"/>
    <w:rsid w:val="0A9562FD"/>
    <w:rsid w:val="0A9A4A2C"/>
    <w:rsid w:val="0AA23C86"/>
    <w:rsid w:val="0B52745A"/>
    <w:rsid w:val="0BDC3F70"/>
    <w:rsid w:val="0BE005E2"/>
    <w:rsid w:val="0C052808"/>
    <w:rsid w:val="0C1F7DBC"/>
    <w:rsid w:val="0C5626E8"/>
    <w:rsid w:val="0CEE31B2"/>
    <w:rsid w:val="0CF117A0"/>
    <w:rsid w:val="0D9A01F3"/>
    <w:rsid w:val="0DC6482F"/>
    <w:rsid w:val="0E484A03"/>
    <w:rsid w:val="0E5602BE"/>
    <w:rsid w:val="0ECA7307"/>
    <w:rsid w:val="0F3375A2"/>
    <w:rsid w:val="106428FD"/>
    <w:rsid w:val="10757746"/>
    <w:rsid w:val="10C55FD8"/>
    <w:rsid w:val="10DF4E04"/>
    <w:rsid w:val="11F91A26"/>
    <w:rsid w:val="11FA437A"/>
    <w:rsid w:val="12B94958"/>
    <w:rsid w:val="12D02A07"/>
    <w:rsid w:val="136005D9"/>
    <w:rsid w:val="13A224E0"/>
    <w:rsid w:val="145F774D"/>
    <w:rsid w:val="151121E8"/>
    <w:rsid w:val="154E3C4B"/>
    <w:rsid w:val="15B36D47"/>
    <w:rsid w:val="16445E8D"/>
    <w:rsid w:val="16BE1E47"/>
    <w:rsid w:val="16F62DB8"/>
    <w:rsid w:val="16FF1495"/>
    <w:rsid w:val="173E0892"/>
    <w:rsid w:val="187D2713"/>
    <w:rsid w:val="1ABC3C11"/>
    <w:rsid w:val="1B491541"/>
    <w:rsid w:val="1C054074"/>
    <w:rsid w:val="1C5C3B8C"/>
    <w:rsid w:val="1F0E523C"/>
    <w:rsid w:val="1F9E4EB8"/>
    <w:rsid w:val="1FD010D0"/>
    <w:rsid w:val="1FFC6CCE"/>
    <w:rsid w:val="204217BF"/>
    <w:rsid w:val="206369CD"/>
    <w:rsid w:val="21050673"/>
    <w:rsid w:val="21682FD8"/>
    <w:rsid w:val="217311E0"/>
    <w:rsid w:val="2272087D"/>
    <w:rsid w:val="233C3329"/>
    <w:rsid w:val="23496355"/>
    <w:rsid w:val="23670331"/>
    <w:rsid w:val="23EE2A20"/>
    <w:rsid w:val="24235F24"/>
    <w:rsid w:val="24965B08"/>
    <w:rsid w:val="24B0423F"/>
    <w:rsid w:val="24C50845"/>
    <w:rsid w:val="260E2983"/>
    <w:rsid w:val="262B0B7B"/>
    <w:rsid w:val="27055FA0"/>
    <w:rsid w:val="27B31BEB"/>
    <w:rsid w:val="27B506FD"/>
    <w:rsid w:val="27D50848"/>
    <w:rsid w:val="28035BDD"/>
    <w:rsid w:val="282835C4"/>
    <w:rsid w:val="29D64ADF"/>
    <w:rsid w:val="2A58554D"/>
    <w:rsid w:val="2AF1683B"/>
    <w:rsid w:val="2B1901C5"/>
    <w:rsid w:val="2B6827E3"/>
    <w:rsid w:val="2B8D7762"/>
    <w:rsid w:val="2B9949F0"/>
    <w:rsid w:val="2C127B4D"/>
    <w:rsid w:val="2F2F2B29"/>
    <w:rsid w:val="302A5C70"/>
    <w:rsid w:val="30A96BC9"/>
    <w:rsid w:val="31863316"/>
    <w:rsid w:val="31B9464C"/>
    <w:rsid w:val="324218CF"/>
    <w:rsid w:val="325E7BE3"/>
    <w:rsid w:val="326E465F"/>
    <w:rsid w:val="32785994"/>
    <w:rsid w:val="33050AD5"/>
    <w:rsid w:val="33905B51"/>
    <w:rsid w:val="341B543E"/>
    <w:rsid w:val="362C58B1"/>
    <w:rsid w:val="36413AA3"/>
    <w:rsid w:val="37173543"/>
    <w:rsid w:val="37B8147B"/>
    <w:rsid w:val="382208D3"/>
    <w:rsid w:val="392A556E"/>
    <w:rsid w:val="398919E9"/>
    <w:rsid w:val="399C1CF8"/>
    <w:rsid w:val="3AA26176"/>
    <w:rsid w:val="3AF85078"/>
    <w:rsid w:val="3B704698"/>
    <w:rsid w:val="3BAC2096"/>
    <w:rsid w:val="3BF31DAE"/>
    <w:rsid w:val="3D0F3573"/>
    <w:rsid w:val="3E44497C"/>
    <w:rsid w:val="3E7108EA"/>
    <w:rsid w:val="3F6D65BE"/>
    <w:rsid w:val="3FF76880"/>
    <w:rsid w:val="405E52F1"/>
    <w:rsid w:val="40694A18"/>
    <w:rsid w:val="409B5B9B"/>
    <w:rsid w:val="40F7121B"/>
    <w:rsid w:val="41023096"/>
    <w:rsid w:val="41A057BF"/>
    <w:rsid w:val="422C5BEA"/>
    <w:rsid w:val="42D57A4D"/>
    <w:rsid w:val="436112E1"/>
    <w:rsid w:val="4380568D"/>
    <w:rsid w:val="43D66262"/>
    <w:rsid w:val="44153672"/>
    <w:rsid w:val="44226CC2"/>
    <w:rsid w:val="44564BBE"/>
    <w:rsid w:val="448D1B87"/>
    <w:rsid w:val="44C4302E"/>
    <w:rsid w:val="451A208F"/>
    <w:rsid w:val="453A4D62"/>
    <w:rsid w:val="45CF49C3"/>
    <w:rsid w:val="45F823D0"/>
    <w:rsid w:val="480A4846"/>
    <w:rsid w:val="487815A6"/>
    <w:rsid w:val="48A016D1"/>
    <w:rsid w:val="48DB3C1F"/>
    <w:rsid w:val="49C15D92"/>
    <w:rsid w:val="4B2C0BC9"/>
    <w:rsid w:val="4B4017D5"/>
    <w:rsid w:val="4BC428E1"/>
    <w:rsid w:val="4BD905AE"/>
    <w:rsid w:val="4BF2341E"/>
    <w:rsid w:val="4C7D7255"/>
    <w:rsid w:val="4D1329D8"/>
    <w:rsid w:val="4D1C536A"/>
    <w:rsid w:val="4DB00079"/>
    <w:rsid w:val="4E47700F"/>
    <w:rsid w:val="4EAB275C"/>
    <w:rsid w:val="4EAF1103"/>
    <w:rsid w:val="4EB91D96"/>
    <w:rsid w:val="4FC357FD"/>
    <w:rsid w:val="505428F9"/>
    <w:rsid w:val="50BE5FC4"/>
    <w:rsid w:val="513D6B20"/>
    <w:rsid w:val="541028F6"/>
    <w:rsid w:val="54147735"/>
    <w:rsid w:val="54D3643D"/>
    <w:rsid w:val="54EA7388"/>
    <w:rsid w:val="554B1183"/>
    <w:rsid w:val="55E71B19"/>
    <w:rsid w:val="56660C90"/>
    <w:rsid w:val="56CA5D36"/>
    <w:rsid w:val="57F06EFE"/>
    <w:rsid w:val="58607961"/>
    <w:rsid w:val="5B105521"/>
    <w:rsid w:val="5C162DE3"/>
    <w:rsid w:val="5DC03B2D"/>
    <w:rsid w:val="5DFB43B4"/>
    <w:rsid w:val="5ED3570C"/>
    <w:rsid w:val="5F8B1768"/>
    <w:rsid w:val="60722551"/>
    <w:rsid w:val="60B37344"/>
    <w:rsid w:val="614C1849"/>
    <w:rsid w:val="61B76844"/>
    <w:rsid w:val="63887D37"/>
    <w:rsid w:val="64177A6E"/>
    <w:rsid w:val="645E74BA"/>
    <w:rsid w:val="65020980"/>
    <w:rsid w:val="6654729F"/>
    <w:rsid w:val="6685748C"/>
    <w:rsid w:val="67FA1B80"/>
    <w:rsid w:val="68A37BB6"/>
    <w:rsid w:val="68B57855"/>
    <w:rsid w:val="690E1435"/>
    <w:rsid w:val="69693C12"/>
    <w:rsid w:val="6ADB40DC"/>
    <w:rsid w:val="6B94633D"/>
    <w:rsid w:val="6B963E35"/>
    <w:rsid w:val="6C2E6AA0"/>
    <w:rsid w:val="6CFB032A"/>
    <w:rsid w:val="6D763F35"/>
    <w:rsid w:val="6DEE0A09"/>
    <w:rsid w:val="6F7A1CD9"/>
    <w:rsid w:val="6F944668"/>
    <w:rsid w:val="6F9F477A"/>
    <w:rsid w:val="6FD05FF4"/>
    <w:rsid w:val="70EF010C"/>
    <w:rsid w:val="71221ACE"/>
    <w:rsid w:val="727E6B04"/>
    <w:rsid w:val="72AD5C47"/>
    <w:rsid w:val="72CF3F08"/>
    <w:rsid w:val="73571C35"/>
    <w:rsid w:val="74032EFE"/>
    <w:rsid w:val="74816904"/>
    <w:rsid w:val="74F040EF"/>
    <w:rsid w:val="75D6060D"/>
    <w:rsid w:val="760C0552"/>
    <w:rsid w:val="763C5112"/>
    <w:rsid w:val="766A38B1"/>
    <w:rsid w:val="771340C5"/>
    <w:rsid w:val="775B25FB"/>
    <w:rsid w:val="7774445D"/>
    <w:rsid w:val="781400F4"/>
    <w:rsid w:val="782A0F25"/>
    <w:rsid w:val="783106F7"/>
    <w:rsid w:val="786D7E5E"/>
    <w:rsid w:val="793E41CE"/>
    <w:rsid w:val="7AB7FF50"/>
    <w:rsid w:val="7BC938EC"/>
    <w:rsid w:val="7BDD3A8F"/>
    <w:rsid w:val="7BFEB0DB"/>
    <w:rsid w:val="7C7B6075"/>
    <w:rsid w:val="7CF27D4C"/>
    <w:rsid w:val="7D5F1076"/>
    <w:rsid w:val="7F211349"/>
    <w:rsid w:val="7FF66FAF"/>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99"/>
    <w:pPr>
      <w:keepNext/>
      <w:keepLines/>
      <w:spacing w:line="360" w:lineRule="auto"/>
      <w:jc w:val="center"/>
      <w:outlineLvl w:val="0"/>
    </w:pPr>
    <w:rPr>
      <w:b/>
      <w:kern w:val="44"/>
      <w:sz w:val="36"/>
      <w:szCs w:val="44"/>
    </w:rPr>
  </w:style>
  <w:style w:type="paragraph" w:styleId="6">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7">
    <w:name w:val="heading 3"/>
    <w:basedOn w:val="1"/>
    <w:next w:val="1"/>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1"/>
    <w:basedOn w:val="3"/>
    <w:qFormat/>
    <w:uiPriority w:val="0"/>
    <w:pPr>
      <w:ind w:firstLine="420"/>
    </w:pPr>
  </w:style>
  <w:style w:type="paragraph" w:styleId="3">
    <w:name w:val="Body Text"/>
    <w:basedOn w:val="1"/>
    <w:next w:val="4"/>
    <w:qFormat/>
    <w:uiPriority w:val="0"/>
    <w:pPr>
      <w:spacing w:after="120" w:line="360" w:lineRule="auto"/>
      <w:ind w:firstLine="200" w:firstLineChars="200"/>
    </w:pPr>
    <w:rPr>
      <w:szCs w:val="21"/>
    </w:rPr>
  </w:style>
  <w:style w:type="paragraph" w:customStyle="1" w:styleId="4">
    <w:name w:val="正文文本 21"/>
    <w:basedOn w:val="1"/>
    <w:qFormat/>
    <w:uiPriority w:val="0"/>
    <w:pPr>
      <w:spacing w:line="360" w:lineRule="auto"/>
      <w:ind w:firstLine="200" w:firstLineChars="200"/>
    </w:pPr>
    <w:rPr>
      <w:szCs w:val="21"/>
    </w:rPr>
  </w:style>
  <w:style w:type="paragraph" w:styleId="8">
    <w:name w:val="Balloon Text"/>
    <w:basedOn w:val="1"/>
    <w:link w:val="18"/>
    <w:qFormat/>
    <w:uiPriority w:val="0"/>
    <w:rPr>
      <w:sz w:val="18"/>
      <w:szCs w:val="18"/>
    </w:rPr>
  </w:style>
  <w:style w:type="paragraph" w:styleId="9">
    <w:name w:val="footer"/>
    <w:basedOn w:val="1"/>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3">
    <w:name w:val="Hyperlink"/>
    <w:basedOn w:val="12"/>
    <w:unhideWhenUsed/>
    <w:qFormat/>
    <w:uiPriority w:val="99"/>
    <w:rPr>
      <w:color w:val="0000FF"/>
      <w:u w:val="single"/>
    </w:rPr>
  </w:style>
  <w:style w:type="paragraph" w:customStyle="1" w:styleId="14">
    <w:name w:val="列出段落1"/>
    <w:basedOn w:val="1"/>
    <w:qFormat/>
    <w:uiPriority w:val="34"/>
    <w:pPr>
      <w:ind w:firstLine="420" w:firstLineChars="200"/>
    </w:pPr>
    <w:rPr>
      <w:rFonts w:ascii="Calibri" w:hAnsi="Calibri" w:cs="黑体"/>
      <w:szCs w:val="22"/>
    </w:rPr>
  </w:style>
  <w:style w:type="paragraph" w:styleId="15">
    <w:name w:val="No Spacing"/>
    <w:qFormat/>
    <w:uiPriority w:val="99"/>
    <w:pPr>
      <w:ind w:firstLine="200" w:firstLineChars="200"/>
    </w:pPr>
    <w:rPr>
      <w:rFonts w:ascii="Times New Roman" w:hAnsi="Times New Roman" w:eastAsia="仿宋_GB2312" w:cs="Times New Roman"/>
      <w:sz w:val="30"/>
      <w:szCs w:val="22"/>
      <w:lang w:val="en-US" w:eastAsia="zh-CN" w:bidi="ar-SA"/>
    </w:rPr>
  </w:style>
  <w:style w:type="character" w:customStyle="1" w:styleId="16">
    <w:name w:val="NormalCharacter"/>
    <w:semiHidden/>
    <w:qFormat/>
    <w:uiPriority w:val="0"/>
    <w:rPr>
      <w:sz w:val="20"/>
    </w:rPr>
  </w:style>
  <w:style w:type="table" w:customStyle="1" w:styleId="17">
    <w:name w:val="Table Normal"/>
    <w:unhideWhenUsed/>
    <w:qFormat/>
    <w:uiPriority w:val="0"/>
    <w:tblPr>
      <w:tblCellMar>
        <w:top w:w="0" w:type="dxa"/>
        <w:left w:w="0" w:type="dxa"/>
        <w:bottom w:w="0" w:type="dxa"/>
        <w:right w:w="0" w:type="dxa"/>
      </w:tblCellMar>
    </w:tblPr>
  </w:style>
  <w:style w:type="character" w:customStyle="1" w:styleId="18">
    <w:name w:val="批注框文本 Char"/>
    <w:basedOn w:val="12"/>
    <w:link w:val="8"/>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9A2289-1777-40DC-B201-E9AF95EA35B3}">
  <ds:schemaRefs/>
</ds:datastoreItem>
</file>

<file path=docProps/app.xml><?xml version="1.0" encoding="utf-8"?>
<Properties xmlns="http://schemas.openxmlformats.org/officeDocument/2006/extended-properties" xmlns:vt="http://schemas.openxmlformats.org/officeDocument/2006/docPropsVTypes">
  <Template>Normal</Template>
  <Pages>12</Pages>
  <Words>10084</Words>
  <Characters>10749</Characters>
  <Lines>106</Lines>
  <Paragraphs>30</Paragraphs>
  <TotalTime>51</TotalTime>
  <ScaleCrop>false</ScaleCrop>
  <LinksUpToDate>false</LinksUpToDate>
  <CharactersWithSpaces>11014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2022-05-21T07:26:00Z</dcterms:created>
  <dc:creator>user</dc:creator>
  <cp:lastModifiedBy>开心小丫</cp:lastModifiedBy>
  <cp:lastPrinted>2022-06-21T10:17:00Z</cp:lastPrinted>
  <dcterms:modified xsi:type="dcterms:W3CDTF">2022-06-24T05:44:51Z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commondata">
    <vt:lpwstr>eyJoZGlkIjoiMTY1MjUxZjJmMGQ2ZjBjNmYzN2FmNTFkNmI3MDgwZmMifQ==</vt:lpwstr>
  </property>
  <property fmtid="{D5CDD505-2E9C-101B-9397-08002B2CF9AE}" pid="4" name="ICV">
    <vt:lpwstr>ED08E06DE02947AF93024B8F52479B53</vt:lpwstr>
  </property>
</Properties>
</file>