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3D3" w:rsidRPr="00B26816" w:rsidRDefault="001923D3" w:rsidP="001923D3">
      <w:pPr>
        <w:spacing w:line="480" w:lineRule="exact"/>
        <w:jc w:val="left"/>
        <w:rPr>
          <w:rFonts w:asciiTheme="majorEastAsia" w:eastAsiaTheme="majorEastAsia" w:hAnsiTheme="majorEastAsia"/>
          <w:sz w:val="36"/>
          <w:szCs w:val="36"/>
        </w:rPr>
      </w:pPr>
      <w:r w:rsidRPr="00B26816">
        <w:rPr>
          <w:rFonts w:asciiTheme="majorEastAsia" w:eastAsiaTheme="majorEastAsia" w:hAnsiTheme="majorEastAsia" w:hint="eastAsia"/>
          <w:sz w:val="36"/>
          <w:szCs w:val="36"/>
        </w:rPr>
        <w:t>24</w:t>
      </w:r>
    </w:p>
    <w:p w:rsidR="001923D3" w:rsidRPr="00B26816" w:rsidRDefault="001923D3" w:rsidP="001923D3">
      <w:pPr>
        <w:spacing w:line="480" w:lineRule="exact"/>
        <w:jc w:val="center"/>
        <w:rPr>
          <w:rFonts w:asciiTheme="majorEastAsia" w:eastAsiaTheme="majorEastAsia" w:hAnsiTheme="majorEastAsia"/>
          <w:sz w:val="36"/>
          <w:szCs w:val="36"/>
        </w:rPr>
      </w:pPr>
      <w:r w:rsidRPr="00B26816">
        <w:rPr>
          <w:rFonts w:asciiTheme="majorEastAsia" w:eastAsiaTheme="majorEastAsia" w:hAnsiTheme="majorEastAsia" w:hint="eastAsia"/>
          <w:sz w:val="36"/>
          <w:szCs w:val="36"/>
        </w:rPr>
        <w:t>项目支出绩效自评表</w:t>
      </w:r>
    </w:p>
    <w:p w:rsidR="001923D3" w:rsidRDefault="001923D3" w:rsidP="001923D3">
      <w:pPr>
        <w:jc w:val="center"/>
        <w:rPr>
          <w:rFonts w:ascii="仿宋_GB2312" w:eastAsia="仿宋_GB2312" w:hAnsi="宋体"/>
          <w:sz w:val="30"/>
          <w:szCs w:val="30"/>
        </w:rPr>
      </w:pPr>
      <w:r>
        <w:rPr>
          <w:rFonts w:ascii="仿宋_GB2312" w:eastAsia="仿宋_GB2312" w:hAnsi="宋体" w:hint="eastAsia"/>
          <w:sz w:val="28"/>
          <w:szCs w:val="28"/>
        </w:rPr>
        <w:t>（2021年度）</w:t>
      </w:r>
    </w:p>
    <w:tbl>
      <w:tblPr>
        <w:tblW w:w="9141" w:type="dxa"/>
        <w:tblLayout w:type="fixed"/>
        <w:tblLook w:val="04A0"/>
      </w:tblPr>
      <w:tblGrid>
        <w:gridCol w:w="584"/>
        <w:gridCol w:w="726"/>
        <w:gridCol w:w="1049"/>
        <w:gridCol w:w="259"/>
        <w:gridCol w:w="1109"/>
        <w:gridCol w:w="131"/>
        <w:gridCol w:w="893"/>
        <w:gridCol w:w="1049"/>
        <w:gridCol w:w="750"/>
        <w:gridCol w:w="228"/>
        <w:gridCol w:w="108"/>
        <w:gridCol w:w="384"/>
        <w:gridCol w:w="320"/>
        <w:gridCol w:w="846"/>
        <w:gridCol w:w="705"/>
      </w:tblGrid>
      <w:tr w:rsidR="001923D3" w:rsidTr="006D0429">
        <w:trPr>
          <w:trHeight w:hRule="exact" w:val="306"/>
        </w:trPr>
        <w:tc>
          <w:tcPr>
            <w:tcW w:w="1312" w:type="dxa"/>
            <w:gridSpan w:val="2"/>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项目名称</w:t>
            </w:r>
          </w:p>
        </w:tc>
        <w:tc>
          <w:tcPr>
            <w:tcW w:w="7829" w:type="dxa"/>
            <w:gridSpan w:val="1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图书信息中心建设修缮项目</w:t>
            </w:r>
          </w:p>
        </w:tc>
      </w:tr>
      <w:tr w:rsidR="001923D3" w:rsidTr="006D0429">
        <w:trPr>
          <w:trHeight w:hRule="exact" w:val="521"/>
        </w:trPr>
        <w:tc>
          <w:tcPr>
            <w:tcW w:w="1312" w:type="dxa"/>
            <w:gridSpan w:val="2"/>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主管部门</w:t>
            </w:r>
          </w:p>
        </w:tc>
        <w:tc>
          <w:tcPr>
            <w:tcW w:w="3438" w:type="dxa"/>
            <w:gridSpan w:val="5"/>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北京市社会科学院</w:t>
            </w:r>
          </w:p>
        </w:tc>
        <w:tc>
          <w:tcPr>
            <w:tcW w:w="2028" w:type="dxa"/>
            <w:gridSpan w:val="3"/>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实施单位</w:t>
            </w:r>
          </w:p>
        </w:tc>
        <w:tc>
          <w:tcPr>
            <w:tcW w:w="2363" w:type="dxa"/>
            <w:gridSpan w:val="5"/>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北京广河建设工程</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有限公司</w:t>
            </w:r>
          </w:p>
        </w:tc>
      </w:tr>
      <w:tr w:rsidR="001923D3" w:rsidTr="006D0429">
        <w:trPr>
          <w:trHeight w:hRule="exact" w:val="306"/>
        </w:trPr>
        <w:tc>
          <w:tcPr>
            <w:tcW w:w="1312" w:type="dxa"/>
            <w:gridSpan w:val="2"/>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项目负责人</w:t>
            </w:r>
          </w:p>
        </w:tc>
        <w:tc>
          <w:tcPr>
            <w:tcW w:w="3438" w:type="dxa"/>
            <w:gridSpan w:val="5"/>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岳勇</w:t>
            </w:r>
          </w:p>
        </w:tc>
        <w:tc>
          <w:tcPr>
            <w:tcW w:w="2028" w:type="dxa"/>
            <w:gridSpan w:val="3"/>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联系电话</w:t>
            </w:r>
          </w:p>
        </w:tc>
        <w:tc>
          <w:tcPr>
            <w:tcW w:w="2363" w:type="dxa"/>
            <w:gridSpan w:val="5"/>
            <w:tcBorders>
              <w:top w:val="single" w:sz="4" w:space="0" w:color="auto"/>
              <w:left w:val="nil"/>
              <w:bottom w:val="single" w:sz="4" w:space="0" w:color="auto"/>
              <w:right w:val="single" w:sz="4" w:space="0" w:color="auto"/>
            </w:tcBorders>
            <w:noWrap/>
            <w:vAlign w:val="center"/>
          </w:tcPr>
          <w:p w:rsidR="001923D3" w:rsidRDefault="001923D3" w:rsidP="006D0429">
            <w:pPr>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64876039</w:t>
            </w:r>
          </w:p>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567"/>
        </w:trPr>
        <w:tc>
          <w:tcPr>
            <w:tcW w:w="1312" w:type="dxa"/>
            <w:gridSpan w:val="2"/>
            <w:vMerge w:val="restart"/>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项目资金</w:t>
            </w:r>
            <w:r>
              <w:rPr>
                <w:rFonts w:ascii="仿宋_GB2312" w:eastAsia="仿宋_GB2312" w:hAnsi="仿宋_GB2312" w:cs="仿宋_GB2312" w:hint="eastAsia"/>
                <w:kern w:val="0"/>
                <w:szCs w:val="21"/>
              </w:rPr>
              <w:br/>
              <w:t>（万元）</w:t>
            </w:r>
          </w:p>
        </w:tc>
        <w:tc>
          <w:tcPr>
            <w:tcW w:w="1309" w:type="dxa"/>
            <w:gridSpan w:val="2"/>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11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年初预</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算数</w:t>
            </w:r>
          </w:p>
        </w:tc>
        <w:tc>
          <w:tcPr>
            <w:tcW w:w="102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全年预</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算数</w:t>
            </w:r>
          </w:p>
        </w:tc>
        <w:tc>
          <w:tcPr>
            <w:tcW w:w="2136" w:type="dxa"/>
            <w:gridSpan w:val="4"/>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全年</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分值</w:t>
            </w:r>
          </w:p>
        </w:tc>
        <w:tc>
          <w:tcPr>
            <w:tcW w:w="846"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执行率</w:t>
            </w:r>
          </w:p>
        </w:tc>
        <w:tc>
          <w:tcPr>
            <w:tcW w:w="70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得分</w:t>
            </w:r>
          </w:p>
        </w:tc>
      </w:tr>
      <w:tr w:rsidR="001923D3" w:rsidTr="006D0429">
        <w:trPr>
          <w:trHeight w:hRule="exact" w:val="306"/>
        </w:trPr>
        <w:tc>
          <w:tcPr>
            <w:tcW w:w="1312" w:type="dxa"/>
            <w:gridSpan w:val="2"/>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309" w:type="dxa"/>
            <w:gridSpan w:val="2"/>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kern w:val="0"/>
                <w:szCs w:val="21"/>
              </w:rPr>
              <w:t>年度资金总额</w:t>
            </w:r>
          </w:p>
        </w:tc>
        <w:tc>
          <w:tcPr>
            <w:tcW w:w="111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311</w:t>
            </w:r>
          </w:p>
        </w:tc>
        <w:tc>
          <w:tcPr>
            <w:tcW w:w="102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311</w:t>
            </w:r>
          </w:p>
        </w:tc>
        <w:tc>
          <w:tcPr>
            <w:tcW w:w="2136" w:type="dxa"/>
            <w:gridSpan w:val="4"/>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292.7</w:t>
            </w:r>
          </w:p>
        </w:tc>
        <w:tc>
          <w:tcPr>
            <w:tcW w:w="70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846"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94.12%</w:t>
            </w:r>
          </w:p>
        </w:tc>
        <w:tc>
          <w:tcPr>
            <w:tcW w:w="70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9.41</w:t>
            </w:r>
          </w:p>
        </w:tc>
      </w:tr>
      <w:tr w:rsidR="001923D3" w:rsidTr="006D0429">
        <w:trPr>
          <w:trHeight w:hRule="exact" w:val="601"/>
        </w:trPr>
        <w:tc>
          <w:tcPr>
            <w:tcW w:w="1312" w:type="dxa"/>
            <w:gridSpan w:val="2"/>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309" w:type="dxa"/>
            <w:gridSpan w:val="2"/>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其中：当年财政</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拨款</w:t>
            </w:r>
          </w:p>
        </w:tc>
        <w:tc>
          <w:tcPr>
            <w:tcW w:w="111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311</w:t>
            </w:r>
          </w:p>
        </w:tc>
        <w:tc>
          <w:tcPr>
            <w:tcW w:w="102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311</w:t>
            </w:r>
          </w:p>
        </w:tc>
        <w:tc>
          <w:tcPr>
            <w:tcW w:w="2136" w:type="dxa"/>
            <w:gridSpan w:val="4"/>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292.7</w:t>
            </w:r>
          </w:p>
        </w:tc>
        <w:tc>
          <w:tcPr>
            <w:tcW w:w="70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846"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94.12%</w:t>
            </w:r>
          </w:p>
        </w:tc>
        <w:tc>
          <w:tcPr>
            <w:tcW w:w="70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9.41</w:t>
            </w:r>
          </w:p>
        </w:tc>
      </w:tr>
      <w:tr w:rsidR="001923D3" w:rsidTr="006D0429">
        <w:trPr>
          <w:trHeight w:hRule="exact" w:val="567"/>
        </w:trPr>
        <w:tc>
          <w:tcPr>
            <w:tcW w:w="1312" w:type="dxa"/>
            <w:gridSpan w:val="2"/>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309" w:type="dxa"/>
            <w:gridSpan w:val="2"/>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上年结转资金</w:t>
            </w:r>
          </w:p>
        </w:tc>
        <w:tc>
          <w:tcPr>
            <w:tcW w:w="111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102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2136" w:type="dxa"/>
            <w:gridSpan w:val="4"/>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70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846"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70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r>
      <w:tr w:rsidR="001923D3" w:rsidTr="006D0429">
        <w:trPr>
          <w:trHeight w:hRule="exact" w:val="306"/>
        </w:trPr>
        <w:tc>
          <w:tcPr>
            <w:tcW w:w="1312" w:type="dxa"/>
            <w:gridSpan w:val="2"/>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309" w:type="dxa"/>
            <w:gridSpan w:val="2"/>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其他资金</w:t>
            </w:r>
          </w:p>
        </w:tc>
        <w:tc>
          <w:tcPr>
            <w:tcW w:w="111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102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2136" w:type="dxa"/>
            <w:gridSpan w:val="4"/>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704" w:type="dxa"/>
            <w:gridSpan w:val="2"/>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846"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700" w:type="dxa"/>
            <w:tcBorders>
              <w:top w:val="nil"/>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r>
      <w:tr w:rsidR="001923D3" w:rsidTr="006D0429">
        <w:trPr>
          <w:trHeight w:hRule="exact" w:val="548"/>
        </w:trPr>
        <w:tc>
          <w:tcPr>
            <w:tcW w:w="585" w:type="dxa"/>
            <w:vMerge w:val="restart"/>
            <w:tcBorders>
              <w:top w:val="nil"/>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年度总体目标</w:t>
            </w:r>
          </w:p>
        </w:tc>
        <w:tc>
          <w:tcPr>
            <w:tcW w:w="4165" w:type="dxa"/>
            <w:gridSpan w:val="6"/>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预期目标</w:t>
            </w:r>
          </w:p>
        </w:tc>
        <w:tc>
          <w:tcPr>
            <w:tcW w:w="4391" w:type="dxa"/>
            <w:gridSpan w:val="8"/>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实际完成情况</w:t>
            </w:r>
          </w:p>
        </w:tc>
      </w:tr>
      <w:tr w:rsidR="001923D3" w:rsidTr="006D0429">
        <w:trPr>
          <w:trHeight w:hRule="exact" w:val="1597"/>
        </w:trPr>
        <w:tc>
          <w:tcPr>
            <w:tcW w:w="585" w:type="dxa"/>
            <w:vMerge/>
            <w:tcBorders>
              <w:top w:val="nil"/>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4165" w:type="dxa"/>
            <w:gridSpan w:val="6"/>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根据图书馆现状和今后发展需求，通过楼体加固、更新陈旧设施等，消除安全隐患、扩展藏书空间、改善内部环境，致力于将图书馆建设成适合我院新型高端智库建设需要的图书情报与信息服务机构，更好地为我院科研工作提供服务支撑，为繁荣首都哲学社会科做出新的贡献。</w:t>
            </w:r>
          </w:p>
        </w:tc>
        <w:tc>
          <w:tcPr>
            <w:tcW w:w="4391" w:type="dxa"/>
            <w:gridSpan w:val="8"/>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kern w:val="0"/>
                <w:szCs w:val="21"/>
              </w:rPr>
              <w:t>完成楼体检测加固，根据实际情况对夹层进行设计变更，未竣工。</w:t>
            </w:r>
          </w:p>
        </w:tc>
      </w:tr>
      <w:tr w:rsidR="001923D3" w:rsidTr="006D0429">
        <w:trPr>
          <w:trHeight w:hRule="exact" w:val="830"/>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绩</w:t>
            </w:r>
            <w:r>
              <w:rPr>
                <w:rFonts w:ascii="仿宋_GB2312" w:eastAsia="仿宋_GB2312" w:hAnsi="仿宋_GB2312" w:cs="仿宋_GB2312" w:hint="eastAsia"/>
                <w:kern w:val="0"/>
                <w:szCs w:val="21"/>
              </w:rPr>
              <w:br/>
              <w:t>效</w:t>
            </w:r>
            <w:r>
              <w:rPr>
                <w:rFonts w:ascii="仿宋_GB2312" w:eastAsia="仿宋_GB2312" w:hAnsi="仿宋_GB2312" w:cs="仿宋_GB2312" w:hint="eastAsia"/>
                <w:kern w:val="0"/>
                <w:szCs w:val="21"/>
              </w:rPr>
              <w:br/>
              <w:t>指</w:t>
            </w:r>
            <w:r>
              <w:rPr>
                <w:rFonts w:ascii="仿宋_GB2312" w:eastAsia="仿宋_GB2312" w:hAnsi="仿宋_GB2312" w:cs="仿宋_GB2312" w:hint="eastAsia"/>
                <w:kern w:val="0"/>
                <w:szCs w:val="21"/>
              </w:rPr>
              <w:br/>
              <w:t>标</w:t>
            </w:r>
          </w:p>
        </w:tc>
        <w:tc>
          <w:tcPr>
            <w:tcW w:w="727"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一级指标</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二级指标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三级指标</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年度</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指标值</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实际</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完成值</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分值</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得分</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偏差原因分析及改进</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措施</w:t>
            </w:r>
          </w:p>
        </w:tc>
      </w:tr>
      <w:tr w:rsidR="001923D3" w:rsidTr="006D0429">
        <w:trPr>
          <w:trHeight w:hRule="exact" w:val="519"/>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val="restart"/>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产出指标</w:t>
            </w:r>
          </w:p>
        </w:tc>
        <w:tc>
          <w:tcPr>
            <w:tcW w:w="1050" w:type="dxa"/>
            <w:vMerge w:val="restart"/>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数量指标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一层及夹层加固工程一次</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568"/>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整体布局设计一次</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2194"/>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改建装修一次</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0.8</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kern w:val="0"/>
                <w:szCs w:val="21"/>
              </w:rPr>
              <w:t>整体工作推进滞后，原因包括施工期间设计变更，每个阶段审批过程长；改进措施加强工作预判，抓紧各个环节工作推进。</w:t>
            </w:r>
          </w:p>
        </w:tc>
      </w:tr>
      <w:tr w:rsidR="001923D3" w:rsidTr="006D0429">
        <w:trPr>
          <w:trHeight w:hRule="exact" w:val="701"/>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vMerge w:val="restart"/>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质量指标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施工安全</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安全</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施工</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未发生安全事故</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7.5</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994"/>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工程质量</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质量</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创优</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完成部分阶段验收合格</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7.5</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2139"/>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时效指标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工程竣工时间</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2021年12月31日前</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尚未竣工</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8</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整体工作推进滞后，原因包括施工期间进行设计变更；改进措施加强工作预判，抓紧各个环节工作推进。</w:t>
            </w:r>
          </w:p>
        </w:tc>
      </w:tr>
      <w:tr w:rsidR="001923D3" w:rsidTr="006D0429">
        <w:trPr>
          <w:trHeight w:hRule="exact" w:val="543"/>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成本指标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按预算额控制成本</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311</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292.7</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1002"/>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社会效益</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消除一层及夹层存在安全隐患</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color w:val="000000"/>
                <w:kern w:val="0"/>
                <w:szCs w:val="21"/>
              </w:rPr>
              <w:t>加固后安全性增加</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color w:val="000000"/>
                <w:kern w:val="0"/>
                <w:szCs w:val="21"/>
              </w:rPr>
              <w:t>加固后安全性增加</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20</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14</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1717"/>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1050" w:type="dxa"/>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可持续影响指标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改建后的图书馆持续职能情况</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color w:val="000000"/>
                <w:kern w:val="0"/>
                <w:szCs w:val="21"/>
              </w:rPr>
              <w:t>改建后的图书馆更好地发挥图书馆职能</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达到</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目的</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r w:rsidR="001923D3" w:rsidTr="006D0429">
        <w:trPr>
          <w:trHeight w:hRule="exact" w:val="1080"/>
        </w:trPr>
        <w:tc>
          <w:tcPr>
            <w:tcW w:w="585" w:type="dxa"/>
            <w:vMerge/>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c>
          <w:tcPr>
            <w:tcW w:w="727" w:type="dxa"/>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满意度</w:t>
            </w:r>
          </w:p>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指标</w:t>
            </w:r>
          </w:p>
        </w:tc>
        <w:tc>
          <w:tcPr>
            <w:tcW w:w="1050" w:type="dxa"/>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服务对象满意度标</w:t>
            </w:r>
          </w:p>
        </w:tc>
        <w:tc>
          <w:tcPr>
            <w:tcW w:w="150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院内读者对改建后的图书馆环境满意度</w:t>
            </w:r>
          </w:p>
        </w:tc>
        <w:tc>
          <w:tcPr>
            <w:tcW w:w="888"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》90%</w:t>
            </w:r>
          </w:p>
        </w:tc>
        <w:tc>
          <w:tcPr>
            <w:tcW w:w="10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90%</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因工程尚未完工，满意度经电话调查，尚未收到不满意反馈</w:t>
            </w:r>
          </w:p>
        </w:tc>
      </w:tr>
      <w:tr w:rsidR="001923D3" w:rsidTr="006D0429">
        <w:trPr>
          <w:trHeight w:hRule="exact" w:val="477"/>
        </w:trPr>
        <w:tc>
          <w:tcPr>
            <w:tcW w:w="5800" w:type="dxa"/>
            <w:gridSpan w:val="8"/>
            <w:tcBorders>
              <w:top w:val="single" w:sz="4" w:space="0" w:color="auto"/>
              <w:left w:val="single" w:sz="4" w:space="0" w:color="auto"/>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总分</w:t>
            </w:r>
          </w:p>
        </w:tc>
        <w:tc>
          <w:tcPr>
            <w:tcW w:w="750" w:type="dxa"/>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100</w:t>
            </w:r>
          </w:p>
        </w:tc>
        <w:tc>
          <w:tcPr>
            <w:tcW w:w="720"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81.4</w:t>
            </w:r>
          </w:p>
        </w:tc>
        <w:tc>
          <w:tcPr>
            <w:tcW w:w="1871" w:type="dxa"/>
            <w:gridSpan w:val="3"/>
            <w:tcBorders>
              <w:top w:val="single" w:sz="4" w:space="0" w:color="auto"/>
              <w:left w:val="nil"/>
              <w:bottom w:val="single" w:sz="4" w:space="0" w:color="auto"/>
              <w:right w:val="single" w:sz="4" w:space="0" w:color="auto"/>
            </w:tcBorders>
            <w:noWrap/>
            <w:vAlign w:val="center"/>
          </w:tcPr>
          <w:p w:rsidR="001923D3" w:rsidRDefault="001923D3" w:rsidP="006D0429">
            <w:pPr>
              <w:widowControl/>
              <w:spacing w:line="240" w:lineRule="exact"/>
              <w:jc w:val="center"/>
              <w:rPr>
                <w:rFonts w:ascii="仿宋_GB2312" w:eastAsia="仿宋_GB2312" w:hAnsi="仿宋_GB2312" w:cs="仿宋_GB2312"/>
                <w:kern w:val="0"/>
                <w:szCs w:val="21"/>
              </w:rPr>
            </w:pPr>
          </w:p>
        </w:tc>
      </w:tr>
    </w:tbl>
    <w:p w:rsidR="002D7664" w:rsidRDefault="002D7664"/>
    <w:sectPr w:rsidR="002D7664" w:rsidSect="002D766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黑体"/>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923D3"/>
    <w:rsid w:val="001923D3"/>
    <w:rsid w:val="002D76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3D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2022-08-22T02:41:00Z</dcterms:created>
  <dcterms:modified xsi:type="dcterms:W3CDTF">2022-08-22T02:41:00Z</dcterms:modified>
</cp:coreProperties>
</file>