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B30" w:rsidRDefault="00971B30" w:rsidP="00876114">
      <w:pPr>
        <w:rPr>
          <w:rFonts w:hint="eastAsia"/>
          <w:b/>
          <w:bCs/>
          <w:sz w:val="52"/>
          <w:szCs w:val="52"/>
        </w:rPr>
      </w:pPr>
    </w:p>
    <w:p w:rsidR="00971B30" w:rsidRDefault="00771C49">
      <w:pPr>
        <w:jc w:val="center"/>
        <w:rPr>
          <w:b/>
          <w:bCs/>
          <w:sz w:val="52"/>
          <w:szCs w:val="52"/>
        </w:rPr>
      </w:pPr>
      <w:r>
        <w:rPr>
          <w:rFonts w:hint="eastAsia"/>
          <w:b/>
          <w:bCs/>
          <w:sz w:val="52"/>
          <w:szCs w:val="52"/>
        </w:rPr>
        <w:t>北京市农村经济研究中心</w:t>
      </w:r>
    </w:p>
    <w:p w:rsidR="00971B30" w:rsidRDefault="00971B30">
      <w:pPr>
        <w:jc w:val="center"/>
        <w:rPr>
          <w:b/>
          <w:bCs/>
          <w:sz w:val="52"/>
          <w:szCs w:val="52"/>
        </w:rPr>
      </w:pPr>
    </w:p>
    <w:p w:rsidR="00971B30" w:rsidRDefault="00771C49">
      <w:pPr>
        <w:jc w:val="center"/>
        <w:rPr>
          <w:b/>
          <w:bCs/>
          <w:sz w:val="52"/>
          <w:szCs w:val="52"/>
        </w:rPr>
      </w:pPr>
      <w:r>
        <w:rPr>
          <w:rFonts w:hint="eastAsia"/>
          <w:b/>
          <w:bCs/>
          <w:sz w:val="52"/>
          <w:szCs w:val="52"/>
        </w:rPr>
        <w:t>部门整体绩效评价报告</w:t>
      </w:r>
    </w:p>
    <w:p w:rsidR="00971B30" w:rsidRDefault="00971B30">
      <w:pPr>
        <w:jc w:val="center"/>
        <w:rPr>
          <w:b/>
          <w:bCs/>
          <w:sz w:val="52"/>
        </w:rPr>
      </w:pPr>
    </w:p>
    <w:p w:rsidR="00971B30" w:rsidRDefault="00971B30">
      <w:pPr>
        <w:rPr>
          <w:rFonts w:eastAsia="黑体"/>
          <w:sz w:val="30"/>
        </w:rPr>
      </w:pPr>
    </w:p>
    <w:p w:rsidR="00971B30" w:rsidRDefault="00971B30">
      <w:pPr>
        <w:rPr>
          <w:rFonts w:eastAsia="黑体"/>
          <w:sz w:val="30"/>
        </w:rPr>
      </w:pPr>
    </w:p>
    <w:p w:rsidR="00971B30" w:rsidRDefault="00971B30" w:rsidP="00876114">
      <w:pPr>
        <w:rPr>
          <w:rFonts w:eastAsia="黑体" w:hint="eastAsia"/>
          <w:sz w:val="30"/>
        </w:rPr>
      </w:pPr>
    </w:p>
    <w:p w:rsidR="00971B30" w:rsidRDefault="00971B30">
      <w:pPr>
        <w:rPr>
          <w:rFonts w:eastAsia="黑体"/>
          <w:sz w:val="30"/>
          <w:u w:val="single"/>
        </w:rPr>
      </w:pPr>
    </w:p>
    <w:p w:rsidR="00971B30" w:rsidRDefault="00971B30">
      <w:pPr>
        <w:rPr>
          <w:rFonts w:eastAsia="黑体"/>
          <w:sz w:val="30"/>
          <w:u w:val="single"/>
        </w:rPr>
      </w:pPr>
    </w:p>
    <w:p w:rsidR="00971B30" w:rsidRDefault="00971B30">
      <w:pPr>
        <w:rPr>
          <w:rFonts w:eastAsia="黑体"/>
          <w:sz w:val="30"/>
          <w:u w:val="single"/>
        </w:rPr>
      </w:pPr>
    </w:p>
    <w:p w:rsidR="00971B30" w:rsidRPr="00876114" w:rsidRDefault="00771C49" w:rsidP="00876114">
      <w:pPr>
        <w:jc w:val="center"/>
        <w:rPr>
          <w:rFonts w:ascii="宋体" w:hint="eastAsia"/>
          <w:bCs/>
          <w:sz w:val="36"/>
          <w:szCs w:val="36"/>
        </w:rPr>
      </w:pPr>
      <w:r>
        <w:rPr>
          <w:rFonts w:ascii="宋体" w:hAnsi="宋体" w:cs="宋体" w:hint="eastAsia"/>
          <w:bCs/>
          <w:sz w:val="36"/>
          <w:szCs w:val="36"/>
        </w:rPr>
        <w:t>二</w:t>
      </w:r>
      <w:r>
        <w:rPr>
          <w:rFonts w:ascii="宋体" w:cs="宋体" w:hint="eastAsia"/>
          <w:bCs/>
          <w:sz w:val="36"/>
          <w:szCs w:val="36"/>
        </w:rPr>
        <w:t>〇</w:t>
      </w:r>
      <w:r>
        <w:rPr>
          <w:rFonts w:ascii="宋体" w:hAnsi="宋体" w:cs="宋体" w:hint="eastAsia"/>
          <w:bCs/>
          <w:sz w:val="36"/>
          <w:szCs w:val="36"/>
        </w:rPr>
        <w:t>二二年五月</w:t>
      </w:r>
    </w:p>
    <w:p w:rsidR="00971B30" w:rsidRDefault="00971B30">
      <w:pPr>
        <w:spacing w:line="560" w:lineRule="exact"/>
        <w:jc w:val="center"/>
        <w:rPr>
          <w:rFonts w:ascii="方正小标宋简体" w:eastAsia="方正小标宋简体"/>
          <w:sz w:val="36"/>
          <w:szCs w:val="36"/>
        </w:rPr>
        <w:sectPr w:rsidR="00971B30" w:rsidSect="00876114">
          <w:headerReference w:type="default" r:id="rId6"/>
          <w:footerReference w:type="default" r:id="rId7"/>
          <w:pgSz w:w="16838" w:h="11906" w:orient="landscape"/>
          <w:pgMar w:top="1800" w:right="1440" w:bottom="1800" w:left="1440" w:header="851" w:footer="992" w:gutter="0"/>
          <w:pgNumType w:start="1"/>
          <w:cols w:space="425"/>
          <w:docGrid w:type="lines" w:linePitch="312"/>
        </w:sectPr>
      </w:pPr>
    </w:p>
    <w:p w:rsidR="00971B30" w:rsidRDefault="00771C4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北京市农村经济研究中心</w:t>
      </w:r>
      <w:r>
        <w:rPr>
          <w:rFonts w:ascii="方正小标宋简体" w:eastAsia="方正小标宋简体"/>
          <w:sz w:val="36"/>
          <w:szCs w:val="36"/>
        </w:rPr>
        <w:br/>
      </w:r>
      <w:bookmarkStart w:id="0" w:name="_GoBack"/>
      <w:bookmarkEnd w:id="0"/>
      <w:r>
        <w:rPr>
          <w:rFonts w:ascii="方正小标宋简体" w:eastAsia="方正小标宋简体" w:hint="eastAsia"/>
          <w:sz w:val="36"/>
          <w:szCs w:val="36"/>
        </w:rPr>
        <w:t>部门整体绩效评价报告</w:t>
      </w:r>
    </w:p>
    <w:p w:rsidR="00971B30" w:rsidRDefault="00971B30">
      <w:pPr>
        <w:spacing w:line="560" w:lineRule="exact"/>
        <w:jc w:val="center"/>
        <w:rPr>
          <w:rFonts w:ascii="方正小标宋简体" w:eastAsia="方正小标宋简体"/>
          <w:sz w:val="36"/>
          <w:szCs w:val="36"/>
        </w:rPr>
      </w:pPr>
    </w:p>
    <w:p w:rsidR="00971B30" w:rsidRDefault="00771C49">
      <w:pPr>
        <w:spacing w:line="560" w:lineRule="exact"/>
        <w:ind w:firstLineChars="200" w:firstLine="640"/>
        <w:rPr>
          <w:rFonts w:ascii="黑体" w:eastAsia="黑体" w:hAnsi="黑体" w:cs="宋体"/>
          <w:color w:val="000000"/>
          <w:kern w:val="0"/>
          <w:sz w:val="32"/>
          <w:szCs w:val="32"/>
        </w:rPr>
      </w:pPr>
      <w:r>
        <w:rPr>
          <w:rFonts w:ascii="仿宋_GB2312" w:eastAsia="仿宋_GB2312" w:hAnsi="楷体" w:hint="eastAsia"/>
          <w:bCs/>
          <w:kern w:val="0"/>
          <w:sz w:val="32"/>
          <w:szCs w:val="28"/>
        </w:rPr>
        <w:t>为进一步加强预算绩效管理，强化支出责任，提高财政资金使用效益，考核财政支出效率和综合效果，根据</w:t>
      </w:r>
      <w:r>
        <w:rPr>
          <w:rFonts w:ascii="仿宋_GB2312" w:eastAsia="仿宋_GB2312" w:hAnsi="仿宋_GB2312" w:cs="仿宋_GB2312" w:hint="eastAsia"/>
          <w:sz w:val="32"/>
        </w:rPr>
        <w:t>《中共北京市委 北京市人民政府关于全面实施预算绩效管理的实施意见》（京发〔2019〕12号）</w:t>
      </w:r>
      <w:r>
        <w:rPr>
          <w:rFonts w:ascii="仿宋_GB2312" w:eastAsia="仿宋_GB2312" w:hAnsi="楷体" w:hint="eastAsia"/>
          <w:bCs/>
          <w:kern w:val="0"/>
          <w:sz w:val="32"/>
          <w:szCs w:val="28"/>
        </w:rPr>
        <w:t>《北京市项目支出绩效评价管理办法》（京财绩效〔2020〕2146号），结合《北京市财政局关于开展202</w:t>
      </w:r>
      <w:r>
        <w:rPr>
          <w:rFonts w:ascii="仿宋_GB2312" w:eastAsia="仿宋_GB2312" w:hAnsi="楷体"/>
          <w:bCs/>
          <w:kern w:val="0"/>
          <w:sz w:val="32"/>
          <w:szCs w:val="28"/>
        </w:rPr>
        <w:t>2</w:t>
      </w:r>
      <w:r>
        <w:rPr>
          <w:rFonts w:ascii="仿宋_GB2312" w:eastAsia="仿宋_GB2312" w:hAnsi="楷体" w:hint="eastAsia"/>
          <w:bCs/>
          <w:kern w:val="0"/>
          <w:sz w:val="32"/>
          <w:szCs w:val="28"/>
        </w:rPr>
        <w:t>年全面预算绩效管理工作的通知》（京财绩效〔202</w:t>
      </w:r>
      <w:r>
        <w:rPr>
          <w:rFonts w:ascii="仿宋_GB2312" w:eastAsia="仿宋_GB2312" w:hAnsi="楷体"/>
          <w:bCs/>
          <w:kern w:val="0"/>
          <w:sz w:val="32"/>
          <w:szCs w:val="28"/>
        </w:rPr>
        <w:t>2</w:t>
      </w:r>
      <w:r>
        <w:rPr>
          <w:rFonts w:ascii="仿宋_GB2312" w:eastAsia="仿宋_GB2312" w:hAnsi="楷体" w:hint="eastAsia"/>
          <w:bCs/>
          <w:kern w:val="0"/>
          <w:sz w:val="32"/>
          <w:szCs w:val="28"/>
        </w:rPr>
        <w:t>〕</w:t>
      </w:r>
      <w:r>
        <w:rPr>
          <w:rFonts w:ascii="仿宋_GB2312" w:eastAsia="仿宋_GB2312" w:hAnsi="楷体"/>
          <w:bCs/>
          <w:kern w:val="0"/>
          <w:sz w:val="32"/>
          <w:szCs w:val="28"/>
        </w:rPr>
        <w:t>669</w:t>
      </w:r>
      <w:r>
        <w:rPr>
          <w:rFonts w:ascii="仿宋_GB2312" w:eastAsia="仿宋_GB2312" w:hAnsi="楷体" w:hint="eastAsia"/>
          <w:bCs/>
          <w:kern w:val="0"/>
          <w:sz w:val="32"/>
          <w:szCs w:val="28"/>
        </w:rPr>
        <w:t>号）的工作安排，北京市农村经济研究中心（以下简称“市农研中心”）组建绩效评价工作组，实施</w:t>
      </w:r>
      <w:r>
        <w:rPr>
          <w:rFonts w:ascii="仿宋_GB2312" w:eastAsia="仿宋_GB2312" w:hAnsi="楷体"/>
          <w:bCs/>
          <w:kern w:val="0"/>
          <w:sz w:val="32"/>
          <w:szCs w:val="28"/>
        </w:rPr>
        <w:t>2021年度部门整体绩效评价，</w:t>
      </w:r>
      <w:r>
        <w:rPr>
          <w:rFonts w:ascii="仿宋_GB2312" w:eastAsia="仿宋_GB2312" w:hAnsi="楷体" w:hint="eastAsia"/>
          <w:bCs/>
          <w:kern w:val="0"/>
          <w:sz w:val="32"/>
          <w:szCs w:val="28"/>
        </w:rPr>
        <w:t>形成本绩效评价报告。</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（一）机构设置及职责工作任务情况</w:t>
      </w:r>
    </w:p>
    <w:p w:rsidR="00971B30" w:rsidRDefault="00771C49">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1.机构设置</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北京市农村经济研究中心内设办公室、调研综合处、经济体制处、城乡发展处、社会处、资源区划处、史志处、金融处、计财处、人事处(离退休干部处)、机关党委(工会)等11个处室；有北京市</w:t>
      </w:r>
      <w:r>
        <w:rPr>
          <w:rFonts w:ascii="仿宋_GB2312" w:eastAsia="仿宋_GB2312" w:hAnsi="楷体" w:hint="eastAsia"/>
          <w:bCs/>
          <w:kern w:val="0"/>
          <w:sz w:val="32"/>
          <w:szCs w:val="28"/>
        </w:rPr>
        <w:lastRenderedPageBreak/>
        <w:t>城乡经济信息中心、北京市农村财务管理事务中心两个直属事业单位；管理北京城郊经济研究会、</w:t>
      </w:r>
      <w:r w:rsidR="00212469">
        <w:rPr>
          <w:rFonts w:ascii="仿宋_GB2312" w:eastAsia="仿宋_GB2312" w:hAnsi="楷体" w:hint="eastAsia"/>
          <w:bCs/>
          <w:kern w:val="0"/>
          <w:sz w:val="32"/>
          <w:szCs w:val="28"/>
        </w:rPr>
        <w:t>北京市农村金融协会2</w:t>
      </w:r>
      <w:r>
        <w:rPr>
          <w:rFonts w:ascii="仿宋_GB2312" w:eastAsia="仿宋_GB2312" w:hAnsi="楷体" w:hint="eastAsia"/>
          <w:bCs/>
          <w:kern w:val="0"/>
          <w:sz w:val="32"/>
          <w:szCs w:val="28"/>
        </w:rPr>
        <w:t>个社团组织。</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2.人员配置及人员构成情况</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截止2021年12月31日，市农研中心编制人数116人，与上年一致。实际人数110人，其中全额拨款在职人员109人，离休1人。</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3.部门职责</w:t>
      </w:r>
    </w:p>
    <w:p w:rsidR="00132112" w:rsidRPr="00132112" w:rsidRDefault="00132112" w:rsidP="00132112">
      <w:pPr>
        <w:spacing w:line="600" w:lineRule="exact"/>
        <w:ind w:firstLineChars="200" w:firstLine="640"/>
        <w:rPr>
          <w:rFonts w:ascii="仿宋_GB2312" w:eastAsia="仿宋_GB2312" w:hAnsi="楷体"/>
          <w:bCs/>
          <w:kern w:val="0"/>
          <w:sz w:val="32"/>
          <w:szCs w:val="28"/>
        </w:rPr>
      </w:pPr>
      <w:r w:rsidRPr="00132112">
        <w:rPr>
          <w:rFonts w:ascii="仿宋_GB2312" w:eastAsia="仿宋_GB2312" w:hAnsi="楷体" w:hint="eastAsia"/>
          <w:bCs/>
          <w:kern w:val="0"/>
          <w:sz w:val="32"/>
          <w:szCs w:val="28"/>
        </w:rPr>
        <w:t>北京市农村经济研究中心成立于</w:t>
      </w:r>
      <w:r w:rsidRPr="00132112">
        <w:rPr>
          <w:rFonts w:ascii="仿宋_GB2312" w:eastAsia="仿宋_GB2312" w:hAnsi="楷体"/>
          <w:bCs/>
          <w:kern w:val="0"/>
          <w:sz w:val="32"/>
          <w:szCs w:val="28"/>
        </w:rPr>
        <w:t>19</w:t>
      </w:r>
      <w:r w:rsidR="00B25801">
        <w:rPr>
          <w:rFonts w:ascii="仿宋_GB2312" w:eastAsia="仿宋_GB2312" w:hAnsi="楷体"/>
          <w:bCs/>
          <w:kern w:val="0"/>
          <w:sz w:val="32"/>
          <w:szCs w:val="28"/>
        </w:rPr>
        <w:t>89</w:t>
      </w:r>
      <w:r w:rsidR="00B25801">
        <w:rPr>
          <w:rFonts w:ascii="仿宋_GB2312" w:eastAsia="仿宋_GB2312" w:hAnsi="楷体" w:hint="eastAsia"/>
          <w:bCs/>
          <w:kern w:val="0"/>
          <w:sz w:val="32"/>
          <w:szCs w:val="28"/>
        </w:rPr>
        <w:t>年</w:t>
      </w:r>
      <w:r w:rsidRPr="00132112">
        <w:rPr>
          <w:rFonts w:ascii="仿宋_GB2312" w:eastAsia="仿宋_GB2312" w:hAnsi="楷体" w:hint="eastAsia"/>
          <w:bCs/>
          <w:kern w:val="0"/>
          <w:sz w:val="32"/>
          <w:szCs w:val="28"/>
        </w:rPr>
        <w:t>。20</w:t>
      </w:r>
      <w:r w:rsidR="00074DB1">
        <w:rPr>
          <w:rFonts w:ascii="仿宋_GB2312" w:eastAsia="仿宋_GB2312" w:hAnsi="楷体"/>
          <w:bCs/>
          <w:kern w:val="0"/>
          <w:sz w:val="32"/>
          <w:szCs w:val="28"/>
        </w:rPr>
        <w:t>19</w:t>
      </w:r>
      <w:r w:rsidRPr="00132112">
        <w:rPr>
          <w:rFonts w:ascii="仿宋_GB2312" w:eastAsia="仿宋_GB2312" w:hAnsi="楷体" w:hint="eastAsia"/>
          <w:bCs/>
          <w:kern w:val="0"/>
          <w:sz w:val="32"/>
          <w:szCs w:val="28"/>
        </w:rPr>
        <w:t>年</w:t>
      </w:r>
      <w:r w:rsidRPr="00132112">
        <w:rPr>
          <w:rFonts w:ascii="仿宋_GB2312" w:eastAsia="仿宋_GB2312" w:hAnsi="楷体"/>
          <w:bCs/>
          <w:kern w:val="0"/>
          <w:sz w:val="32"/>
          <w:szCs w:val="28"/>
        </w:rPr>
        <w:t>机构改革后，其主要职能</w:t>
      </w:r>
      <w:r w:rsidR="00074DB1">
        <w:rPr>
          <w:rFonts w:ascii="仿宋_GB2312" w:eastAsia="仿宋_GB2312" w:hAnsi="楷体" w:hint="eastAsia"/>
          <w:bCs/>
          <w:kern w:val="0"/>
          <w:sz w:val="32"/>
          <w:szCs w:val="28"/>
        </w:rPr>
        <w:t>变</w:t>
      </w:r>
      <w:r w:rsidRPr="00132112">
        <w:rPr>
          <w:rFonts w:ascii="仿宋_GB2312" w:eastAsia="仿宋_GB2312" w:hAnsi="楷体"/>
          <w:bCs/>
          <w:kern w:val="0"/>
          <w:sz w:val="32"/>
          <w:szCs w:val="28"/>
        </w:rPr>
        <w:t>为</w:t>
      </w:r>
      <w:r w:rsidRPr="00132112">
        <w:rPr>
          <w:rFonts w:ascii="仿宋_GB2312" w:eastAsia="仿宋_GB2312" w:hAnsi="楷体" w:hint="eastAsia"/>
          <w:bCs/>
          <w:kern w:val="0"/>
          <w:sz w:val="32"/>
          <w:szCs w:val="28"/>
        </w:rPr>
        <w:t>承担本市“三农”工作和实施乡村振兴战略方面的政策研究，为推进农业农村现代化提供智力支撑。</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（二）部门整体绩效目标设立情况</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w:t>
      </w:r>
      <w:r>
        <w:rPr>
          <w:rFonts w:ascii="仿宋_GB2312" w:eastAsia="仿宋_GB2312" w:hAnsi="楷体"/>
          <w:bCs/>
          <w:kern w:val="0"/>
          <w:sz w:val="32"/>
          <w:szCs w:val="28"/>
        </w:rPr>
        <w:t>021</w:t>
      </w:r>
      <w:r>
        <w:rPr>
          <w:rFonts w:ascii="仿宋_GB2312" w:eastAsia="仿宋_GB2312" w:hAnsi="楷体" w:hint="eastAsia"/>
          <w:bCs/>
          <w:kern w:val="0"/>
          <w:sz w:val="32"/>
          <w:szCs w:val="28"/>
        </w:rPr>
        <w:t>年，市农研中心部门整体支出绩效目标为：以习近平新时代中国特色社会主义思想为指导，全面贯彻党的十九大和十九届二中、三中、四中、五中全会精神，围绕北京“大城市小农业、大京郊小城区”基本市情农情，为市委、市政府领导农村改革与发展进行决策研究；深入贯彻落实中央经济工作会议、中央农村工作会议精神，按照《北京市乡村振兴战略规划（2018-2022年）》和全市“三农”工作部署要求，更好规划和组织市级涉农有关单位开展农村战略研究和政策研究；落实《北京城</w:t>
      </w:r>
      <w:r>
        <w:rPr>
          <w:rFonts w:ascii="仿宋_GB2312" w:eastAsia="仿宋_GB2312" w:hAnsi="楷体" w:hint="eastAsia"/>
          <w:bCs/>
          <w:kern w:val="0"/>
          <w:sz w:val="32"/>
          <w:szCs w:val="28"/>
        </w:rPr>
        <w:lastRenderedPageBreak/>
        <w:t>市总体规划（2016年-2035年）》，推动农村资源调查、观光休闲行业动态监测以及农业区划规划工作；紧扣首都城市“四个中心”战略定位统筹发展；组织农村经济改革试验区和农业区划成果应用试验基点的工作；开展农村改革与发展的理论研究，组织和参加市内外及国际学术交流，农村研究智库作用更加突显；有效推动农业农村信息化建设工作，农民信息能力、农业大数据应用能力和涉农信息网络安全保障水平明显增强；农村金融服务调研、农业农村史志编纂、农村财务培训等专题工作达到或超额完成年度目标任务要求。</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市农研中心</w:t>
      </w:r>
      <w:r>
        <w:rPr>
          <w:rFonts w:ascii="仿宋_GB2312" w:eastAsia="仿宋_GB2312" w:hAnsi="楷体"/>
          <w:bCs/>
          <w:kern w:val="0"/>
          <w:sz w:val="32"/>
          <w:szCs w:val="28"/>
        </w:rPr>
        <w:t>在市委农工委、市农业农村局领导下</w:t>
      </w:r>
      <w:r>
        <w:rPr>
          <w:rFonts w:ascii="仿宋_GB2312" w:eastAsia="仿宋_GB2312" w:hAnsi="楷体" w:hint="eastAsia"/>
          <w:bCs/>
          <w:kern w:val="0"/>
          <w:sz w:val="32"/>
          <w:szCs w:val="28"/>
        </w:rPr>
        <w:t>，2</w:t>
      </w:r>
      <w:r>
        <w:rPr>
          <w:rFonts w:ascii="仿宋_GB2312" w:eastAsia="仿宋_GB2312" w:hAnsi="楷体"/>
          <w:bCs/>
          <w:kern w:val="0"/>
          <w:sz w:val="32"/>
          <w:szCs w:val="28"/>
        </w:rPr>
        <w:t>021</w:t>
      </w:r>
      <w:r>
        <w:rPr>
          <w:rFonts w:ascii="仿宋_GB2312" w:eastAsia="仿宋_GB2312" w:hAnsi="楷体" w:hint="eastAsia"/>
          <w:bCs/>
          <w:kern w:val="0"/>
          <w:sz w:val="32"/>
          <w:szCs w:val="28"/>
        </w:rPr>
        <w:t>年度部门整体绩效目标紧紧围绕市农研中心</w:t>
      </w:r>
      <w:r>
        <w:rPr>
          <w:rFonts w:ascii="仿宋_GB2312" w:eastAsia="仿宋_GB2312" w:hAnsi="仿宋" w:hint="eastAsia"/>
          <w:sz w:val="32"/>
          <w:szCs w:val="32"/>
        </w:rPr>
        <w:t>“三定”职责</w:t>
      </w:r>
      <w:r>
        <w:rPr>
          <w:rFonts w:ascii="仿宋_GB2312" w:eastAsia="仿宋_GB2312" w:hAnsi="楷体" w:hint="eastAsia"/>
          <w:bCs/>
          <w:kern w:val="0"/>
          <w:sz w:val="32"/>
          <w:szCs w:val="28"/>
        </w:rPr>
        <w:t>，集合《北京市“十四五”时期乡村振兴战略实施规划》《北京市乡村振兴战略规划（2018-2022年）》和全市“三农”工作部署要求等设定。</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部门整体绩效目标既体现了单位履职范围内的常规工作任务，也结合特殊重要时点突出了年度新增特色重点工作内容，整体绩效目标设定比较合理。</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971B30" w:rsidRDefault="00771C49">
      <w:pPr>
        <w:spacing w:line="560" w:lineRule="exact"/>
        <w:ind w:firstLineChars="200" w:firstLine="640"/>
        <w:rPr>
          <w:rFonts w:ascii="仿宋_GB2312" w:eastAsia="仿宋_GB2312" w:hAnsi="楷体"/>
          <w:bCs/>
          <w:kern w:val="0"/>
          <w:sz w:val="32"/>
          <w:szCs w:val="28"/>
        </w:rPr>
      </w:pPr>
      <w:bookmarkStart w:id="1" w:name="_Hlk103972295"/>
      <w:r>
        <w:rPr>
          <w:rFonts w:ascii="仿宋_GB2312" w:eastAsia="仿宋_GB2312" w:hAnsi="楷体" w:hint="eastAsia"/>
          <w:bCs/>
          <w:kern w:val="0"/>
          <w:sz w:val="32"/>
          <w:szCs w:val="28"/>
        </w:rPr>
        <w:t>2021年全年</w:t>
      </w:r>
      <w:r w:rsidR="00EA760E">
        <w:rPr>
          <w:rFonts w:ascii="仿宋_GB2312" w:eastAsia="仿宋_GB2312" w:hAnsi="楷体" w:hint="eastAsia"/>
          <w:bCs/>
          <w:kern w:val="0"/>
          <w:sz w:val="32"/>
          <w:szCs w:val="28"/>
        </w:rPr>
        <w:t>总收入</w:t>
      </w:r>
      <w:r>
        <w:rPr>
          <w:rFonts w:ascii="仿宋_GB2312" w:eastAsia="仿宋_GB2312" w:hAnsi="楷体" w:hint="eastAsia"/>
          <w:bCs/>
          <w:kern w:val="0"/>
          <w:sz w:val="32"/>
          <w:szCs w:val="28"/>
        </w:rPr>
        <w:t>7,924.57万元，</w:t>
      </w:r>
      <w:bookmarkEnd w:id="1"/>
      <w:r w:rsidR="00AE3D3A">
        <w:rPr>
          <w:rFonts w:ascii="仿宋_GB2312" w:eastAsia="仿宋_GB2312" w:hAnsi="楷体" w:hint="eastAsia"/>
          <w:bCs/>
          <w:kern w:val="0"/>
          <w:sz w:val="32"/>
          <w:szCs w:val="28"/>
        </w:rPr>
        <w:t>其中：</w:t>
      </w:r>
      <w:r>
        <w:rPr>
          <w:rFonts w:ascii="仿宋_GB2312" w:eastAsia="仿宋_GB2312" w:hAnsi="楷体" w:hint="eastAsia"/>
          <w:bCs/>
          <w:kern w:val="0"/>
          <w:sz w:val="32"/>
          <w:szCs w:val="28"/>
        </w:rPr>
        <w:t>基本支出4,791.88万元，项目支出3,132.69万元。</w:t>
      </w:r>
      <w:bookmarkStart w:id="2" w:name="_Hlk103972234"/>
      <w:r>
        <w:rPr>
          <w:rFonts w:ascii="仿宋_GB2312" w:eastAsia="仿宋_GB2312" w:hAnsi="楷体" w:hint="eastAsia"/>
          <w:bCs/>
          <w:kern w:val="0"/>
          <w:sz w:val="32"/>
          <w:szCs w:val="28"/>
        </w:rPr>
        <w:t>总支出7,191.10</w:t>
      </w:r>
      <w:r w:rsidR="00AE3D3A">
        <w:rPr>
          <w:rFonts w:ascii="仿宋_GB2312" w:eastAsia="仿宋_GB2312" w:hAnsi="楷体" w:hint="eastAsia"/>
          <w:bCs/>
          <w:kern w:val="0"/>
          <w:sz w:val="32"/>
          <w:szCs w:val="28"/>
        </w:rPr>
        <w:t>万元，其中：</w:t>
      </w:r>
      <w:r>
        <w:rPr>
          <w:rFonts w:ascii="仿宋_GB2312" w:eastAsia="仿宋_GB2312" w:hAnsi="楷体" w:hint="eastAsia"/>
          <w:bCs/>
          <w:kern w:val="0"/>
          <w:sz w:val="32"/>
          <w:szCs w:val="28"/>
        </w:rPr>
        <w:t>基本支出4,509.34万元，项目支出2,681.76万元。</w:t>
      </w:r>
      <w:bookmarkEnd w:id="2"/>
      <w:r>
        <w:rPr>
          <w:rFonts w:ascii="仿宋_GB2312" w:eastAsia="仿宋_GB2312" w:hAnsi="楷体" w:hint="eastAsia"/>
          <w:bCs/>
          <w:kern w:val="0"/>
          <w:sz w:val="32"/>
          <w:szCs w:val="28"/>
        </w:rPr>
        <w:t>预算执行率为90.74%。</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三</w:t>
      </w:r>
      <w:r>
        <w:rPr>
          <w:rFonts w:ascii="黑体" w:eastAsia="黑体" w:hAnsi="黑体" w:cs="宋体"/>
          <w:color w:val="000000"/>
          <w:kern w:val="0"/>
          <w:sz w:val="32"/>
          <w:szCs w:val="32"/>
        </w:rPr>
        <w:t>、整体绩效目标实现情况</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（一）产出完成情况分析</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1.产出数量</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w:t>
      </w:r>
      <w:r>
        <w:rPr>
          <w:rFonts w:ascii="仿宋_GB2312" w:eastAsia="仿宋_GB2312" w:hAnsi="楷体"/>
          <w:bCs/>
          <w:kern w:val="0"/>
          <w:sz w:val="32"/>
          <w:szCs w:val="28"/>
        </w:rPr>
        <w:t>2021年，党组理论学习中心组集体学习20次</w:t>
      </w:r>
      <w:r>
        <w:rPr>
          <w:rFonts w:ascii="仿宋_GB2312" w:eastAsia="仿宋_GB2312" w:hAnsi="楷体" w:hint="eastAsia"/>
          <w:bCs/>
          <w:kern w:val="0"/>
          <w:sz w:val="32"/>
          <w:szCs w:val="28"/>
        </w:rPr>
        <w:t>；</w:t>
      </w:r>
      <w:r>
        <w:rPr>
          <w:rFonts w:ascii="仿宋_GB2312" w:eastAsia="仿宋_GB2312" w:hAnsi="楷体"/>
          <w:bCs/>
          <w:kern w:val="0"/>
          <w:sz w:val="32"/>
          <w:szCs w:val="28"/>
        </w:rPr>
        <w:t>班子成员及支部书记讲党课18次；各党支部集中学习145次、交流研讨52次、开展宣讲活动19场次。通过党组理论学习中心组学习研讨，参加委局组织的专题学习会议和党员领导干部警示教育大会，参加党支部学习和党日活动等</w:t>
      </w:r>
      <w:r>
        <w:rPr>
          <w:rFonts w:ascii="仿宋_GB2312" w:eastAsia="仿宋_GB2312" w:hAnsi="楷体" w:hint="eastAsia"/>
          <w:bCs/>
          <w:kern w:val="0"/>
          <w:sz w:val="32"/>
          <w:szCs w:val="28"/>
        </w:rPr>
        <w:t>。</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w:t>
      </w:r>
      <w:r>
        <w:rPr>
          <w:rFonts w:ascii="仿宋_GB2312" w:eastAsia="仿宋_GB2312" w:hAnsi="楷体"/>
          <w:bCs/>
          <w:kern w:val="0"/>
          <w:sz w:val="32"/>
          <w:szCs w:val="28"/>
        </w:rPr>
        <w:t>在全国率先开展集体经济治理评级系统研究，完成了全市3874个村庄的3年12000个大样本评价工作。与市人大常委会农村办合作，开展了《北京市稳定蔬菜生产措施研究》《北京市高效设施农业发展研究》《北京市生态涵养区乡村产业发展问题研究》等5个课题研究。</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w:t>
      </w:r>
      <w:r>
        <w:rPr>
          <w:rFonts w:ascii="仿宋_GB2312" w:eastAsia="仿宋_GB2312" w:hAnsi="楷体"/>
          <w:bCs/>
          <w:kern w:val="0"/>
          <w:sz w:val="32"/>
          <w:szCs w:val="28"/>
        </w:rPr>
        <w:t>2021年度完成调研任务21项，其中重大课题3项，重点课题3项。与委局合作经济指导处合作开展</w:t>
      </w:r>
      <w:r>
        <w:rPr>
          <w:rFonts w:ascii="仿宋_GB2312" w:eastAsia="仿宋_GB2312" w:hAnsi="楷体"/>
          <w:bCs/>
          <w:kern w:val="0"/>
          <w:sz w:val="32"/>
          <w:szCs w:val="28"/>
        </w:rPr>
        <w:t>“</w:t>
      </w:r>
      <w:r>
        <w:rPr>
          <w:rFonts w:ascii="仿宋_GB2312" w:eastAsia="仿宋_GB2312" w:hAnsi="楷体"/>
          <w:bCs/>
          <w:kern w:val="0"/>
          <w:sz w:val="32"/>
          <w:szCs w:val="28"/>
        </w:rPr>
        <w:t>北京市农村集体经济薄弱村转型发展调研</w:t>
      </w:r>
      <w:r>
        <w:rPr>
          <w:rFonts w:ascii="仿宋_GB2312" w:eastAsia="仿宋_GB2312" w:hAnsi="楷体"/>
          <w:bCs/>
          <w:kern w:val="0"/>
          <w:sz w:val="32"/>
          <w:szCs w:val="28"/>
        </w:rPr>
        <w:t>”</w:t>
      </w:r>
      <w:r>
        <w:rPr>
          <w:rFonts w:ascii="仿宋_GB2312" w:eastAsia="仿宋_GB2312" w:hAnsi="楷体"/>
          <w:bCs/>
          <w:kern w:val="0"/>
          <w:sz w:val="32"/>
          <w:szCs w:val="28"/>
        </w:rPr>
        <w:t>，78名调研人员深入13个涉农区100个集体经济薄弱村，完成调研问卷100份，撰写典型案例21份、调研小结30余份、总报告1份。</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（4）</w:t>
      </w:r>
      <w:r>
        <w:rPr>
          <w:rFonts w:ascii="仿宋_GB2312" w:eastAsia="仿宋_GB2312" w:hAnsi="楷体"/>
          <w:bCs/>
          <w:kern w:val="0"/>
          <w:sz w:val="32"/>
          <w:szCs w:val="28"/>
        </w:rPr>
        <w:t>共发表文章和调研报告127篇，其中在《改革内参》《农村经营管理》等核心期刊和国家级、省部级刊物等公开发表34篇，在《乡村振兴文稿》《北京工作》等内刊发表93篇；公开出版报</w:t>
      </w:r>
      <w:r>
        <w:rPr>
          <w:rFonts w:ascii="仿宋_GB2312" w:eastAsia="仿宋_GB2312" w:hAnsi="楷体"/>
          <w:bCs/>
          <w:kern w:val="0"/>
          <w:sz w:val="32"/>
          <w:szCs w:val="28"/>
        </w:rPr>
        <w:lastRenderedPageBreak/>
        <w:t>告文集、年鉴等图书6部；参与著作编写4部。全年编发《调查研究报告》53期、《北京农村经济》12期，出版《北京乡村振兴研究报告2020》《北京农村经济发展报告2021》《中国农村集体经济发展报告2021》，报送市委市政府信息直报点研究类信息11期，组织完成《北京市农研中心学习中央农村工作会议精神征文汇编》《北京郊区党建优秀征文集2020》等工作。</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2.产出</w:t>
      </w:r>
      <w:r>
        <w:rPr>
          <w:rFonts w:ascii="仿宋_GB2312" w:eastAsia="仿宋_GB2312" w:hAnsi="楷体"/>
          <w:bCs/>
          <w:kern w:val="0"/>
          <w:sz w:val="32"/>
          <w:szCs w:val="28"/>
        </w:rPr>
        <w:t>质量</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w:t>
      </w:r>
      <w:r>
        <w:rPr>
          <w:rFonts w:ascii="仿宋_GB2312" w:eastAsia="仿宋_GB2312" w:hAnsi="楷体"/>
          <w:bCs/>
          <w:kern w:val="0"/>
          <w:sz w:val="32"/>
          <w:szCs w:val="28"/>
        </w:rPr>
        <w:t>“</w:t>
      </w:r>
      <w:r>
        <w:rPr>
          <w:rFonts w:ascii="仿宋_GB2312" w:eastAsia="仿宋_GB2312" w:hAnsi="楷体"/>
          <w:bCs/>
          <w:kern w:val="0"/>
          <w:sz w:val="32"/>
          <w:szCs w:val="28"/>
        </w:rPr>
        <w:t>北京市农村集体经济薄弱村转型发展调研</w:t>
      </w:r>
      <w:r>
        <w:rPr>
          <w:rFonts w:ascii="仿宋_GB2312" w:eastAsia="仿宋_GB2312" w:hAnsi="楷体"/>
          <w:bCs/>
          <w:kern w:val="0"/>
          <w:sz w:val="32"/>
          <w:szCs w:val="28"/>
        </w:rPr>
        <w:t>”</w:t>
      </w:r>
      <w:r>
        <w:rPr>
          <w:rFonts w:ascii="仿宋_GB2312" w:eastAsia="仿宋_GB2312" w:hAnsi="楷体"/>
          <w:bCs/>
          <w:kern w:val="0"/>
          <w:sz w:val="32"/>
          <w:szCs w:val="28"/>
        </w:rPr>
        <w:t>总报告</w:t>
      </w:r>
      <w:r>
        <w:rPr>
          <w:rFonts w:ascii="仿宋_GB2312" w:eastAsia="仿宋_GB2312" w:hAnsi="楷体" w:hint="eastAsia"/>
          <w:bCs/>
          <w:kern w:val="0"/>
          <w:sz w:val="32"/>
          <w:szCs w:val="28"/>
        </w:rPr>
        <w:t>在</w:t>
      </w:r>
      <w:r>
        <w:rPr>
          <w:rFonts w:ascii="仿宋_GB2312" w:eastAsia="仿宋_GB2312" w:hAnsi="楷体"/>
          <w:bCs/>
          <w:kern w:val="0"/>
          <w:sz w:val="32"/>
          <w:szCs w:val="28"/>
        </w:rPr>
        <w:t>市政府《昨日市情》特刊第120期刊发专稿，获得蔡奇、陈吉宁、张延昆、卢彦、靳伟等5位市领导批示。</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w:t>
      </w:r>
      <w:r>
        <w:rPr>
          <w:rFonts w:ascii="仿宋_GB2312" w:eastAsia="仿宋_GB2312" w:hAnsi="楷体"/>
          <w:bCs/>
          <w:kern w:val="0"/>
          <w:sz w:val="32"/>
          <w:szCs w:val="28"/>
        </w:rPr>
        <w:t>2</w:t>
      </w:r>
      <w:r>
        <w:rPr>
          <w:rFonts w:ascii="仿宋_GB2312" w:eastAsia="仿宋_GB2312" w:hAnsi="楷体" w:hint="eastAsia"/>
          <w:bCs/>
          <w:kern w:val="0"/>
          <w:sz w:val="32"/>
          <w:szCs w:val="28"/>
        </w:rPr>
        <w:t>）</w:t>
      </w:r>
      <w:r>
        <w:rPr>
          <w:rFonts w:ascii="仿宋_GB2312" w:eastAsia="仿宋_GB2312" w:hAnsi="楷体"/>
          <w:bCs/>
          <w:kern w:val="0"/>
          <w:sz w:val="32"/>
          <w:szCs w:val="28"/>
        </w:rPr>
        <w:t>与市城乡办合作开展《绿隔地区基本农田保护利用研究》</w:t>
      </w:r>
      <w:r>
        <w:rPr>
          <w:rFonts w:ascii="仿宋_GB2312" w:eastAsia="仿宋_GB2312" w:hAnsi="楷体" w:hint="eastAsia"/>
          <w:bCs/>
          <w:kern w:val="0"/>
          <w:sz w:val="32"/>
          <w:szCs w:val="28"/>
        </w:rPr>
        <w:t>，</w:t>
      </w:r>
      <w:r>
        <w:rPr>
          <w:rFonts w:ascii="仿宋_GB2312" w:eastAsia="仿宋_GB2312" w:hAnsi="楷体"/>
          <w:bCs/>
          <w:kern w:val="0"/>
          <w:sz w:val="32"/>
          <w:szCs w:val="28"/>
        </w:rPr>
        <w:t>与海淀区农业农村局合作，开展海淀区农村城市化问题研究，成果在《改革内参》刊发。与委局合作</w:t>
      </w:r>
      <w:r>
        <w:rPr>
          <w:rFonts w:ascii="仿宋_GB2312" w:eastAsia="仿宋_GB2312" w:hAnsi="楷体" w:hint="eastAsia"/>
          <w:bCs/>
          <w:kern w:val="0"/>
          <w:sz w:val="32"/>
          <w:szCs w:val="28"/>
        </w:rPr>
        <w:t>研究</w:t>
      </w:r>
      <w:r>
        <w:rPr>
          <w:rFonts w:ascii="仿宋_GB2312" w:eastAsia="仿宋_GB2312" w:hAnsi="楷体"/>
          <w:bCs/>
          <w:kern w:val="0"/>
          <w:sz w:val="32"/>
          <w:szCs w:val="28"/>
        </w:rPr>
        <w:t>完成的《用好第一书记、助力乡村振兴》研究报告</w:t>
      </w:r>
      <w:r>
        <w:rPr>
          <w:rFonts w:ascii="仿宋_GB2312" w:eastAsia="仿宋_GB2312" w:hAnsi="楷体" w:hint="eastAsia"/>
          <w:bCs/>
          <w:kern w:val="0"/>
          <w:sz w:val="32"/>
          <w:szCs w:val="28"/>
        </w:rPr>
        <w:t>、</w:t>
      </w:r>
      <w:r>
        <w:rPr>
          <w:rFonts w:ascii="仿宋_GB2312" w:eastAsia="仿宋_GB2312" w:hAnsi="楷体"/>
          <w:bCs/>
          <w:kern w:val="0"/>
          <w:sz w:val="32"/>
          <w:szCs w:val="28"/>
        </w:rPr>
        <w:t>《乡村振兴下的北京市农民培训问题调研》《北京市农村居民收入差距分析报告》</w:t>
      </w:r>
      <w:r>
        <w:rPr>
          <w:rFonts w:ascii="仿宋_GB2312" w:eastAsia="仿宋_GB2312" w:hAnsi="楷体" w:hint="eastAsia"/>
          <w:bCs/>
          <w:kern w:val="0"/>
          <w:sz w:val="32"/>
          <w:szCs w:val="28"/>
        </w:rPr>
        <w:t>、</w:t>
      </w:r>
      <w:r>
        <w:rPr>
          <w:rFonts w:ascii="仿宋_GB2312" w:eastAsia="仿宋_GB2312" w:hAnsi="楷体"/>
          <w:bCs/>
          <w:kern w:val="0"/>
          <w:sz w:val="32"/>
          <w:szCs w:val="28"/>
        </w:rPr>
        <w:t>生态涵养区绿色发展指数评价工作</w:t>
      </w:r>
      <w:r>
        <w:rPr>
          <w:rFonts w:ascii="仿宋_GB2312" w:eastAsia="仿宋_GB2312" w:hAnsi="楷体" w:hint="eastAsia"/>
          <w:bCs/>
          <w:kern w:val="0"/>
          <w:sz w:val="32"/>
          <w:szCs w:val="28"/>
        </w:rPr>
        <w:t>、</w:t>
      </w:r>
      <w:r>
        <w:rPr>
          <w:rFonts w:ascii="仿宋_GB2312" w:eastAsia="仿宋_GB2312" w:hAnsi="楷体"/>
          <w:bCs/>
          <w:kern w:val="0"/>
          <w:sz w:val="32"/>
          <w:szCs w:val="28"/>
        </w:rPr>
        <w:t>《北京市</w:t>
      </w:r>
      <w:r>
        <w:rPr>
          <w:rFonts w:ascii="仿宋_GB2312" w:eastAsia="仿宋_GB2312" w:hAnsi="楷体"/>
          <w:bCs/>
          <w:kern w:val="0"/>
          <w:sz w:val="32"/>
          <w:szCs w:val="28"/>
        </w:rPr>
        <w:t>“</w:t>
      </w:r>
      <w:r>
        <w:rPr>
          <w:rFonts w:ascii="仿宋_GB2312" w:eastAsia="仿宋_GB2312" w:hAnsi="楷体"/>
          <w:bCs/>
          <w:kern w:val="0"/>
          <w:sz w:val="32"/>
          <w:szCs w:val="28"/>
        </w:rPr>
        <w:t>田长制</w:t>
      </w:r>
      <w:r>
        <w:rPr>
          <w:rFonts w:ascii="仿宋_GB2312" w:eastAsia="仿宋_GB2312" w:hAnsi="楷体"/>
          <w:bCs/>
          <w:kern w:val="0"/>
          <w:sz w:val="32"/>
          <w:szCs w:val="28"/>
        </w:rPr>
        <w:t>”</w:t>
      </w:r>
      <w:r>
        <w:rPr>
          <w:rFonts w:ascii="仿宋_GB2312" w:eastAsia="仿宋_GB2312" w:hAnsi="楷体"/>
          <w:bCs/>
          <w:kern w:val="0"/>
          <w:sz w:val="32"/>
          <w:szCs w:val="28"/>
        </w:rPr>
        <w:t>推进及农田保护制度建设研究》</w:t>
      </w:r>
      <w:r>
        <w:rPr>
          <w:rFonts w:ascii="仿宋_GB2312" w:eastAsia="仿宋_GB2312" w:hAnsi="楷体" w:hint="eastAsia"/>
          <w:bCs/>
          <w:kern w:val="0"/>
          <w:sz w:val="32"/>
          <w:szCs w:val="28"/>
        </w:rPr>
        <w:t>等，</w:t>
      </w:r>
      <w:r>
        <w:rPr>
          <w:rFonts w:ascii="仿宋_GB2312" w:eastAsia="仿宋_GB2312" w:hAnsi="楷体"/>
          <w:bCs/>
          <w:kern w:val="0"/>
          <w:sz w:val="32"/>
          <w:szCs w:val="28"/>
        </w:rPr>
        <w:t>在</w:t>
      </w:r>
      <w:r>
        <w:rPr>
          <w:rFonts w:ascii="仿宋_GB2312" w:eastAsia="仿宋_GB2312" w:hAnsi="楷体" w:hint="eastAsia"/>
          <w:bCs/>
          <w:kern w:val="0"/>
          <w:sz w:val="32"/>
          <w:szCs w:val="28"/>
        </w:rPr>
        <w:t>刊物上获得发表。</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w:t>
      </w:r>
      <w:r>
        <w:rPr>
          <w:rFonts w:ascii="仿宋_GB2312" w:eastAsia="仿宋_GB2312" w:hAnsi="楷体"/>
          <w:bCs/>
          <w:kern w:val="0"/>
          <w:sz w:val="32"/>
          <w:szCs w:val="28"/>
        </w:rPr>
        <w:t>与怀柔区委研究室合作开展乡村振兴引领示范的路径研究，为门头沟区</w:t>
      </w:r>
      <w:r>
        <w:rPr>
          <w:rFonts w:ascii="仿宋_GB2312" w:eastAsia="仿宋_GB2312" w:hAnsi="楷体"/>
          <w:bCs/>
          <w:kern w:val="0"/>
          <w:sz w:val="32"/>
          <w:szCs w:val="28"/>
        </w:rPr>
        <w:t>“</w:t>
      </w:r>
      <w:r>
        <w:rPr>
          <w:rFonts w:ascii="仿宋_GB2312" w:eastAsia="仿宋_GB2312" w:hAnsi="楷体"/>
          <w:bCs/>
          <w:kern w:val="0"/>
          <w:sz w:val="32"/>
          <w:szCs w:val="28"/>
        </w:rPr>
        <w:t>无人村</w:t>
      </w:r>
      <w:r>
        <w:rPr>
          <w:rFonts w:ascii="仿宋_GB2312" w:eastAsia="仿宋_GB2312" w:hAnsi="楷体"/>
          <w:bCs/>
          <w:kern w:val="0"/>
          <w:sz w:val="32"/>
          <w:szCs w:val="28"/>
        </w:rPr>
        <w:t>”</w:t>
      </w:r>
      <w:r>
        <w:rPr>
          <w:rFonts w:ascii="仿宋_GB2312" w:eastAsia="仿宋_GB2312" w:hAnsi="楷体"/>
          <w:bCs/>
          <w:kern w:val="0"/>
          <w:sz w:val="32"/>
          <w:szCs w:val="28"/>
        </w:rPr>
        <w:t>及精品民宿重点村发展提供决策咨询建议，指导北京观光休闲农业行业协会开展星级园区评定和主要节假日</w:t>
      </w:r>
      <w:r>
        <w:rPr>
          <w:rFonts w:ascii="仿宋_GB2312" w:eastAsia="仿宋_GB2312" w:hAnsi="楷体"/>
          <w:bCs/>
          <w:kern w:val="0"/>
          <w:sz w:val="32"/>
          <w:szCs w:val="28"/>
        </w:rPr>
        <w:lastRenderedPageBreak/>
        <w:t>固定监测点工作，指导举办北京国际设计周2021艺术乡村主题展，在北京电视台推出《冬奥客人来北京，走进乡村会客厅》等4套系列节目，牵线推动中国国土经济学会全国首个</w:t>
      </w:r>
      <w:r>
        <w:rPr>
          <w:rFonts w:ascii="仿宋_GB2312" w:eastAsia="仿宋_GB2312" w:hAnsi="楷体"/>
          <w:bCs/>
          <w:kern w:val="0"/>
          <w:sz w:val="32"/>
          <w:szCs w:val="28"/>
        </w:rPr>
        <w:t>“</w:t>
      </w:r>
      <w:r>
        <w:rPr>
          <w:rFonts w:ascii="仿宋_GB2312" w:eastAsia="仿宋_GB2312" w:hAnsi="楷体"/>
          <w:bCs/>
          <w:kern w:val="0"/>
          <w:sz w:val="32"/>
          <w:szCs w:val="28"/>
        </w:rPr>
        <w:t>科创中国</w:t>
      </w:r>
      <w:r>
        <w:rPr>
          <w:rFonts w:ascii="仿宋_GB2312" w:eastAsia="仿宋_GB2312" w:hAnsi="楷体"/>
          <w:bCs/>
          <w:kern w:val="0"/>
          <w:sz w:val="32"/>
          <w:szCs w:val="28"/>
        </w:rPr>
        <w:t>·</w:t>
      </w:r>
      <w:r>
        <w:rPr>
          <w:rFonts w:ascii="仿宋_GB2312" w:eastAsia="仿宋_GB2312" w:hAnsi="楷体"/>
          <w:bCs/>
          <w:kern w:val="0"/>
          <w:sz w:val="32"/>
          <w:szCs w:val="28"/>
        </w:rPr>
        <w:t>乡村振兴实践基地</w:t>
      </w:r>
      <w:r>
        <w:rPr>
          <w:rFonts w:ascii="仿宋_GB2312" w:eastAsia="仿宋_GB2312" w:hAnsi="楷体"/>
          <w:bCs/>
          <w:kern w:val="0"/>
          <w:sz w:val="32"/>
          <w:szCs w:val="28"/>
        </w:rPr>
        <w:t>”</w:t>
      </w:r>
      <w:r>
        <w:rPr>
          <w:rFonts w:ascii="仿宋_GB2312" w:eastAsia="仿宋_GB2312" w:hAnsi="楷体"/>
          <w:bCs/>
          <w:kern w:val="0"/>
          <w:sz w:val="32"/>
          <w:szCs w:val="28"/>
        </w:rPr>
        <w:t>、北京师范大学</w:t>
      </w:r>
      <w:r>
        <w:rPr>
          <w:rFonts w:ascii="仿宋_GB2312" w:eastAsia="仿宋_GB2312" w:hAnsi="楷体"/>
          <w:bCs/>
          <w:kern w:val="0"/>
          <w:sz w:val="32"/>
          <w:szCs w:val="28"/>
        </w:rPr>
        <w:t>“</w:t>
      </w:r>
      <w:r>
        <w:rPr>
          <w:rFonts w:ascii="仿宋_GB2312" w:eastAsia="仿宋_GB2312" w:hAnsi="楷体"/>
          <w:bCs/>
          <w:kern w:val="0"/>
          <w:sz w:val="32"/>
          <w:szCs w:val="28"/>
        </w:rPr>
        <w:t>北京市高端智库调研基地</w:t>
      </w:r>
      <w:r>
        <w:rPr>
          <w:rFonts w:ascii="仿宋_GB2312" w:eastAsia="仿宋_GB2312" w:hAnsi="楷体"/>
          <w:bCs/>
          <w:kern w:val="0"/>
          <w:sz w:val="32"/>
          <w:szCs w:val="28"/>
        </w:rPr>
        <w:t>”</w:t>
      </w:r>
      <w:r>
        <w:rPr>
          <w:rFonts w:ascii="仿宋_GB2312" w:eastAsia="仿宋_GB2312" w:hAnsi="楷体"/>
          <w:bCs/>
          <w:kern w:val="0"/>
          <w:sz w:val="32"/>
          <w:szCs w:val="28"/>
        </w:rPr>
        <w:t>、北京观光休闲农业行业协会</w:t>
      </w:r>
      <w:r>
        <w:rPr>
          <w:rFonts w:ascii="仿宋_GB2312" w:eastAsia="仿宋_GB2312" w:hAnsi="楷体"/>
          <w:bCs/>
          <w:kern w:val="0"/>
          <w:sz w:val="32"/>
          <w:szCs w:val="28"/>
        </w:rPr>
        <w:t>“</w:t>
      </w:r>
      <w:r>
        <w:rPr>
          <w:rFonts w:ascii="仿宋_GB2312" w:eastAsia="仿宋_GB2312" w:hAnsi="楷体"/>
          <w:bCs/>
          <w:kern w:val="0"/>
          <w:sz w:val="32"/>
          <w:szCs w:val="28"/>
        </w:rPr>
        <w:t>乡村振兴工作站</w:t>
      </w:r>
      <w:r>
        <w:rPr>
          <w:rFonts w:ascii="仿宋_GB2312" w:eastAsia="仿宋_GB2312" w:hAnsi="楷体"/>
          <w:bCs/>
          <w:kern w:val="0"/>
          <w:sz w:val="32"/>
          <w:szCs w:val="28"/>
        </w:rPr>
        <w:t>”</w:t>
      </w:r>
      <w:r>
        <w:rPr>
          <w:rFonts w:ascii="仿宋_GB2312" w:eastAsia="仿宋_GB2312" w:hAnsi="楷体"/>
          <w:bCs/>
          <w:kern w:val="0"/>
          <w:sz w:val="32"/>
          <w:szCs w:val="28"/>
        </w:rPr>
        <w:t>落户密云区金叵罗村。</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（4）</w:t>
      </w:r>
      <w:r>
        <w:rPr>
          <w:rFonts w:ascii="仿宋_GB2312" w:eastAsia="仿宋_GB2312" w:hAnsi="楷体"/>
          <w:bCs/>
          <w:kern w:val="0"/>
          <w:sz w:val="32"/>
          <w:szCs w:val="28"/>
        </w:rPr>
        <w:t>完成的《新时代基本实现农业农村现代化的内涵、愿景及评价指标体系》报告，在北京林业大学《乡村振兴决策参考》刊发后，获得农业农村部党组成员、中央农办专职副主任、中央农办秘书局局长吴宏耀同志肯定性批示。</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w:t>
      </w:r>
      <w:r>
        <w:rPr>
          <w:rFonts w:ascii="仿宋_GB2312" w:eastAsia="仿宋_GB2312" w:hAnsi="楷体"/>
          <w:bCs/>
          <w:kern w:val="0"/>
          <w:sz w:val="32"/>
          <w:szCs w:val="28"/>
        </w:rPr>
        <w:t>5</w:t>
      </w:r>
      <w:r>
        <w:rPr>
          <w:rFonts w:ascii="仿宋_GB2312" w:eastAsia="仿宋_GB2312" w:hAnsi="楷体" w:hint="eastAsia"/>
          <w:bCs/>
          <w:kern w:val="0"/>
          <w:sz w:val="32"/>
          <w:szCs w:val="28"/>
        </w:rPr>
        <w:t>）</w:t>
      </w:r>
      <w:r>
        <w:rPr>
          <w:rFonts w:ascii="仿宋_GB2312" w:eastAsia="仿宋_GB2312" w:hAnsi="楷体"/>
          <w:bCs/>
          <w:kern w:val="0"/>
          <w:sz w:val="32"/>
          <w:szCs w:val="28"/>
        </w:rPr>
        <w:t>与中国农业科学院合作调研，执笔完成《成都乡村振兴全面起势</w:t>
      </w:r>
      <w:r>
        <w:rPr>
          <w:rFonts w:ascii="仿宋_GB2312" w:eastAsia="仿宋_GB2312" w:hAnsi="楷体"/>
          <w:bCs/>
          <w:kern w:val="0"/>
          <w:sz w:val="32"/>
          <w:szCs w:val="28"/>
        </w:rPr>
        <w:t>——</w:t>
      </w:r>
      <w:r>
        <w:rPr>
          <w:rFonts w:ascii="仿宋_GB2312" w:eastAsia="仿宋_GB2312" w:hAnsi="楷体"/>
          <w:bCs/>
          <w:kern w:val="0"/>
          <w:sz w:val="32"/>
          <w:szCs w:val="28"/>
        </w:rPr>
        <w:t>基于成都市8个村的典型调查》，获得农业农村部党组成员、副部长，国家乡村振兴局党组书记、局长刘焕鑫批示</w:t>
      </w:r>
      <w:r>
        <w:rPr>
          <w:rFonts w:ascii="仿宋_GB2312" w:eastAsia="仿宋_GB2312" w:hAnsi="楷体"/>
          <w:bCs/>
          <w:kern w:val="0"/>
          <w:sz w:val="32"/>
          <w:szCs w:val="28"/>
        </w:rPr>
        <w:t>“</w:t>
      </w:r>
      <w:r>
        <w:rPr>
          <w:rFonts w:ascii="仿宋_GB2312" w:eastAsia="仿宋_GB2312" w:hAnsi="楷体"/>
          <w:bCs/>
          <w:kern w:val="0"/>
          <w:sz w:val="32"/>
          <w:szCs w:val="28"/>
        </w:rPr>
        <w:t>报告很接地气，请综合司、政法司阅研</w:t>
      </w:r>
      <w:r>
        <w:rPr>
          <w:rFonts w:ascii="仿宋_GB2312" w:eastAsia="仿宋_GB2312" w:hAnsi="楷体"/>
          <w:bCs/>
          <w:kern w:val="0"/>
          <w:sz w:val="32"/>
          <w:szCs w:val="28"/>
        </w:rPr>
        <w:t>”</w:t>
      </w:r>
      <w:r>
        <w:rPr>
          <w:rFonts w:ascii="仿宋_GB2312" w:eastAsia="仿宋_GB2312" w:hAnsi="楷体"/>
          <w:bCs/>
          <w:kern w:val="0"/>
          <w:sz w:val="32"/>
          <w:szCs w:val="28"/>
        </w:rPr>
        <w:t>，获得四川省委书记彭清华批示</w:t>
      </w:r>
      <w:r>
        <w:rPr>
          <w:rFonts w:ascii="仿宋_GB2312" w:eastAsia="仿宋_GB2312" w:hAnsi="楷体"/>
          <w:bCs/>
          <w:kern w:val="0"/>
          <w:sz w:val="32"/>
          <w:szCs w:val="28"/>
        </w:rPr>
        <w:t>“</w:t>
      </w:r>
      <w:r>
        <w:rPr>
          <w:rFonts w:ascii="仿宋_GB2312" w:eastAsia="仿宋_GB2312" w:hAnsi="楷体"/>
          <w:bCs/>
          <w:kern w:val="0"/>
          <w:sz w:val="32"/>
          <w:szCs w:val="28"/>
        </w:rPr>
        <w:t>这篇调研报告内容比较实，所提建议对务实推进乡村振兴很有启示</w:t>
      </w:r>
      <w:r>
        <w:rPr>
          <w:rFonts w:ascii="仿宋_GB2312" w:eastAsia="仿宋_GB2312" w:hAnsi="楷体"/>
          <w:bCs/>
          <w:kern w:val="0"/>
          <w:sz w:val="32"/>
          <w:szCs w:val="28"/>
        </w:rPr>
        <w:t>”</w:t>
      </w:r>
      <w:r>
        <w:rPr>
          <w:rFonts w:ascii="仿宋_GB2312" w:eastAsia="仿宋_GB2312" w:hAnsi="楷体"/>
          <w:bCs/>
          <w:kern w:val="0"/>
          <w:sz w:val="32"/>
          <w:szCs w:val="28"/>
        </w:rPr>
        <w:t>。</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w:t>
      </w:r>
      <w:r>
        <w:rPr>
          <w:rFonts w:ascii="仿宋_GB2312" w:eastAsia="仿宋_GB2312" w:hAnsi="楷体"/>
          <w:bCs/>
          <w:kern w:val="0"/>
          <w:sz w:val="32"/>
          <w:szCs w:val="28"/>
        </w:rPr>
        <w:t>6</w:t>
      </w:r>
      <w:r>
        <w:rPr>
          <w:rFonts w:ascii="仿宋_GB2312" w:eastAsia="仿宋_GB2312" w:hAnsi="楷体" w:hint="eastAsia"/>
          <w:bCs/>
          <w:kern w:val="0"/>
          <w:sz w:val="32"/>
          <w:szCs w:val="28"/>
        </w:rPr>
        <w:t>）</w:t>
      </w:r>
      <w:r>
        <w:rPr>
          <w:rFonts w:ascii="仿宋_GB2312" w:eastAsia="仿宋_GB2312" w:hAnsi="楷体"/>
          <w:bCs/>
          <w:kern w:val="0"/>
          <w:sz w:val="32"/>
          <w:szCs w:val="28"/>
        </w:rPr>
        <w:t>市农研中心发表文章和调研报告</w:t>
      </w:r>
      <w:r>
        <w:rPr>
          <w:rFonts w:ascii="仿宋_GB2312" w:eastAsia="仿宋_GB2312" w:hAnsi="楷体" w:hint="eastAsia"/>
          <w:bCs/>
          <w:kern w:val="0"/>
          <w:sz w:val="32"/>
          <w:szCs w:val="28"/>
        </w:rPr>
        <w:t>，</w:t>
      </w:r>
      <w:r>
        <w:rPr>
          <w:rFonts w:ascii="仿宋_GB2312" w:eastAsia="仿宋_GB2312" w:hAnsi="楷体"/>
          <w:bCs/>
          <w:kern w:val="0"/>
          <w:sz w:val="32"/>
          <w:szCs w:val="28"/>
        </w:rPr>
        <w:t>获得国家级、省部级等领导批示9次；获得</w:t>
      </w:r>
      <w:r>
        <w:rPr>
          <w:rFonts w:ascii="仿宋_GB2312" w:eastAsia="仿宋_GB2312" w:hAnsi="楷体"/>
          <w:bCs/>
          <w:kern w:val="0"/>
          <w:sz w:val="32"/>
          <w:szCs w:val="28"/>
        </w:rPr>
        <w:t>“</w:t>
      </w:r>
      <w:r>
        <w:rPr>
          <w:rFonts w:ascii="仿宋_GB2312" w:eastAsia="仿宋_GB2312" w:hAnsi="楷体"/>
          <w:bCs/>
          <w:kern w:val="0"/>
          <w:sz w:val="32"/>
          <w:szCs w:val="28"/>
        </w:rPr>
        <w:t>费孝通田野调查奖</w:t>
      </w:r>
      <w:r>
        <w:rPr>
          <w:rFonts w:ascii="仿宋_GB2312" w:eastAsia="仿宋_GB2312" w:hAnsi="楷体"/>
          <w:bCs/>
          <w:kern w:val="0"/>
          <w:sz w:val="32"/>
          <w:szCs w:val="28"/>
        </w:rPr>
        <w:t>”</w:t>
      </w:r>
      <w:r>
        <w:rPr>
          <w:rFonts w:ascii="仿宋_GB2312" w:eastAsia="仿宋_GB2312" w:hAnsi="楷体"/>
          <w:bCs/>
          <w:kern w:val="0"/>
          <w:sz w:val="32"/>
          <w:szCs w:val="28"/>
        </w:rPr>
        <w:t>等奖项3项</w:t>
      </w:r>
      <w:r>
        <w:rPr>
          <w:rFonts w:ascii="仿宋_GB2312" w:eastAsia="仿宋_GB2312" w:hAnsi="楷体" w:hint="eastAsia"/>
          <w:bCs/>
          <w:kern w:val="0"/>
          <w:sz w:val="32"/>
          <w:szCs w:val="28"/>
        </w:rPr>
        <w:t>。</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3.产出</w:t>
      </w:r>
      <w:r>
        <w:rPr>
          <w:rFonts w:ascii="仿宋_GB2312" w:eastAsia="仿宋_GB2312" w:hAnsi="楷体"/>
          <w:bCs/>
          <w:kern w:val="0"/>
          <w:sz w:val="32"/>
          <w:szCs w:val="28"/>
        </w:rPr>
        <w:t>进度</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lastRenderedPageBreak/>
        <w:t>市农研中心工作贯穿全年，按照年初预算批复及年中追加调整，2021年完成了各项工作。</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4.产出成本</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市农研中心，2021年全年</w:t>
      </w:r>
      <w:r w:rsidR="00EA760E">
        <w:rPr>
          <w:rFonts w:ascii="仿宋_GB2312" w:eastAsia="仿宋_GB2312" w:hAnsi="楷体" w:hint="eastAsia"/>
          <w:bCs/>
          <w:kern w:val="0"/>
          <w:sz w:val="32"/>
          <w:szCs w:val="28"/>
        </w:rPr>
        <w:t>总收入</w:t>
      </w:r>
      <w:r>
        <w:rPr>
          <w:rFonts w:ascii="仿宋_GB2312" w:eastAsia="仿宋_GB2312" w:hAnsi="楷体" w:hint="eastAsia"/>
          <w:bCs/>
          <w:kern w:val="0"/>
          <w:sz w:val="32"/>
          <w:szCs w:val="28"/>
        </w:rPr>
        <w:t>7,924.57万元，实际支出7,191.10万元，其中，基本支出4,509.34万元，项目支出2,681.76万元。部门整体支出控制在预算批复内。</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（二）效果实现情况分析</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1.社会效益</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w:t>
      </w:r>
      <w:r>
        <w:rPr>
          <w:rFonts w:ascii="仿宋_GB2312" w:eastAsia="仿宋_GB2312" w:hAnsi="楷体"/>
          <w:bCs/>
          <w:kern w:val="0"/>
          <w:sz w:val="32"/>
          <w:szCs w:val="28"/>
        </w:rPr>
        <w:t>中心发挥自身优势，开展《中国共产党北京郊区农村简明党史》研究，用马克思主义唯物史观全面梳理百年京郊农村党史演进进程，为委局系统党史学习教育提供支撑；中心与社会科学文献出版社共同发布的</w:t>
      </w:r>
      <w:r>
        <w:rPr>
          <w:rFonts w:ascii="仿宋_GB2312" w:eastAsia="仿宋_GB2312" w:hAnsi="楷体"/>
          <w:bCs/>
          <w:kern w:val="0"/>
          <w:sz w:val="32"/>
          <w:szCs w:val="28"/>
        </w:rPr>
        <w:t>“</w:t>
      </w:r>
      <w:r>
        <w:rPr>
          <w:rFonts w:ascii="仿宋_GB2312" w:eastAsia="仿宋_GB2312" w:hAnsi="楷体"/>
          <w:bCs/>
          <w:kern w:val="0"/>
          <w:sz w:val="32"/>
          <w:szCs w:val="28"/>
        </w:rPr>
        <w:t>集体经济蓝皮书</w:t>
      </w:r>
      <w:r>
        <w:rPr>
          <w:rFonts w:ascii="仿宋_GB2312" w:eastAsia="仿宋_GB2312" w:hAnsi="楷体"/>
          <w:bCs/>
          <w:kern w:val="0"/>
          <w:sz w:val="32"/>
          <w:szCs w:val="28"/>
        </w:rPr>
        <w:t>”</w:t>
      </w:r>
      <w:r>
        <w:rPr>
          <w:rFonts w:ascii="仿宋_GB2312" w:eastAsia="仿宋_GB2312" w:hAnsi="楷体"/>
          <w:bCs/>
          <w:kern w:val="0"/>
          <w:sz w:val="32"/>
          <w:szCs w:val="28"/>
        </w:rPr>
        <w:t>《中国农村集体经济发展报告2021》，聚焦了</w:t>
      </w:r>
      <w:r>
        <w:rPr>
          <w:rFonts w:ascii="仿宋_GB2312" w:eastAsia="仿宋_GB2312" w:hAnsi="楷体"/>
          <w:bCs/>
          <w:kern w:val="0"/>
          <w:sz w:val="32"/>
          <w:szCs w:val="28"/>
        </w:rPr>
        <w:t>“</w:t>
      </w:r>
      <w:r>
        <w:rPr>
          <w:rFonts w:ascii="仿宋_GB2312" w:eastAsia="仿宋_GB2312" w:hAnsi="楷体"/>
          <w:bCs/>
          <w:kern w:val="0"/>
          <w:sz w:val="32"/>
          <w:szCs w:val="28"/>
        </w:rPr>
        <w:t>党建引领新型集体经济治理现代化</w:t>
      </w:r>
      <w:r>
        <w:rPr>
          <w:rFonts w:ascii="仿宋_GB2312" w:eastAsia="仿宋_GB2312" w:hAnsi="楷体"/>
          <w:bCs/>
          <w:kern w:val="0"/>
          <w:sz w:val="32"/>
          <w:szCs w:val="28"/>
        </w:rPr>
        <w:t>”</w:t>
      </w:r>
      <w:r>
        <w:rPr>
          <w:rFonts w:ascii="仿宋_GB2312" w:eastAsia="仿宋_GB2312" w:hAnsi="楷体"/>
          <w:bCs/>
          <w:kern w:val="0"/>
          <w:sz w:val="32"/>
          <w:szCs w:val="28"/>
        </w:rPr>
        <w:t>，学习强国重要媒体给予宣传报道。全体党员干部思想升华、斗志昂扬，凝聚起扎实开展首都</w:t>
      </w:r>
      <w:r>
        <w:rPr>
          <w:rFonts w:ascii="仿宋_GB2312" w:eastAsia="仿宋_GB2312" w:hAnsi="楷体"/>
          <w:bCs/>
          <w:kern w:val="0"/>
          <w:sz w:val="32"/>
          <w:szCs w:val="28"/>
        </w:rPr>
        <w:t>“</w:t>
      </w:r>
      <w:r>
        <w:rPr>
          <w:rFonts w:ascii="仿宋_GB2312" w:eastAsia="仿宋_GB2312" w:hAnsi="楷体"/>
          <w:bCs/>
          <w:kern w:val="0"/>
          <w:sz w:val="32"/>
          <w:szCs w:val="28"/>
        </w:rPr>
        <w:t>三农</w:t>
      </w:r>
      <w:r>
        <w:rPr>
          <w:rFonts w:ascii="仿宋_GB2312" w:eastAsia="仿宋_GB2312" w:hAnsi="楷体"/>
          <w:bCs/>
          <w:kern w:val="0"/>
          <w:sz w:val="32"/>
          <w:szCs w:val="28"/>
        </w:rPr>
        <w:t>”</w:t>
      </w:r>
      <w:r>
        <w:rPr>
          <w:rFonts w:ascii="仿宋_GB2312" w:eastAsia="仿宋_GB2312" w:hAnsi="楷体"/>
          <w:bCs/>
          <w:kern w:val="0"/>
          <w:sz w:val="32"/>
          <w:szCs w:val="28"/>
        </w:rPr>
        <w:t>调查研究工作的思想共识和精神力量，党史学习教育成果转化为推动全体党员干部奋进新征程、建功新时代的强大动力。</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w:t>
      </w:r>
      <w:r>
        <w:rPr>
          <w:rFonts w:ascii="仿宋_GB2312" w:eastAsia="仿宋_GB2312" w:hAnsi="楷体"/>
          <w:bCs/>
          <w:kern w:val="0"/>
          <w:sz w:val="32"/>
          <w:szCs w:val="28"/>
        </w:rPr>
        <w:t>与委局宣传与文化处合作撰写的《北京市顺义区马坡镇石家营村经验》案例，收录于农业农村部农研中心《乡村振兴实践案例选编》，编入中组部</w:t>
      </w:r>
      <w:r>
        <w:rPr>
          <w:rFonts w:ascii="仿宋_GB2312" w:eastAsia="仿宋_GB2312" w:hAnsi="楷体"/>
          <w:bCs/>
          <w:kern w:val="0"/>
          <w:sz w:val="32"/>
          <w:szCs w:val="28"/>
        </w:rPr>
        <w:t>“</w:t>
      </w:r>
      <w:r>
        <w:rPr>
          <w:rFonts w:ascii="仿宋_GB2312" w:eastAsia="仿宋_GB2312" w:hAnsi="楷体"/>
          <w:bCs/>
          <w:kern w:val="0"/>
          <w:sz w:val="32"/>
          <w:szCs w:val="28"/>
        </w:rPr>
        <w:t>农村基层干部乡村振兴主体培训计划</w:t>
      </w:r>
      <w:r>
        <w:rPr>
          <w:rFonts w:ascii="仿宋_GB2312" w:eastAsia="仿宋_GB2312" w:hAnsi="楷体"/>
          <w:bCs/>
          <w:kern w:val="0"/>
          <w:sz w:val="32"/>
          <w:szCs w:val="28"/>
        </w:rPr>
        <w:t>”</w:t>
      </w:r>
      <w:r>
        <w:rPr>
          <w:rFonts w:ascii="仿宋_GB2312" w:eastAsia="仿宋_GB2312" w:hAnsi="楷体"/>
          <w:bCs/>
          <w:kern w:val="0"/>
          <w:sz w:val="32"/>
          <w:szCs w:val="28"/>
        </w:rPr>
        <w:t>的</w:t>
      </w:r>
      <w:r>
        <w:rPr>
          <w:rFonts w:ascii="仿宋_GB2312" w:eastAsia="仿宋_GB2312" w:hAnsi="楷体"/>
          <w:bCs/>
          <w:kern w:val="0"/>
          <w:sz w:val="32"/>
          <w:szCs w:val="28"/>
        </w:rPr>
        <w:lastRenderedPageBreak/>
        <w:t>系列教材。</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2.可持续</w:t>
      </w:r>
      <w:r>
        <w:rPr>
          <w:rFonts w:ascii="仿宋_GB2312" w:eastAsia="仿宋_GB2312" w:hAnsi="楷体"/>
          <w:bCs/>
          <w:kern w:val="0"/>
          <w:sz w:val="32"/>
          <w:szCs w:val="28"/>
        </w:rPr>
        <w:t>性影响</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w:t>
      </w:r>
      <w:r>
        <w:rPr>
          <w:rFonts w:ascii="仿宋_GB2312" w:eastAsia="仿宋_GB2312" w:hAnsi="楷体"/>
          <w:bCs/>
          <w:kern w:val="0"/>
          <w:sz w:val="32"/>
          <w:szCs w:val="28"/>
        </w:rPr>
        <w:t>与委局发展规划处合作完成</w:t>
      </w:r>
      <w:r>
        <w:rPr>
          <w:rFonts w:ascii="仿宋_GB2312" w:eastAsia="仿宋_GB2312" w:hAnsi="楷体" w:hint="eastAsia"/>
          <w:bCs/>
          <w:kern w:val="0"/>
          <w:sz w:val="32"/>
          <w:szCs w:val="28"/>
        </w:rPr>
        <w:t>了</w:t>
      </w:r>
      <w:r>
        <w:rPr>
          <w:rFonts w:ascii="仿宋_GB2312" w:eastAsia="仿宋_GB2312" w:hAnsi="楷体"/>
          <w:bCs/>
          <w:kern w:val="0"/>
          <w:sz w:val="32"/>
          <w:szCs w:val="28"/>
        </w:rPr>
        <w:t>《北京市</w:t>
      </w:r>
      <w:r>
        <w:rPr>
          <w:rFonts w:ascii="仿宋_GB2312" w:eastAsia="仿宋_GB2312" w:hAnsi="楷体"/>
          <w:bCs/>
          <w:kern w:val="0"/>
          <w:sz w:val="32"/>
          <w:szCs w:val="28"/>
        </w:rPr>
        <w:t>“</w:t>
      </w:r>
      <w:r>
        <w:rPr>
          <w:rFonts w:ascii="仿宋_GB2312" w:eastAsia="仿宋_GB2312" w:hAnsi="楷体"/>
          <w:bCs/>
          <w:kern w:val="0"/>
          <w:sz w:val="32"/>
          <w:szCs w:val="28"/>
        </w:rPr>
        <w:t>十四五</w:t>
      </w:r>
      <w:r>
        <w:rPr>
          <w:rFonts w:ascii="仿宋_GB2312" w:eastAsia="仿宋_GB2312" w:hAnsi="楷体"/>
          <w:bCs/>
          <w:kern w:val="0"/>
          <w:sz w:val="32"/>
          <w:szCs w:val="28"/>
        </w:rPr>
        <w:t>”</w:t>
      </w:r>
      <w:r>
        <w:rPr>
          <w:rFonts w:ascii="仿宋_GB2312" w:eastAsia="仿宋_GB2312" w:hAnsi="楷体"/>
          <w:bCs/>
          <w:kern w:val="0"/>
          <w:sz w:val="32"/>
          <w:szCs w:val="28"/>
        </w:rPr>
        <w:t>时期乡村振兴战略实施规划》</w:t>
      </w:r>
      <w:r>
        <w:rPr>
          <w:rFonts w:ascii="仿宋_GB2312" w:eastAsia="仿宋_GB2312" w:hAnsi="楷体" w:hint="eastAsia"/>
          <w:bCs/>
          <w:kern w:val="0"/>
          <w:sz w:val="32"/>
          <w:szCs w:val="28"/>
        </w:rPr>
        <w:t>，</w:t>
      </w:r>
      <w:r>
        <w:rPr>
          <w:rFonts w:ascii="仿宋_GB2312" w:eastAsia="仿宋_GB2312" w:hAnsi="楷体"/>
          <w:bCs/>
          <w:kern w:val="0"/>
          <w:sz w:val="32"/>
          <w:szCs w:val="28"/>
        </w:rPr>
        <w:t>参与编制</w:t>
      </w:r>
      <w:r>
        <w:rPr>
          <w:rFonts w:ascii="仿宋_GB2312" w:eastAsia="仿宋_GB2312" w:hAnsi="楷体" w:hint="eastAsia"/>
          <w:bCs/>
          <w:kern w:val="0"/>
          <w:sz w:val="32"/>
          <w:szCs w:val="28"/>
        </w:rPr>
        <w:t>了</w:t>
      </w:r>
      <w:r>
        <w:rPr>
          <w:rFonts w:ascii="仿宋_GB2312" w:eastAsia="仿宋_GB2312" w:hAnsi="楷体"/>
          <w:bCs/>
          <w:kern w:val="0"/>
          <w:sz w:val="32"/>
          <w:szCs w:val="28"/>
        </w:rPr>
        <w:t>《北京市高标准农田建设十年规划》</w:t>
      </w:r>
      <w:r>
        <w:rPr>
          <w:rFonts w:ascii="仿宋_GB2312" w:eastAsia="仿宋_GB2312" w:hAnsi="楷体" w:hint="eastAsia"/>
          <w:bCs/>
          <w:kern w:val="0"/>
          <w:sz w:val="32"/>
          <w:szCs w:val="28"/>
        </w:rPr>
        <w:t>，为中长期规划工作提供思路和发展目标。</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w:t>
      </w:r>
      <w:r>
        <w:rPr>
          <w:rFonts w:ascii="仿宋_GB2312" w:eastAsia="仿宋_GB2312" w:hAnsi="楷体"/>
          <w:bCs/>
          <w:kern w:val="0"/>
          <w:sz w:val="32"/>
          <w:szCs w:val="28"/>
        </w:rPr>
        <w:t>搭建在京</w:t>
      </w:r>
      <w:r>
        <w:rPr>
          <w:rFonts w:ascii="仿宋_GB2312" w:eastAsia="仿宋_GB2312" w:hAnsi="楷体"/>
          <w:bCs/>
          <w:kern w:val="0"/>
          <w:sz w:val="32"/>
          <w:szCs w:val="28"/>
        </w:rPr>
        <w:t>“</w:t>
      </w:r>
      <w:r>
        <w:rPr>
          <w:rFonts w:ascii="仿宋_GB2312" w:eastAsia="仿宋_GB2312" w:hAnsi="楷体"/>
          <w:bCs/>
          <w:kern w:val="0"/>
          <w:sz w:val="32"/>
          <w:szCs w:val="28"/>
        </w:rPr>
        <w:t>三农</w:t>
      </w:r>
      <w:r>
        <w:rPr>
          <w:rFonts w:ascii="仿宋_GB2312" w:eastAsia="仿宋_GB2312" w:hAnsi="楷体"/>
          <w:bCs/>
          <w:kern w:val="0"/>
          <w:sz w:val="32"/>
          <w:szCs w:val="28"/>
        </w:rPr>
        <w:t>”</w:t>
      </w:r>
      <w:r>
        <w:rPr>
          <w:rFonts w:ascii="仿宋_GB2312" w:eastAsia="仿宋_GB2312" w:hAnsi="楷体"/>
          <w:bCs/>
          <w:kern w:val="0"/>
          <w:sz w:val="32"/>
          <w:szCs w:val="28"/>
        </w:rPr>
        <w:t>专家平台，强化合作研究与学术交流，实现了调查研究与学术交流的良性循环。鼓励中心调研人员广泛参加中国农村发展高层论坛（2021）等各种学术交流活动，拓展学术视野，提高研究工作的影响力。</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w:t>
      </w:r>
      <w:r>
        <w:rPr>
          <w:rFonts w:ascii="仿宋_GB2312" w:eastAsia="仿宋_GB2312" w:hAnsi="楷体"/>
          <w:bCs/>
          <w:kern w:val="0"/>
          <w:sz w:val="32"/>
          <w:szCs w:val="28"/>
        </w:rPr>
        <w:t>3</w:t>
      </w:r>
      <w:r>
        <w:rPr>
          <w:rFonts w:ascii="仿宋_GB2312" w:eastAsia="仿宋_GB2312" w:hAnsi="楷体" w:hint="eastAsia"/>
          <w:bCs/>
          <w:kern w:val="0"/>
          <w:sz w:val="32"/>
          <w:szCs w:val="28"/>
        </w:rPr>
        <w:t>）</w:t>
      </w:r>
      <w:r>
        <w:rPr>
          <w:rFonts w:ascii="仿宋_GB2312" w:eastAsia="仿宋_GB2312" w:hAnsi="楷体"/>
          <w:bCs/>
          <w:kern w:val="0"/>
          <w:sz w:val="32"/>
          <w:szCs w:val="28"/>
        </w:rPr>
        <w:t>与市城乡办合作开展《绿隔地区基本农田保护利用研究》。积极服务农村基层需要，与海淀区农业农村局合作，开展海淀区农村城市化问题研究，成果在《改革内参》刊发，引起市人大、市政协高度重视，为首都涉农立法工作、促进城乡融合发展发挥参谋作用。</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w:t>
      </w:r>
      <w:r>
        <w:rPr>
          <w:rFonts w:ascii="仿宋_GB2312" w:eastAsia="仿宋_GB2312" w:hAnsi="楷体"/>
          <w:bCs/>
          <w:kern w:val="0"/>
          <w:sz w:val="32"/>
          <w:szCs w:val="28"/>
        </w:rPr>
        <w:t>4</w:t>
      </w:r>
      <w:r>
        <w:rPr>
          <w:rFonts w:ascii="仿宋_GB2312" w:eastAsia="仿宋_GB2312" w:hAnsi="楷体" w:hint="eastAsia"/>
          <w:bCs/>
          <w:kern w:val="0"/>
          <w:sz w:val="32"/>
          <w:szCs w:val="28"/>
        </w:rPr>
        <w:t>）</w:t>
      </w:r>
      <w:r>
        <w:rPr>
          <w:rFonts w:ascii="仿宋_GB2312" w:eastAsia="仿宋_GB2312" w:hAnsi="楷体"/>
          <w:bCs/>
          <w:kern w:val="0"/>
          <w:sz w:val="32"/>
          <w:szCs w:val="28"/>
        </w:rPr>
        <w:t>加强调研管理制度化、规范化、程序化、精细化水平，进一步完善农研智库管理体系、制度体系和成果体系。</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3.服务对象</w:t>
      </w:r>
      <w:r>
        <w:rPr>
          <w:rFonts w:ascii="仿宋_GB2312" w:eastAsia="仿宋_GB2312" w:hAnsi="楷体"/>
          <w:bCs/>
          <w:kern w:val="0"/>
          <w:sz w:val="32"/>
          <w:szCs w:val="28"/>
        </w:rPr>
        <w:t>满意度</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服务对象满意度达到80</w:t>
      </w:r>
      <w:r>
        <w:rPr>
          <w:rFonts w:ascii="仿宋_GB2312" w:eastAsia="仿宋_GB2312" w:hAnsi="楷体"/>
          <w:bCs/>
          <w:kern w:val="0"/>
          <w:sz w:val="32"/>
          <w:szCs w:val="28"/>
        </w:rPr>
        <w:t>%</w:t>
      </w:r>
      <w:r>
        <w:rPr>
          <w:rFonts w:ascii="仿宋_GB2312" w:eastAsia="仿宋_GB2312" w:hAnsi="楷体" w:hint="eastAsia"/>
          <w:bCs/>
          <w:kern w:val="0"/>
          <w:sz w:val="32"/>
          <w:szCs w:val="28"/>
        </w:rPr>
        <w:t>以上。</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（一）财务管理</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1.财务</w:t>
      </w:r>
      <w:r>
        <w:rPr>
          <w:rFonts w:ascii="仿宋_GB2312" w:eastAsia="仿宋_GB2312" w:hAnsi="楷体"/>
          <w:bCs/>
          <w:kern w:val="0"/>
          <w:sz w:val="32"/>
          <w:szCs w:val="28"/>
        </w:rPr>
        <w:t>管理制度健全性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市农研中心落实内部控制规范要求，制定了《北京市农村经济研究中心内部控制手册》，已建立《北京市农村经济研究中心财务管理办法》《北京市农村经济研究中心预算管理办法》《北京市农村经济研究中心经费资金支付管理办法》《北京市农村经济研究中心采购工作管理办法》《北京市农村经济研究中心固定资产使用管理办法》《北京市农村经济研究中心货币资金管理办法》《北京市农村经济研究中心合同管理办法》等相关管理制度，对预算业务、收支业务、政府采购业务、固定资产管理业务、合同业务等财务管理进行了规范，部门财务管理制度较健全，各项规定合法、合规，具有一定可操作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2.资金使用合规性</w:t>
      </w:r>
      <w:r>
        <w:rPr>
          <w:rFonts w:ascii="仿宋_GB2312" w:eastAsia="仿宋_GB2312" w:hAnsi="楷体"/>
          <w:bCs/>
          <w:kern w:val="0"/>
          <w:sz w:val="32"/>
          <w:szCs w:val="28"/>
        </w:rPr>
        <w:t>和安全性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2021年，市农研中心在预算编制阶段，认真落实财政部门预算编制要求，加强项目预算评审，合理测算预算需求，提高了预算编制的准确性。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经费支出控制在预算批复范围内，各项支出审批严格履行内部审批程序，资金使用符合国家财经</w:t>
      </w:r>
      <w:r>
        <w:rPr>
          <w:rFonts w:ascii="仿宋_GB2312" w:eastAsia="仿宋_GB2312" w:hAnsi="楷体" w:hint="eastAsia"/>
          <w:bCs/>
          <w:kern w:val="0"/>
          <w:sz w:val="32"/>
          <w:szCs w:val="28"/>
        </w:rPr>
        <w:lastRenderedPageBreak/>
        <w:t>法规和财务管理规定，资金管理安全。市农研中心资金支出按照内部管理制度执行，未发现资金有超范围、超标准支出的情况，资金审批手续规范。</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bCs/>
          <w:kern w:val="0"/>
          <w:sz w:val="32"/>
          <w:szCs w:val="28"/>
        </w:rPr>
        <w:t>3.</w:t>
      </w:r>
      <w:r>
        <w:rPr>
          <w:rFonts w:ascii="仿宋_GB2312" w:eastAsia="仿宋_GB2312" w:hAnsi="楷体" w:hint="eastAsia"/>
          <w:bCs/>
          <w:kern w:val="0"/>
          <w:sz w:val="32"/>
          <w:szCs w:val="28"/>
        </w:rPr>
        <w:t>会计</w:t>
      </w:r>
      <w:r>
        <w:rPr>
          <w:rFonts w:ascii="仿宋_GB2312" w:eastAsia="仿宋_GB2312" w:hAnsi="楷体"/>
          <w:bCs/>
          <w:kern w:val="0"/>
          <w:sz w:val="32"/>
          <w:szCs w:val="28"/>
        </w:rPr>
        <w:t>基础信息完善性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宋体" w:cs="宋体" w:hint="eastAsia"/>
          <w:color w:val="000000"/>
          <w:kern w:val="0"/>
          <w:sz w:val="32"/>
          <w:szCs w:val="32"/>
        </w:rPr>
        <w:t>根据政府会计改革要求，实施新政府会计准则制度。严格按照《财政部关于贯彻实施政府会计准则制度的通知》</w:t>
      </w:r>
      <w:r>
        <w:rPr>
          <w:rFonts w:ascii="仿宋_GB2312" w:eastAsia="仿宋_GB2312" w:hAnsi="楷体" w:hint="eastAsia"/>
          <w:bCs/>
          <w:kern w:val="0"/>
          <w:sz w:val="32"/>
          <w:szCs w:val="28"/>
        </w:rPr>
        <w:t>和市级财政部门的相关要求开展会计工作，在财务管理、业务流程和会计核算方面有效实施。通过固定资产台账、重点项目支出会计凭证及会计账簿、财务报告等基础信息，市农研中心会计基础数据信息和会计信息资料真实、完整、准确，会计基础信息和会计信息管理工作较为规范。</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（二）资产管理</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w:t>
      </w:r>
      <w:r>
        <w:rPr>
          <w:rFonts w:ascii="仿宋_GB2312" w:eastAsia="仿宋_GB2312" w:hAnsi="楷体"/>
          <w:bCs/>
          <w:kern w:val="0"/>
          <w:sz w:val="32"/>
          <w:szCs w:val="28"/>
        </w:rPr>
        <w:t>.</w:t>
      </w:r>
      <w:r>
        <w:rPr>
          <w:rFonts w:ascii="仿宋_GB2312" w:eastAsia="仿宋_GB2312" w:hAnsi="楷体" w:hint="eastAsia"/>
          <w:bCs/>
          <w:kern w:val="0"/>
          <w:sz w:val="32"/>
          <w:szCs w:val="28"/>
        </w:rPr>
        <w:t>资产总体情况</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截至2021年12月31日，市农研中心资产总额7,090.87万元，其中：货币资金340.78万元，固定资产978.12万元（房屋及建筑物543.54万元，通用设备343.37万元，专用设备6.61万元，文物和陈列品35</w:t>
      </w:r>
      <w:r>
        <w:rPr>
          <w:rFonts w:ascii="仿宋_GB2312" w:eastAsia="仿宋_GB2312" w:hAnsi="楷体"/>
          <w:bCs/>
          <w:kern w:val="0"/>
          <w:sz w:val="32"/>
          <w:szCs w:val="28"/>
        </w:rPr>
        <w:t>.00</w:t>
      </w:r>
      <w:r>
        <w:rPr>
          <w:rFonts w:ascii="仿宋_GB2312" w:eastAsia="仿宋_GB2312" w:hAnsi="楷体" w:hint="eastAsia"/>
          <w:bCs/>
          <w:kern w:val="0"/>
          <w:sz w:val="32"/>
          <w:szCs w:val="28"/>
        </w:rPr>
        <w:t>万元，家具、用具、装具及动植物49.60万元）,财政应返还额度714.32万元，其他应收款469.34万元，在建工程2,112.61万元,无形资产2,475.70万元。</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w:t>
      </w:r>
      <w:r>
        <w:rPr>
          <w:rFonts w:ascii="仿宋_GB2312" w:eastAsia="仿宋_GB2312" w:hAnsi="楷体"/>
          <w:bCs/>
          <w:kern w:val="0"/>
          <w:sz w:val="32"/>
          <w:szCs w:val="28"/>
        </w:rPr>
        <w:t>.</w:t>
      </w:r>
      <w:r>
        <w:rPr>
          <w:rFonts w:ascii="仿宋_GB2312" w:eastAsia="仿宋_GB2312" w:hAnsi="楷体" w:hint="eastAsia"/>
          <w:bCs/>
          <w:kern w:val="0"/>
          <w:sz w:val="32"/>
          <w:szCs w:val="28"/>
        </w:rPr>
        <w:t>资产管理制度及过程管理情况</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lastRenderedPageBreak/>
        <w:t>市农研中心制定了《北京市农村经济研究中心固定资产管理办法》，明确了固定资产使用、管理职责、固定资产的处置、清查盘点、信息管理与报告等内容。固定资产的购置、配置、领用、转移、调拨和处置等环节，严格执行国家有关国有资产管理的规定。市农研中心固定资产购置由办公室实行归口管理，统一组织实施采购、验收。根据查阅固定资产台账，市农研中心固定资产台账中资产名称、入账日期、资产价值、存放部门等资产相关信息记录完整，各项资产账账相符。</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（三）绩效</w:t>
      </w:r>
      <w:r>
        <w:rPr>
          <w:rFonts w:ascii="楷体" w:eastAsia="楷体" w:hAnsi="楷体"/>
          <w:sz w:val="32"/>
          <w:szCs w:val="32"/>
        </w:rPr>
        <w:t>管理</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市农研中心根据市财政局关于“预算编制有目标、预算执行有监控、预算完成有评价、评价结果有反馈、反馈结果有应用”的预算绩效管理要求，不断推进全面预算绩效管理工作，由全过程绩效管理领导小组统筹领导预算绩效目标填报、预算绩效监控、预算绩效评价等工作。</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按照北京市财政局《关于开展2021年市级部门预算绩效运行监控管理工作的通知》（京财绩效〔2021〕1282号）和市财政全面预算绩效管理要求，市农研中心对2021年度预算项目开展预算绩效监控工作，从预算资金执行、预算管理以及绩效目标完成等情况进行分析，加强了预算绩效运行监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按照《北京市财政局关于开展202</w:t>
      </w:r>
      <w:r>
        <w:rPr>
          <w:rFonts w:ascii="仿宋_GB2312" w:eastAsia="仿宋_GB2312" w:hAnsi="楷体"/>
          <w:bCs/>
          <w:kern w:val="0"/>
          <w:sz w:val="32"/>
          <w:szCs w:val="28"/>
        </w:rPr>
        <w:t>2</w:t>
      </w:r>
      <w:r>
        <w:rPr>
          <w:rFonts w:ascii="仿宋_GB2312" w:eastAsia="仿宋_GB2312" w:hAnsi="楷体" w:hint="eastAsia"/>
          <w:bCs/>
          <w:kern w:val="0"/>
          <w:sz w:val="32"/>
          <w:szCs w:val="28"/>
        </w:rPr>
        <w:t>年全面预算绩效管理工作的通知》（京财绩效〔202</w:t>
      </w:r>
      <w:r>
        <w:rPr>
          <w:rFonts w:ascii="仿宋_GB2312" w:eastAsia="仿宋_GB2312" w:hAnsi="楷体"/>
          <w:bCs/>
          <w:kern w:val="0"/>
          <w:sz w:val="32"/>
          <w:szCs w:val="28"/>
        </w:rPr>
        <w:t>2</w:t>
      </w:r>
      <w:r>
        <w:rPr>
          <w:rFonts w:ascii="仿宋_GB2312" w:eastAsia="仿宋_GB2312" w:hAnsi="楷体" w:hint="eastAsia"/>
          <w:bCs/>
          <w:kern w:val="0"/>
          <w:sz w:val="32"/>
          <w:szCs w:val="28"/>
        </w:rPr>
        <w:t>〕</w:t>
      </w:r>
      <w:r>
        <w:rPr>
          <w:rFonts w:ascii="仿宋_GB2312" w:eastAsia="仿宋_GB2312" w:hAnsi="楷体"/>
          <w:bCs/>
          <w:kern w:val="0"/>
          <w:sz w:val="32"/>
          <w:szCs w:val="28"/>
        </w:rPr>
        <w:t>669</w:t>
      </w:r>
      <w:r>
        <w:rPr>
          <w:rFonts w:ascii="仿宋_GB2312" w:eastAsia="仿宋_GB2312" w:hAnsi="楷体" w:hint="eastAsia"/>
          <w:bCs/>
          <w:kern w:val="0"/>
          <w:sz w:val="32"/>
          <w:szCs w:val="28"/>
        </w:rPr>
        <w:t>号），市农研中心对7个部门预算项目采用单位自评方式开展绩效评价，填写项目支出绩效自评表；</w:t>
      </w:r>
      <w:r>
        <w:rPr>
          <w:rFonts w:ascii="仿宋_GB2312" w:eastAsia="仿宋_GB2312" w:hAnsi="楷体" w:hint="eastAsia"/>
          <w:bCs/>
          <w:kern w:val="0"/>
          <w:sz w:val="32"/>
          <w:szCs w:val="28"/>
        </w:rPr>
        <w:lastRenderedPageBreak/>
        <w:t>对3个项目开展部门评价，出具绩效评价报告。从总体评价结果来看，各项目能够较好地按照预算编制要求完成，绩效目标设定较为合理，各项目标及指标的完成情况较好，项目执行过程比较规范，项目效果基本达到预定目标。</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（四）结转结余率</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市农研中心2</w:t>
      </w:r>
      <w:r>
        <w:rPr>
          <w:rFonts w:ascii="仿宋_GB2312" w:eastAsia="仿宋_GB2312" w:hAnsi="楷体"/>
          <w:bCs/>
          <w:kern w:val="0"/>
          <w:sz w:val="32"/>
          <w:szCs w:val="28"/>
        </w:rPr>
        <w:t>021</w:t>
      </w:r>
      <w:r>
        <w:rPr>
          <w:rFonts w:ascii="仿宋_GB2312" w:eastAsia="仿宋_GB2312" w:hAnsi="楷体" w:hint="eastAsia"/>
          <w:bCs/>
          <w:kern w:val="0"/>
          <w:sz w:val="32"/>
          <w:szCs w:val="28"/>
        </w:rPr>
        <w:t>年末结转结余733.46万元，全年支出7,</w:t>
      </w:r>
      <w:r w:rsidR="00E01427">
        <w:rPr>
          <w:rFonts w:ascii="仿宋_GB2312" w:eastAsia="仿宋_GB2312" w:hAnsi="楷体"/>
          <w:bCs/>
          <w:kern w:val="0"/>
          <w:sz w:val="32"/>
          <w:szCs w:val="28"/>
        </w:rPr>
        <w:t>191</w:t>
      </w:r>
      <w:r>
        <w:rPr>
          <w:rFonts w:ascii="仿宋_GB2312" w:eastAsia="仿宋_GB2312" w:hAnsi="楷体" w:hint="eastAsia"/>
          <w:bCs/>
          <w:kern w:val="0"/>
          <w:sz w:val="32"/>
          <w:szCs w:val="28"/>
        </w:rPr>
        <w:t>.</w:t>
      </w:r>
      <w:r w:rsidR="00E01427">
        <w:rPr>
          <w:rFonts w:ascii="仿宋_GB2312" w:eastAsia="仿宋_GB2312" w:hAnsi="楷体"/>
          <w:bCs/>
          <w:kern w:val="0"/>
          <w:sz w:val="32"/>
          <w:szCs w:val="28"/>
        </w:rPr>
        <w:t>1</w:t>
      </w:r>
      <w:r>
        <w:rPr>
          <w:rFonts w:ascii="仿宋_GB2312" w:eastAsia="仿宋_GB2312" w:hAnsi="楷体" w:hint="eastAsia"/>
          <w:bCs/>
          <w:kern w:val="0"/>
          <w:sz w:val="32"/>
          <w:szCs w:val="28"/>
        </w:rPr>
        <w:t>万元，结转结余率为</w:t>
      </w:r>
      <w:r w:rsidR="00E01427">
        <w:rPr>
          <w:rFonts w:ascii="仿宋_GB2312" w:eastAsia="仿宋_GB2312" w:hAnsi="楷体"/>
          <w:bCs/>
          <w:kern w:val="0"/>
          <w:sz w:val="32"/>
          <w:szCs w:val="28"/>
        </w:rPr>
        <w:t>10</w:t>
      </w:r>
      <w:r>
        <w:rPr>
          <w:rFonts w:ascii="仿宋_GB2312" w:eastAsia="仿宋_GB2312" w:hAnsi="楷体" w:hint="eastAsia"/>
          <w:bCs/>
          <w:kern w:val="0"/>
          <w:sz w:val="32"/>
          <w:szCs w:val="28"/>
        </w:rPr>
        <w:t>.2</w:t>
      </w:r>
      <w:r>
        <w:rPr>
          <w:rFonts w:ascii="仿宋_GB2312" w:eastAsia="仿宋_GB2312" w:hAnsi="楷体"/>
          <w:bCs/>
          <w:kern w:val="0"/>
          <w:sz w:val="32"/>
          <w:szCs w:val="28"/>
        </w:rPr>
        <w:t>%</w:t>
      </w:r>
      <w:r>
        <w:rPr>
          <w:rFonts w:ascii="仿宋_GB2312" w:eastAsia="仿宋_GB2312" w:hAnsi="楷体" w:hint="eastAsia"/>
          <w:bCs/>
          <w:kern w:val="0"/>
          <w:sz w:val="32"/>
          <w:szCs w:val="28"/>
        </w:rPr>
        <w:t>，较上年结转结余率（3</w:t>
      </w:r>
      <w:r>
        <w:rPr>
          <w:rFonts w:ascii="仿宋_GB2312" w:eastAsia="仿宋_GB2312" w:hAnsi="楷体"/>
          <w:bCs/>
          <w:kern w:val="0"/>
          <w:sz w:val="32"/>
          <w:szCs w:val="28"/>
        </w:rPr>
        <w:t>.82%</w:t>
      </w:r>
      <w:r>
        <w:rPr>
          <w:rFonts w:ascii="仿宋_GB2312" w:eastAsia="仿宋_GB2312" w:hAnsi="楷体" w:hint="eastAsia"/>
          <w:bCs/>
          <w:kern w:val="0"/>
          <w:sz w:val="32"/>
          <w:szCs w:val="28"/>
        </w:rPr>
        <w:t>）高</w:t>
      </w:r>
      <w:r w:rsidR="00E01427">
        <w:rPr>
          <w:rFonts w:ascii="仿宋_GB2312" w:eastAsia="仿宋_GB2312" w:hAnsi="楷体"/>
          <w:bCs/>
          <w:kern w:val="0"/>
          <w:sz w:val="32"/>
          <w:szCs w:val="28"/>
        </w:rPr>
        <w:t>6</w:t>
      </w:r>
      <w:r>
        <w:rPr>
          <w:rFonts w:ascii="仿宋_GB2312" w:eastAsia="仿宋_GB2312" w:hAnsi="楷体" w:hint="eastAsia"/>
          <w:bCs/>
          <w:kern w:val="0"/>
          <w:sz w:val="32"/>
          <w:szCs w:val="28"/>
        </w:rPr>
        <w:t>.</w:t>
      </w:r>
      <w:r w:rsidR="00E01427">
        <w:rPr>
          <w:rFonts w:ascii="仿宋_GB2312" w:eastAsia="仿宋_GB2312" w:hAnsi="楷体"/>
          <w:bCs/>
          <w:kern w:val="0"/>
          <w:sz w:val="32"/>
          <w:szCs w:val="28"/>
        </w:rPr>
        <w:t>38</w:t>
      </w:r>
      <w:r>
        <w:rPr>
          <w:rFonts w:ascii="仿宋_GB2312" w:eastAsia="仿宋_GB2312" w:hAnsi="楷体" w:hint="eastAsia"/>
          <w:bCs/>
          <w:kern w:val="0"/>
          <w:sz w:val="32"/>
          <w:szCs w:val="28"/>
        </w:rPr>
        <w:t>%。</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（五）部门</w:t>
      </w:r>
      <w:r>
        <w:rPr>
          <w:rFonts w:ascii="楷体" w:eastAsia="楷体" w:hAnsi="楷体"/>
          <w:sz w:val="32"/>
          <w:szCs w:val="32"/>
        </w:rPr>
        <w:t>预决算差异率</w:t>
      </w:r>
    </w:p>
    <w:p w:rsidR="00971B30" w:rsidRDefault="00771C49">
      <w:pPr>
        <w:spacing w:line="560" w:lineRule="exact"/>
        <w:ind w:firstLineChars="200" w:firstLine="640"/>
        <w:rPr>
          <w:rFonts w:ascii="仿宋_GB2312" w:eastAsia="仿宋_GB2312" w:hAnsi="仿宋"/>
          <w:sz w:val="32"/>
          <w:szCs w:val="32"/>
        </w:rPr>
      </w:pPr>
      <w:r>
        <w:rPr>
          <w:rFonts w:ascii="仿宋_GB2312" w:eastAsia="仿宋_GB2312" w:hAnsi="楷体" w:hint="eastAsia"/>
          <w:bCs/>
          <w:kern w:val="0"/>
          <w:sz w:val="32"/>
          <w:szCs w:val="28"/>
        </w:rPr>
        <w:t>2021年，年初部门预算7,882.98万元，年度部门决算7,924.57万元，部门预决算差异率为0.53%，低于市级平</w:t>
      </w:r>
      <w:r>
        <w:rPr>
          <w:rFonts w:ascii="仿宋_GB2312" w:eastAsia="仿宋_GB2312" w:hAnsi="楷体" w:hint="eastAsia"/>
          <w:bCs/>
          <w:kern w:val="0"/>
          <w:sz w:val="32"/>
          <w:szCs w:val="32"/>
        </w:rPr>
        <w:t>均差异率（28.30%）。</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五、总体</w:t>
      </w:r>
      <w:r>
        <w:rPr>
          <w:rFonts w:ascii="黑体" w:eastAsia="黑体" w:hAnsi="黑体" w:cs="宋体"/>
          <w:color w:val="000000"/>
          <w:kern w:val="0"/>
          <w:sz w:val="32"/>
          <w:szCs w:val="32"/>
        </w:rPr>
        <w:t>评价结论</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（一）评价</w:t>
      </w:r>
      <w:r>
        <w:rPr>
          <w:rFonts w:ascii="楷体" w:eastAsia="楷体" w:hAnsi="楷体"/>
          <w:sz w:val="32"/>
          <w:szCs w:val="32"/>
        </w:rPr>
        <w:t>得分</w:t>
      </w:r>
      <w:r>
        <w:rPr>
          <w:rFonts w:ascii="楷体" w:eastAsia="楷体" w:hAnsi="楷体" w:hint="eastAsia"/>
          <w:sz w:val="32"/>
          <w:szCs w:val="32"/>
        </w:rPr>
        <w:t>情况</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经评价，市农研中心2</w:t>
      </w:r>
      <w:r>
        <w:rPr>
          <w:rFonts w:ascii="仿宋_GB2312" w:eastAsia="仿宋_GB2312" w:hAnsi="楷体"/>
          <w:bCs/>
          <w:kern w:val="0"/>
          <w:sz w:val="32"/>
          <w:szCs w:val="28"/>
        </w:rPr>
        <w:t>021</w:t>
      </w:r>
      <w:r>
        <w:rPr>
          <w:rFonts w:ascii="仿宋_GB2312" w:eastAsia="仿宋_GB2312" w:hAnsi="楷体" w:hint="eastAsia"/>
          <w:bCs/>
          <w:kern w:val="0"/>
          <w:sz w:val="32"/>
          <w:szCs w:val="28"/>
        </w:rPr>
        <w:t>年度部门整体支出绩效评价总得分90.97分，评价结果为“优秀”。其中当年预算执行情况得分为18.15分；整体绩效目标实现情况得分为56.00分；预算管理情况得分16.82分。</w:t>
      </w:r>
    </w:p>
    <w:p w:rsidR="00971B30" w:rsidRDefault="00771C4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lastRenderedPageBreak/>
        <w:t>（二）存在的问题</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1.项目绩效目标设置不够细化量化。项目绩效目标与实际业务、预算内容等结合不够，存在部分绩效目标的设定涵盖项目内容不全面、绩效指标之间不够对应、服务对象范围考虑不全面等问题。</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2.部分项目实施方案不够完善，个别项目实施过程不够严谨，缺少项目质量监控、项目验收等程序，项目执行材料留存不够完整。财务制度健全，</w:t>
      </w:r>
      <w:r w:rsidR="00266836">
        <w:rPr>
          <w:rFonts w:ascii="仿宋_GB2312" w:eastAsia="仿宋_GB2312" w:hAnsi="楷体" w:hint="eastAsia"/>
          <w:bCs/>
          <w:kern w:val="0"/>
          <w:sz w:val="32"/>
          <w:szCs w:val="28"/>
        </w:rPr>
        <w:t>但更新</w:t>
      </w:r>
      <w:r w:rsidR="00266836">
        <w:rPr>
          <w:rFonts w:ascii="仿宋_GB2312" w:eastAsia="仿宋_GB2312" w:hAnsi="楷体"/>
          <w:bCs/>
          <w:kern w:val="0"/>
          <w:sz w:val="32"/>
          <w:szCs w:val="28"/>
        </w:rPr>
        <w:t>不够及时</w:t>
      </w:r>
      <w:r>
        <w:rPr>
          <w:rFonts w:ascii="仿宋_GB2312" w:eastAsia="仿宋_GB2312" w:hAnsi="楷体" w:hint="eastAsia"/>
          <w:bCs/>
          <w:kern w:val="0"/>
          <w:sz w:val="32"/>
          <w:szCs w:val="28"/>
        </w:rPr>
        <w:t>。</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3.部分绩效信息的收集和汇总分析不充分,项目资料收集不完整，导致项目效益未能完整、充分呈现。部分项目服务对象满意度调查开展不够全面，未充分反映项目服务对象满意度效果。</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971B30" w:rsidRDefault="00771C49">
      <w:pPr>
        <w:spacing w:line="560" w:lineRule="exact"/>
        <w:ind w:firstLineChars="200" w:firstLine="640"/>
        <w:rPr>
          <w:rFonts w:ascii="仿宋_GB2312" w:eastAsia="仿宋_GB2312" w:hAnsi="楷体"/>
          <w:bCs/>
          <w:kern w:val="0"/>
          <w:sz w:val="32"/>
          <w:szCs w:val="28"/>
        </w:rPr>
      </w:pPr>
      <w:bookmarkStart w:id="3" w:name="_Toc72401385"/>
      <w:r>
        <w:rPr>
          <w:rFonts w:ascii="仿宋_GB2312" w:eastAsia="仿宋_GB2312" w:hAnsi="楷体" w:hint="eastAsia"/>
          <w:bCs/>
          <w:kern w:val="0"/>
          <w:sz w:val="32"/>
          <w:szCs w:val="28"/>
        </w:rPr>
        <w:t>1.提高全面绩效管理意识，加强绩效目标设定合理性、规范性。充分结合实际业务、预算内容，科学、完整地设置绩效目标与指标，并保障绩效目标与指标的对应关系，指标设置做到细化、量化、可衡量。</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2.健全完善项目实施方案。根据项目以前年度实施情况或预期计划，制定切实可行的实施方案，明确项目管理各项要素，合理安排项目人员分工、进度计划，强化过程管控，增强对项目实</w:t>
      </w:r>
      <w:r w:rsidR="00DC7540">
        <w:rPr>
          <w:rFonts w:ascii="仿宋_GB2312" w:eastAsia="仿宋_GB2312" w:hAnsi="楷体" w:hint="eastAsia"/>
          <w:bCs/>
          <w:kern w:val="0"/>
          <w:sz w:val="32"/>
          <w:szCs w:val="28"/>
        </w:rPr>
        <w:t>施的指导和约束作用，加强项目实施过程控制及监督管理。及时修订</w:t>
      </w:r>
      <w:r>
        <w:rPr>
          <w:rFonts w:ascii="仿宋_GB2312" w:eastAsia="仿宋_GB2312" w:hAnsi="楷体" w:hint="eastAsia"/>
          <w:bCs/>
          <w:kern w:val="0"/>
          <w:sz w:val="32"/>
          <w:szCs w:val="28"/>
        </w:rPr>
        <w:t>内部管理制度，提高制度的适用性和严谨</w:t>
      </w:r>
      <w:r>
        <w:rPr>
          <w:rFonts w:ascii="仿宋_GB2312" w:eastAsia="仿宋_GB2312" w:hAnsi="楷体" w:hint="eastAsia"/>
          <w:bCs/>
          <w:kern w:val="0"/>
          <w:sz w:val="32"/>
          <w:szCs w:val="28"/>
        </w:rPr>
        <w:lastRenderedPageBreak/>
        <w:t>性。</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3.注重项目效益资料收集和呈现，</w:t>
      </w:r>
      <w:bookmarkEnd w:id="3"/>
      <w:r>
        <w:rPr>
          <w:rFonts w:ascii="仿宋_GB2312" w:eastAsia="仿宋_GB2312" w:hAnsi="楷体" w:hint="eastAsia"/>
          <w:bCs/>
          <w:kern w:val="0"/>
          <w:sz w:val="32"/>
          <w:szCs w:val="28"/>
        </w:rPr>
        <w:t>特别要注重对项目质量和效益的挖掘，用效果资料和数据支撑项目效益。结合项目服务对象，选择适当的方式、方法开展服务对象满意度调查及分析，充分反映项目服务对象满意度效果。</w:t>
      </w:r>
    </w:p>
    <w:p w:rsidR="00971B30" w:rsidRDefault="00771C49">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七、附件</w:t>
      </w:r>
    </w:p>
    <w:p w:rsidR="00971B30" w:rsidRDefault="00771C49">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2021年部门整体绩效评价指标体系评分表</w:t>
      </w:r>
    </w:p>
    <w:p w:rsidR="00971B30" w:rsidRDefault="00971B30">
      <w:pPr>
        <w:spacing w:line="600" w:lineRule="exact"/>
        <w:ind w:firstLineChars="200" w:firstLine="640"/>
        <w:rPr>
          <w:rFonts w:ascii="仿宋_GB2312" w:eastAsia="仿宋_GB2312" w:hAnsi="楷体"/>
          <w:bCs/>
          <w:kern w:val="0"/>
          <w:sz w:val="32"/>
          <w:szCs w:val="28"/>
        </w:rPr>
      </w:pPr>
    </w:p>
    <w:p w:rsidR="00971B30" w:rsidRDefault="00971B30">
      <w:pPr>
        <w:spacing w:line="600" w:lineRule="exact"/>
        <w:ind w:firstLineChars="200" w:firstLine="640"/>
        <w:rPr>
          <w:rFonts w:ascii="仿宋_GB2312" w:eastAsia="仿宋_GB2312" w:hAnsi="楷体"/>
          <w:bCs/>
          <w:kern w:val="0"/>
          <w:sz w:val="32"/>
          <w:szCs w:val="28"/>
        </w:rPr>
        <w:sectPr w:rsidR="00971B30" w:rsidSect="00876114">
          <w:type w:val="continuous"/>
          <w:pgSz w:w="16838" w:h="11906" w:orient="landscape"/>
          <w:pgMar w:top="1800" w:right="1440" w:bottom="1800" w:left="1440" w:header="851" w:footer="992" w:gutter="0"/>
          <w:pgNumType w:start="1"/>
          <w:cols w:space="425"/>
          <w:docGrid w:type="lines" w:linePitch="312"/>
        </w:sectPr>
      </w:pPr>
    </w:p>
    <w:p w:rsidR="00971B30" w:rsidRDefault="00771C49">
      <w:pPr>
        <w:rPr>
          <w:rFonts w:ascii="黑体" w:eastAsia="黑体" w:hAnsi="黑体"/>
          <w:sz w:val="32"/>
          <w:szCs w:val="32"/>
        </w:rPr>
      </w:pPr>
      <w:r>
        <w:rPr>
          <w:rFonts w:ascii="黑体" w:eastAsia="黑体" w:hAnsi="黑体" w:hint="eastAsia"/>
          <w:sz w:val="32"/>
          <w:szCs w:val="32"/>
        </w:rPr>
        <w:lastRenderedPageBreak/>
        <w:t>附件</w:t>
      </w:r>
    </w:p>
    <w:p w:rsidR="00971B30" w:rsidRDefault="00771C49">
      <w:pPr>
        <w:spacing w:line="600" w:lineRule="exact"/>
        <w:jc w:val="center"/>
        <w:rPr>
          <w:rFonts w:ascii="仿宋_GB2312" w:eastAsia="仿宋_GB2312" w:hAnsi="宋体" w:cs="宋体"/>
          <w:color w:val="000000"/>
          <w:kern w:val="0"/>
          <w:sz w:val="32"/>
          <w:szCs w:val="32"/>
        </w:rPr>
      </w:pPr>
      <w:r>
        <w:rPr>
          <w:rFonts w:ascii="方正小标宋简体" w:eastAsia="方正小标宋简体" w:hAnsi="黑体" w:cs="宋体" w:hint="eastAsia"/>
          <w:color w:val="000000"/>
          <w:kern w:val="0"/>
          <w:sz w:val="44"/>
          <w:szCs w:val="44"/>
        </w:rPr>
        <w:t>2021年部门整体绩效评价指标体系评分表</w:t>
      </w:r>
    </w:p>
    <w:tbl>
      <w:tblPr>
        <w:tblW w:w="5000" w:type="pct"/>
        <w:tblLayout w:type="fixed"/>
        <w:tblLook w:val="04A0" w:firstRow="1" w:lastRow="0" w:firstColumn="1" w:lastColumn="0" w:noHBand="0" w:noVBand="1"/>
      </w:tblPr>
      <w:tblGrid>
        <w:gridCol w:w="991"/>
        <w:gridCol w:w="1290"/>
        <w:gridCol w:w="1536"/>
        <w:gridCol w:w="1534"/>
        <w:gridCol w:w="1270"/>
        <w:gridCol w:w="712"/>
        <w:gridCol w:w="726"/>
        <w:gridCol w:w="2540"/>
        <w:gridCol w:w="3575"/>
      </w:tblGrid>
      <w:tr w:rsidR="00971B30">
        <w:trPr>
          <w:trHeight w:val="617"/>
        </w:trPr>
        <w:tc>
          <w:tcPr>
            <w:tcW w:w="5000" w:type="pct"/>
            <w:gridSpan w:val="9"/>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971B30">
        <w:trPr>
          <w:trHeight w:val="978"/>
        </w:trPr>
        <w:tc>
          <w:tcPr>
            <w:tcW w:w="350"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55"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542"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541"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448"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51"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6"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896"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61" w:type="pct"/>
            <w:tcBorders>
              <w:top w:val="single" w:sz="4" w:space="0" w:color="auto"/>
              <w:left w:val="nil"/>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971B30">
        <w:trPr>
          <w:trHeight w:val="1304"/>
        </w:trPr>
        <w:tc>
          <w:tcPr>
            <w:tcW w:w="350"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455"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542"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7,924.57</w:t>
            </w:r>
          </w:p>
        </w:tc>
        <w:tc>
          <w:tcPr>
            <w:tcW w:w="541"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7,191.10</w:t>
            </w:r>
          </w:p>
        </w:tc>
        <w:tc>
          <w:tcPr>
            <w:tcW w:w="448"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90.74%</w:t>
            </w:r>
          </w:p>
        </w:tc>
        <w:tc>
          <w:tcPr>
            <w:tcW w:w="251" w:type="pct"/>
            <w:vMerge w:val="restart"/>
            <w:tcBorders>
              <w:top w:val="single" w:sz="4" w:space="0" w:color="auto"/>
              <w:left w:val="single" w:sz="4" w:space="0" w:color="auto"/>
              <w:bottom w:val="single" w:sz="4" w:space="0" w:color="auto"/>
              <w:right w:val="single" w:sz="4" w:space="0" w:color="auto"/>
            </w:tcBorders>
            <w:noWrap/>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56" w:type="pct"/>
            <w:vMerge w:val="restart"/>
            <w:tcBorders>
              <w:top w:val="single" w:sz="4" w:space="0" w:color="auto"/>
              <w:left w:val="single" w:sz="4" w:space="0" w:color="auto"/>
              <w:bottom w:val="single" w:sz="4" w:space="0" w:color="auto"/>
              <w:right w:val="single" w:sz="4" w:space="0" w:color="auto"/>
            </w:tcBorders>
            <w:noWrap/>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18.15</w:t>
            </w:r>
          </w:p>
        </w:tc>
        <w:tc>
          <w:tcPr>
            <w:tcW w:w="896"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261"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971B30">
        <w:trPr>
          <w:trHeight w:val="1304"/>
        </w:trPr>
        <w:tc>
          <w:tcPr>
            <w:tcW w:w="350"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455" w:type="pct"/>
            <w:tcBorders>
              <w:top w:val="single" w:sz="4" w:space="0" w:color="auto"/>
              <w:left w:val="single" w:sz="4" w:space="0" w:color="auto"/>
              <w:bottom w:val="single" w:sz="4" w:space="0" w:color="auto"/>
              <w:right w:val="nil"/>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542"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4,791.88</w:t>
            </w:r>
          </w:p>
        </w:tc>
        <w:tc>
          <w:tcPr>
            <w:tcW w:w="541" w:type="pct"/>
            <w:tcBorders>
              <w:top w:val="single" w:sz="4" w:space="0" w:color="auto"/>
              <w:left w:val="nil"/>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4,509.34</w:t>
            </w:r>
          </w:p>
        </w:tc>
        <w:tc>
          <w:tcPr>
            <w:tcW w:w="448"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5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256" w:type="pct"/>
            <w:vMerge/>
            <w:tcBorders>
              <w:top w:val="single" w:sz="4" w:space="0" w:color="auto"/>
              <w:left w:val="nil"/>
              <w:bottom w:val="single" w:sz="4" w:space="0" w:color="auto"/>
              <w:right w:val="nil"/>
            </w:tcBorders>
            <w:vAlign w:val="center"/>
          </w:tcPr>
          <w:p w:rsidR="00971B30" w:rsidRDefault="00971B30">
            <w:pPr>
              <w:widowControl/>
              <w:jc w:val="left"/>
              <w:rPr>
                <w:rFonts w:ascii="宋体" w:hAnsi="宋体" w:cs="宋体"/>
                <w:color w:val="000000"/>
                <w:kern w:val="0"/>
                <w:sz w:val="20"/>
                <w:szCs w:val="20"/>
              </w:rPr>
            </w:pPr>
          </w:p>
        </w:tc>
        <w:tc>
          <w:tcPr>
            <w:tcW w:w="896"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c>
          <w:tcPr>
            <w:tcW w:w="126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r>
      <w:tr w:rsidR="00971B30">
        <w:trPr>
          <w:trHeight w:val="1304"/>
        </w:trPr>
        <w:tc>
          <w:tcPr>
            <w:tcW w:w="350"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455" w:type="pct"/>
            <w:tcBorders>
              <w:top w:val="single" w:sz="4" w:space="0" w:color="auto"/>
              <w:left w:val="single" w:sz="4" w:space="0" w:color="auto"/>
              <w:bottom w:val="single" w:sz="4" w:space="0" w:color="auto"/>
              <w:right w:val="nil"/>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542"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3,132.69</w:t>
            </w:r>
          </w:p>
        </w:tc>
        <w:tc>
          <w:tcPr>
            <w:tcW w:w="541" w:type="pct"/>
            <w:tcBorders>
              <w:top w:val="single" w:sz="4" w:space="0" w:color="auto"/>
              <w:left w:val="nil"/>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2,681.76</w:t>
            </w:r>
          </w:p>
        </w:tc>
        <w:tc>
          <w:tcPr>
            <w:tcW w:w="448"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25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256" w:type="pct"/>
            <w:vMerge/>
            <w:tcBorders>
              <w:top w:val="single" w:sz="4" w:space="0" w:color="auto"/>
              <w:left w:val="nil"/>
              <w:bottom w:val="single" w:sz="4" w:space="0" w:color="auto"/>
              <w:right w:val="nil"/>
            </w:tcBorders>
            <w:vAlign w:val="center"/>
          </w:tcPr>
          <w:p w:rsidR="00971B30" w:rsidRDefault="00971B30">
            <w:pPr>
              <w:widowControl/>
              <w:jc w:val="left"/>
              <w:rPr>
                <w:rFonts w:ascii="宋体" w:hAnsi="宋体" w:cs="宋体"/>
                <w:color w:val="000000"/>
                <w:kern w:val="0"/>
                <w:sz w:val="20"/>
                <w:szCs w:val="20"/>
              </w:rPr>
            </w:pPr>
          </w:p>
        </w:tc>
        <w:tc>
          <w:tcPr>
            <w:tcW w:w="896"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c>
          <w:tcPr>
            <w:tcW w:w="126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r>
      <w:tr w:rsidR="00971B30">
        <w:trPr>
          <w:trHeight w:val="1020"/>
        </w:trPr>
        <w:tc>
          <w:tcPr>
            <w:tcW w:w="350"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542" w:type="pct"/>
            <w:tcBorders>
              <w:top w:val="single" w:sz="4" w:space="0" w:color="auto"/>
              <w:left w:val="nil"/>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1" w:type="pct"/>
            <w:tcBorders>
              <w:top w:val="single" w:sz="4" w:space="0" w:color="auto"/>
              <w:left w:val="nil"/>
              <w:bottom w:val="single" w:sz="4" w:space="0" w:color="auto"/>
              <w:right w:val="single" w:sz="4" w:space="0" w:color="auto"/>
            </w:tcBorders>
            <w:vAlign w:val="center"/>
          </w:tcPr>
          <w:p w:rsidR="00971B30" w:rsidRDefault="00771C4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48"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25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20"/>
                <w:szCs w:val="20"/>
              </w:rPr>
            </w:pPr>
          </w:p>
        </w:tc>
        <w:tc>
          <w:tcPr>
            <w:tcW w:w="256" w:type="pct"/>
            <w:vMerge/>
            <w:tcBorders>
              <w:top w:val="single" w:sz="4" w:space="0" w:color="auto"/>
              <w:left w:val="nil"/>
              <w:bottom w:val="single" w:sz="4" w:space="0" w:color="auto"/>
              <w:right w:val="nil"/>
            </w:tcBorders>
            <w:vAlign w:val="center"/>
          </w:tcPr>
          <w:p w:rsidR="00971B30" w:rsidRDefault="00971B30">
            <w:pPr>
              <w:widowControl/>
              <w:jc w:val="left"/>
              <w:rPr>
                <w:rFonts w:ascii="宋体" w:hAnsi="宋体" w:cs="宋体"/>
                <w:color w:val="000000"/>
                <w:kern w:val="0"/>
                <w:sz w:val="20"/>
                <w:szCs w:val="20"/>
              </w:rPr>
            </w:pPr>
          </w:p>
        </w:tc>
        <w:tc>
          <w:tcPr>
            <w:tcW w:w="896"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c>
          <w:tcPr>
            <w:tcW w:w="1261" w:type="pct"/>
            <w:vMerge/>
            <w:tcBorders>
              <w:top w:val="single" w:sz="4" w:space="0" w:color="auto"/>
              <w:left w:val="single" w:sz="4" w:space="0" w:color="auto"/>
              <w:bottom w:val="single" w:sz="4" w:space="0" w:color="auto"/>
              <w:right w:val="single" w:sz="4" w:space="0" w:color="auto"/>
            </w:tcBorders>
            <w:vAlign w:val="center"/>
          </w:tcPr>
          <w:p w:rsidR="00971B30" w:rsidRDefault="00971B30">
            <w:pPr>
              <w:widowControl/>
              <w:jc w:val="left"/>
              <w:rPr>
                <w:rFonts w:ascii="宋体" w:hAnsi="宋体" w:cs="宋体"/>
                <w:color w:val="000000"/>
                <w:kern w:val="0"/>
                <w:sz w:val="18"/>
                <w:szCs w:val="18"/>
              </w:rPr>
            </w:pPr>
          </w:p>
        </w:tc>
      </w:tr>
    </w:tbl>
    <w:p w:rsidR="00971B30" w:rsidRDefault="00971B30">
      <w:pPr>
        <w:spacing w:line="600" w:lineRule="exact"/>
        <w:rPr>
          <w:rFonts w:ascii="仿宋_GB2312" w:eastAsia="仿宋_GB2312" w:hAnsi="宋体" w:cs="宋体"/>
          <w:color w:val="000000"/>
          <w:kern w:val="0"/>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848"/>
        <w:gridCol w:w="989"/>
        <w:gridCol w:w="2410"/>
        <w:gridCol w:w="1701"/>
        <w:gridCol w:w="709"/>
        <w:gridCol w:w="706"/>
        <w:gridCol w:w="3827"/>
        <w:gridCol w:w="2169"/>
      </w:tblGrid>
      <w:tr w:rsidR="00971B30">
        <w:trPr>
          <w:trHeight w:val="699"/>
          <w:tblHeader/>
        </w:trPr>
        <w:tc>
          <w:tcPr>
            <w:tcW w:w="5000" w:type="pct"/>
            <w:gridSpan w:val="9"/>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整体绩效目标实现情况（60分）</w:t>
            </w:r>
          </w:p>
        </w:tc>
      </w:tr>
      <w:tr w:rsidR="00971B30">
        <w:trPr>
          <w:trHeight w:val="601"/>
          <w:tblHeader/>
        </w:trPr>
        <w:tc>
          <w:tcPr>
            <w:tcW w:w="288"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w:t>
            </w:r>
            <w:r>
              <w:rPr>
                <w:rFonts w:asciiTheme="minorEastAsia" w:eastAsiaTheme="minorEastAsia" w:hAnsiTheme="minorEastAsia" w:cs="宋体"/>
                <w:color w:val="000000"/>
                <w:kern w:val="0"/>
                <w:sz w:val="18"/>
                <w:szCs w:val="18"/>
              </w:rPr>
              <w:t>级指标</w:t>
            </w:r>
          </w:p>
        </w:tc>
        <w:tc>
          <w:tcPr>
            <w:tcW w:w="299"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w:t>
            </w:r>
            <w:r>
              <w:rPr>
                <w:rFonts w:asciiTheme="minorEastAsia" w:eastAsiaTheme="minorEastAsia" w:hAnsiTheme="minorEastAsia" w:cs="宋体"/>
                <w:color w:val="000000"/>
                <w:kern w:val="0"/>
                <w:sz w:val="18"/>
                <w:szCs w:val="18"/>
              </w:rPr>
              <w:t>级</w:t>
            </w:r>
          </w:p>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指标</w:t>
            </w:r>
            <w:r>
              <w:rPr>
                <w:rFonts w:asciiTheme="minorEastAsia" w:eastAsiaTheme="minorEastAsia" w:hAnsiTheme="minorEastAsia" w:cs="宋体" w:hint="eastAsia"/>
                <w:color w:val="000000"/>
                <w:kern w:val="0"/>
                <w:sz w:val="18"/>
                <w:szCs w:val="18"/>
              </w:rPr>
              <w:t xml:space="preserve">　</w:t>
            </w:r>
          </w:p>
        </w:tc>
        <w:tc>
          <w:tcPr>
            <w:tcW w:w="349"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w:t>
            </w:r>
            <w:r>
              <w:rPr>
                <w:rFonts w:asciiTheme="minorEastAsia" w:eastAsiaTheme="minorEastAsia" w:hAnsiTheme="minorEastAsia" w:cs="宋体"/>
                <w:color w:val="000000"/>
                <w:kern w:val="0"/>
                <w:sz w:val="18"/>
                <w:szCs w:val="18"/>
              </w:rPr>
              <w:t>级指标</w:t>
            </w:r>
            <w:r>
              <w:rPr>
                <w:rFonts w:asciiTheme="minorEastAsia" w:eastAsiaTheme="minorEastAsia" w:hAnsiTheme="minorEastAsia" w:cs="宋体" w:hint="eastAsia"/>
                <w:color w:val="000000"/>
                <w:kern w:val="0"/>
                <w:sz w:val="18"/>
                <w:szCs w:val="18"/>
              </w:rPr>
              <w:t xml:space="preserve">　</w:t>
            </w:r>
          </w:p>
        </w:tc>
        <w:tc>
          <w:tcPr>
            <w:tcW w:w="850"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指标值</w:t>
            </w:r>
          </w:p>
        </w:tc>
        <w:tc>
          <w:tcPr>
            <w:tcW w:w="600"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完成值</w:t>
            </w:r>
          </w:p>
        </w:tc>
        <w:tc>
          <w:tcPr>
            <w:tcW w:w="250"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分值</w:t>
            </w:r>
          </w:p>
        </w:tc>
        <w:tc>
          <w:tcPr>
            <w:tcW w:w="249"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得分</w:t>
            </w:r>
          </w:p>
        </w:tc>
        <w:tc>
          <w:tcPr>
            <w:tcW w:w="1350" w:type="pct"/>
            <w:vAlign w:val="center"/>
          </w:tcPr>
          <w:p w:rsidR="00971B30" w:rsidRDefault="00771C49">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761"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971B30">
        <w:trPr>
          <w:trHeight w:val="737"/>
        </w:trPr>
        <w:tc>
          <w:tcPr>
            <w:tcW w:w="288" w:type="pct"/>
            <w:vMerge w:val="restar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整体绩效目标实现情况（60）</w:t>
            </w:r>
          </w:p>
        </w:tc>
        <w:tc>
          <w:tcPr>
            <w:tcW w:w="299" w:type="pct"/>
            <w:vMerge w:val="restart"/>
            <w:vAlign w:val="center"/>
          </w:tcPr>
          <w:p w:rsidR="00971B30" w:rsidRDefault="00971B30">
            <w:pPr>
              <w:widowControl/>
              <w:jc w:val="center"/>
              <w:rPr>
                <w:rFonts w:asciiTheme="minorEastAsia" w:eastAsiaTheme="minorEastAsia" w:hAnsiTheme="minorEastAsia" w:cs="宋体"/>
                <w:color w:val="000000"/>
                <w:kern w:val="0"/>
                <w:sz w:val="18"/>
                <w:szCs w:val="18"/>
              </w:rPr>
            </w:pPr>
          </w:p>
          <w:p w:rsidR="00971B30" w:rsidRDefault="00771C49">
            <w:pPr>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产出（30）</w:t>
            </w:r>
          </w:p>
        </w:tc>
        <w:tc>
          <w:tcPr>
            <w:tcW w:w="349" w:type="pct"/>
            <w:vMerge w:val="restart"/>
            <w:shd w:val="clear" w:color="auto" w:fill="auto"/>
            <w:vAlign w:val="center"/>
          </w:tcPr>
          <w:p w:rsidR="00971B30" w:rsidRDefault="00971B30">
            <w:pPr>
              <w:rPr>
                <w:rFonts w:asciiTheme="minorEastAsia" w:eastAsiaTheme="minorEastAsia" w:hAnsiTheme="minorEastAsia"/>
                <w:color w:val="000000"/>
                <w:sz w:val="18"/>
                <w:szCs w:val="18"/>
              </w:rPr>
            </w:pPr>
          </w:p>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数量指标</w:t>
            </w:r>
          </w:p>
        </w:tc>
        <w:tc>
          <w:tcPr>
            <w:tcW w:w="85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完成制度建设、培训工作应达到的管理规范性数量指标</w:t>
            </w:r>
          </w:p>
        </w:tc>
        <w:tc>
          <w:tcPr>
            <w:tcW w:w="60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部门产出数量与绩效目标相符</w:t>
            </w:r>
          </w:p>
        </w:tc>
        <w:tc>
          <w:tcPr>
            <w:tcW w:w="250" w:type="pct"/>
            <w:vMerge w:val="restar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249" w:type="pct"/>
            <w:vMerge w:val="restar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1350" w:type="pct"/>
            <w:vMerge w:val="restar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产出数量</w:t>
            </w:r>
            <w:r>
              <w:rPr>
                <w:rFonts w:asciiTheme="minorEastAsia" w:eastAsiaTheme="minorEastAsia" w:hAnsiTheme="minorEastAsia"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Theme="minorEastAsia" w:eastAsiaTheme="minorEastAsia" w:hAnsiTheme="minorEastAsia" w:cs="宋体" w:hint="eastAsia"/>
                <w:b/>
                <w:bCs/>
                <w:color w:val="000000"/>
                <w:kern w:val="0"/>
                <w:sz w:val="18"/>
                <w:szCs w:val="18"/>
              </w:rPr>
              <w:t>产出质量</w:t>
            </w:r>
            <w:r>
              <w:rPr>
                <w:rFonts w:asciiTheme="minorEastAsia" w:eastAsiaTheme="minorEastAsia" w:hAnsiTheme="minorEastAsia"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Theme="minorEastAsia" w:eastAsiaTheme="minorEastAsia" w:hAnsiTheme="minorEastAsia" w:cs="宋体" w:hint="eastAsia"/>
                <w:b/>
                <w:bCs/>
                <w:color w:val="000000"/>
                <w:kern w:val="0"/>
                <w:sz w:val="18"/>
                <w:szCs w:val="18"/>
              </w:rPr>
              <w:t>产出进度：</w:t>
            </w:r>
            <w:r>
              <w:rPr>
                <w:rFonts w:asciiTheme="minorEastAsia" w:eastAsiaTheme="minorEastAsia" w:hAnsiTheme="minorEastAsia" w:cs="宋体" w:hint="eastAsia"/>
                <w:color w:val="000000"/>
                <w:kern w:val="0"/>
                <w:sz w:val="18"/>
                <w:szCs w:val="18"/>
              </w:rPr>
              <w:t>按时完成率=（按时完成工作数/实际完成工作数）×100%。按时完成工作数：部门（单位）按照整体绩效目标确定的时限实际完成的工作任务数量。</w:t>
            </w:r>
            <w:r>
              <w:rPr>
                <w:rFonts w:asciiTheme="minorEastAsia" w:eastAsiaTheme="minorEastAsia" w:hAnsiTheme="minorEastAsia" w:cs="宋体" w:hint="eastAsia"/>
                <w:b/>
                <w:bCs/>
                <w:color w:val="000000"/>
                <w:kern w:val="0"/>
                <w:sz w:val="18"/>
                <w:szCs w:val="18"/>
              </w:rPr>
              <w:t>产出成本</w:t>
            </w:r>
            <w:r>
              <w:rPr>
                <w:rFonts w:asciiTheme="minorEastAsia" w:eastAsiaTheme="minorEastAsia" w:hAnsiTheme="minorEastAsia" w:cs="宋体" w:hint="eastAsia"/>
                <w:color w:val="000000"/>
                <w:kern w:val="0"/>
                <w:sz w:val="18"/>
                <w:szCs w:val="18"/>
              </w:rPr>
              <w:t>：单位产出相对于上一年度的节约额；②单位产出相对于市场同类产出的节约额；③部门公用经费的控制情况。</w:t>
            </w:r>
          </w:p>
        </w:tc>
        <w:tc>
          <w:tcPr>
            <w:tcW w:w="761" w:type="pct"/>
            <w:vMerge w:val="restar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shd w:val="clear" w:color="auto" w:fill="auto"/>
            <w:vAlign w:val="center"/>
          </w:tcPr>
          <w:p w:rsidR="00971B30" w:rsidRDefault="00971B30">
            <w:pPr>
              <w:rPr>
                <w:rFonts w:asciiTheme="minorEastAsia" w:eastAsiaTheme="minorEastAsia" w:hAnsiTheme="minorEastAsia"/>
                <w:color w:val="000000"/>
                <w:sz w:val="18"/>
                <w:szCs w:val="18"/>
              </w:rPr>
            </w:pPr>
          </w:p>
        </w:tc>
        <w:tc>
          <w:tcPr>
            <w:tcW w:w="85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color w:val="000000"/>
                <w:sz w:val="18"/>
                <w:szCs w:val="18"/>
              </w:rPr>
              <w:t>完成</w:t>
            </w:r>
            <w:r>
              <w:rPr>
                <w:rFonts w:asciiTheme="minorEastAsia" w:eastAsiaTheme="minorEastAsia" w:hAnsiTheme="minorEastAsia" w:hint="eastAsia"/>
                <w:color w:val="000000"/>
                <w:sz w:val="18"/>
                <w:szCs w:val="18"/>
              </w:rPr>
              <w:t>调研报告等成果产出数量指标</w:t>
            </w:r>
          </w:p>
        </w:tc>
        <w:tc>
          <w:tcPr>
            <w:tcW w:w="60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部门产出数量与绩效目标相符</w:t>
            </w:r>
          </w:p>
        </w:tc>
        <w:tc>
          <w:tcPr>
            <w:tcW w:w="250" w:type="pct"/>
            <w:vMerge/>
            <w:vAlign w:val="center"/>
          </w:tcPr>
          <w:p w:rsidR="00971B30" w:rsidRDefault="00971B30">
            <w:pPr>
              <w:jc w:val="center"/>
              <w:rPr>
                <w:rFonts w:asciiTheme="minorEastAsia" w:eastAsiaTheme="minorEastAsia" w:hAnsiTheme="minorEastAsia" w:cs="宋体"/>
                <w:color w:val="000000"/>
                <w:sz w:val="18"/>
                <w:szCs w:val="18"/>
              </w:rPr>
            </w:pPr>
          </w:p>
        </w:tc>
        <w:tc>
          <w:tcPr>
            <w:tcW w:w="249" w:type="pct"/>
            <w:vMerge/>
            <w:noWrap/>
            <w:vAlign w:val="center"/>
          </w:tcPr>
          <w:p w:rsidR="00971B30" w:rsidRDefault="00971B30">
            <w:pPr>
              <w:jc w:val="center"/>
              <w:rPr>
                <w:rFonts w:asciiTheme="minorEastAsia" w:eastAsiaTheme="minorEastAsia" w:hAnsiTheme="minorEastAsia" w:cs="宋体"/>
                <w:color w:val="000000"/>
                <w:sz w:val="18"/>
                <w:szCs w:val="18"/>
              </w:rPr>
            </w:pP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shd w:val="clear" w:color="auto" w:fill="auto"/>
            <w:vAlign w:val="center"/>
          </w:tcPr>
          <w:p w:rsidR="00971B30" w:rsidRDefault="00971B30">
            <w:pPr>
              <w:rPr>
                <w:rFonts w:asciiTheme="minorEastAsia" w:eastAsiaTheme="minorEastAsia" w:hAnsiTheme="minorEastAsia"/>
                <w:color w:val="000000"/>
                <w:sz w:val="18"/>
                <w:szCs w:val="18"/>
              </w:rPr>
            </w:pPr>
          </w:p>
        </w:tc>
        <w:tc>
          <w:tcPr>
            <w:tcW w:w="85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完成举办讲堂、会议、开展活动等交流互鉴数量指标</w:t>
            </w:r>
          </w:p>
        </w:tc>
        <w:tc>
          <w:tcPr>
            <w:tcW w:w="60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部门产出数量与绩效目标相符</w:t>
            </w:r>
          </w:p>
        </w:tc>
        <w:tc>
          <w:tcPr>
            <w:tcW w:w="250" w:type="pct"/>
            <w:vMerge/>
            <w:vAlign w:val="center"/>
          </w:tcPr>
          <w:p w:rsidR="00971B30" w:rsidRDefault="00971B30">
            <w:pPr>
              <w:jc w:val="center"/>
              <w:rPr>
                <w:rFonts w:asciiTheme="minorEastAsia" w:eastAsiaTheme="minorEastAsia" w:hAnsiTheme="minorEastAsia" w:cs="宋体"/>
                <w:color w:val="000000"/>
                <w:sz w:val="18"/>
                <w:szCs w:val="18"/>
              </w:rPr>
            </w:pPr>
          </w:p>
        </w:tc>
        <w:tc>
          <w:tcPr>
            <w:tcW w:w="249" w:type="pct"/>
            <w:vMerge/>
            <w:noWrap/>
            <w:vAlign w:val="center"/>
          </w:tcPr>
          <w:p w:rsidR="00971B30" w:rsidRDefault="00971B30">
            <w:pPr>
              <w:jc w:val="center"/>
              <w:rPr>
                <w:rFonts w:asciiTheme="minorEastAsia" w:eastAsiaTheme="minorEastAsia" w:hAnsiTheme="minorEastAsia" w:cs="宋体"/>
                <w:color w:val="000000"/>
                <w:sz w:val="18"/>
                <w:szCs w:val="18"/>
              </w:rPr>
            </w:pP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shd w:val="clear" w:color="auto" w:fill="auto"/>
            <w:vAlign w:val="center"/>
          </w:tcPr>
          <w:p w:rsidR="00971B30" w:rsidRDefault="00971B30">
            <w:pPr>
              <w:rPr>
                <w:rFonts w:asciiTheme="minorEastAsia" w:eastAsiaTheme="minorEastAsia" w:hAnsiTheme="minorEastAsia"/>
                <w:color w:val="000000"/>
                <w:sz w:val="18"/>
                <w:szCs w:val="18"/>
              </w:rPr>
            </w:pPr>
          </w:p>
        </w:tc>
        <w:tc>
          <w:tcPr>
            <w:tcW w:w="85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完成研究成果、日报、杂志、发展报告等</w:t>
            </w:r>
            <w:r>
              <w:rPr>
                <w:rFonts w:asciiTheme="minorEastAsia" w:eastAsiaTheme="minorEastAsia" w:hAnsiTheme="minorEastAsia"/>
                <w:color w:val="000000"/>
                <w:sz w:val="18"/>
                <w:szCs w:val="18"/>
              </w:rPr>
              <w:t>成果推广与智力服务</w:t>
            </w:r>
            <w:r>
              <w:rPr>
                <w:rFonts w:asciiTheme="minorEastAsia" w:eastAsiaTheme="minorEastAsia" w:hAnsiTheme="minorEastAsia" w:hint="eastAsia"/>
                <w:color w:val="000000"/>
                <w:sz w:val="18"/>
                <w:szCs w:val="18"/>
              </w:rPr>
              <w:t>数量指标</w:t>
            </w:r>
          </w:p>
        </w:tc>
        <w:tc>
          <w:tcPr>
            <w:tcW w:w="600" w:type="pc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部门产出数量与绩效目标相符</w:t>
            </w:r>
          </w:p>
        </w:tc>
        <w:tc>
          <w:tcPr>
            <w:tcW w:w="250" w:type="pct"/>
            <w:vMerge/>
            <w:vAlign w:val="center"/>
          </w:tcPr>
          <w:p w:rsidR="00971B30" w:rsidRDefault="00971B30">
            <w:pPr>
              <w:jc w:val="center"/>
              <w:rPr>
                <w:rFonts w:asciiTheme="minorEastAsia" w:eastAsiaTheme="minorEastAsia" w:hAnsiTheme="minorEastAsia" w:cs="宋体"/>
                <w:color w:val="000000"/>
                <w:sz w:val="18"/>
                <w:szCs w:val="18"/>
              </w:rPr>
            </w:pPr>
          </w:p>
        </w:tc>
        <w:tc>
          <w:tcPr>
            <w:tcW w:w="249" w:type="pct"/>
            <w:vMerge/>
            <w:noWrap/>
            <w:vAlign w:val="center"/>
          </w:tcPr>
          <w:p w:rsidR="00971B30" w:rsidRDefault="00971B30">
            <w:pPr>
              <w:jc w:val="center"/>
              <w:rPr>
                <w:rFonts w:asciiTheme="minorEastAsia" w:eastAsiaTheme="minorEastAsia" w:hAnsiTheme="minorEastAsia" w:cs="宋体"/>
                <w:color w:val="000000"/>
                <w:sz w:val="18"/>
                <w:szCs w:val="18"/>
              </w:rPr>
            </w:pP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val="restart"/>
            <w:shd w:val="clear" w:color="auto" w:fill="auto"/>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质量指标</w:t>
            </w:r>
          </w:p>
        </w:tc>
        <w:tc>
          <w:tcPr>
            <w:tcW w:w="850" w:type="pct"/>
            <w:tcBorders>
              <w:bottom w:val="single" w:sz="4" w:space="0" w:color="auto"/>
            </w:tcBorders>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课题研究成果质量符合要求</w:t>
            </w:r>
          </w:p>
        </w:tc>
        <w:tc>
          <w:tcPr>
            <w:tcW w:w="600" w:type="pct"/>
            <w:vMerge w:val="restart"/>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部门产出质量提升及达到标准，支撑材料待进一步收集整理</w:t>
            </w:r>
          </w:p>
        </w:tc>
        <w:tc>
          <w:tcPr>
            <w:tcW w:w="250" w:type="pct"/>
            <w:vMerge w:val="restar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249" w:type="pct"/>
            <w:vMerge w:val="restart"/>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9</w:t>
            </w: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737"/>
        </w:trPr>
        <w:tc>
          <w:tcPr>
            <w:tcW w:w="288" w:type="pct"/>
            <w:vMerge/>
            <w:vAlign w:val="center"/>
          </w:tcPr>
          <w:p w:rsidR="00971B30" w:rsidRDefault="00971B30">
            <w:pPr>
              <w:jc w:val="left"/>
            </w:pPr>
          </w:p>
        </w:tc>
        <w:tc>
          <w:tcPr>
            <w:tcW w:w="299" w:type="pct"/>
            <w:vMerge/>
            <w:vAlign w:val="center"/>
          </w:tcPr>
          <w:p w:rsidR="00971B30" w:rsidRDefault="00971B30">
            <w:pPr>
              <w:jc w:val="left"/>
            </w:pPr>
          </w:p>
        </w:tc>
        <w:tc>
          <w:tcPr>
            <w:tcW w:w="349" w:type="pct"/>
            <w:vMerge/>
            <w:shd w:val="clear" w:color="auto" w:fill="auto"/>
            <w:vAlign w:val="center"/>
          </w:tcPr>
          <w:p w:rsidR="00971B30" w:rsidRDefault="00971B30">
            <w:pPr>
              <w:jc w:val="left"/>
            </w:pPr>
          </w:p>
        </w:tc>
        <w:tc>
          <w:tcPr>
            <w:tcW w:w="850" w:type="pct"/>
            <w:tcBorders>
              <w:bottom w:val="single" w:sz="4" w:space="0" w:color="auto"/>
            </w:tcBorders>
            <w:shd w:val="clear" w:color="auto" w:fill="auto"/>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总体项目质量</w:t>
            </w:r>
          </w:p>
        </w:tc>
        <w:tc>
          <w:tcPr>
            <w:tcW w:w="600" w:type="pct"/>
            <w:vMerge/>
            <w:shd w:val="clear" w:color="auto" w:fill="auto"/>
            <w:vAlign w:val="center"/>
          </w:tcPr>
          <w:p w:rsidR="00971B30" w:rsidRDefault="00971B30">
            <w:pPr>
              <w:rPr>
                <w:rFonts w:asciiTheme="minorEastAsia" w:eastAsiaTheme="minorEastAsia" w:hAnsiTheme="minorEastAsia"/>
                <w:color w:val="000000"/>
                <w:sz w:val="18"/>
                <w:szCs w:val="18"/>
              </w:rPr>
            </w:pPr>
          </w:p>
        </w:tc>
        <w:tc>
          <w:tcPr>
            <w:tcW w:w="250" w:type="pct"/>
            <w:vMerge/>
            <w:vAlign w:val="center"/>
          </w:tcPr>
          <w:p w:rsidR="00971B30" w:rsidRDefault="00971B30">
            <w:pPr>
              <w:jc w:val="left"/>
              <w:rPr>
                <w:rFonts w:asciiTheme="minorEastAsia" w:eastAsiaTheme="minorEastAsia" w:hAnsiTheme="minorEastAsia"/>
                <w:color w:val="000000"/>
                <w:sz w:val="18"/>
                <w:szCs w:val="18"/>
              </w:rPr>
            </w:pPr>
          </w:p>
        </w:tc>
        <w:tc>
          <w:tcPr>
            <w:tcW w:w="249" w:type="pct"/>
            <w:vMerge/>
            <w:noWrap/>
            <w:vAlign w:val="center"/>
          </w:tcPr>
          <w:p w:rsidR="00971B30" w:rsidRDefault="00971B30">
            <w:pPr>
              <w:jc w:val="left"/>
              <w:rPr>
                <w:rFonts w:asciiTheme="minorEastAsia" w:eastAsiaTheme="minorEastAsia" w:hAnsiTheme="minorEastAsia"/>
                <w:color w:val="000000"/>
                <w:sz w:val="18"/>
                <w:szCs w:val="18"/>
              </w:rPr>
            </w:pPr>
          </w:p>
        </w:tc>
        <w:tc>
          <w:tcPr>
            <w:tcW w:w="1350" w:type="pct"/>
            <w:vMerge/>
            <w:vAlign w:val="center"/>
          </w:tcPr>
          <w:p w:rsidR="00971B30" w:rsidRDefault="00971B30">
            <w:pPr>
              <w:jc w:val="left"/>
              <w:rPr>
                <w:rFonts w:asciiTheme="minorEastAsia" w:eastAsiaTheme="minorEastAsia" w:hAnsiTheme="minorEastAsia"/>
                <w:color w:val="000000"/>
                <w:sz w:val="18"/>
                <w:szCs w:val="18"/>
              </w:rPr>
            </w:pPr>
          </w:p>
        </w:tc>
        <w:tc>
          <w:tcPr>
            <w:tcW w:w="761" w:type="pct"/>
            <w:vMerge/>
            <w:vAlign w:val="center"/>
          </w:tcPr>
          <w:p w:rsidR="00971B30" w:rsidRDefault="00971B30">
            <w:pPr>
              <w:jc w:val="left"/>
              <w:rPr>
                <w:rFonts w:asciiTheme="minorEastAsia" w:eastAsiaTheme="minorEastAsia" w:hAnsiTheme="minorEastAsia"/>
                <w:color w:val="000000"/>
                <w:sz w:val="18"/>
                <w:szCs w:val="18"/>
              </w:rPr>
            </w:pP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tcBorders>
              <w:bottom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进度指标</w:t>
            </w:r>
          </w:p>
        </w:tc>
        <w:tc>
          <w:tcPr>
            <w:tcW w:w="850" w:type="pct"/>
            <w:tcBorders>
              <w:top w:val="single" w:sz="4" w:space="0" w:color="auto"/>
              <w:bottom w:val="single" w:sz="4" w:space="0" w:color="auto"/>
              <w:right w:val="single" w:sz="4" w:space="0" w:color="auto"/>
            </w:tcBorders>
            <w:vAlign w:val="center"/>
          </w:tcPr>
          <w:p w:rsidR="00971B30" w:rsidRDefault="00771C49">
            <w:pPr>
              <w:jc w:val="left"/>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按时完成全年项目</w:t>
            </w:r>
          </w:p>
        </w:tc>
        <w:tc>
          <w:tcPr>
            <w:tcW w:w="600" w:type="pct"/>
            <w:tcBorders>
              <w:top w:val="single" w:sz="4" w:space="0" w:color="auto"/>
              <w:left w:val="single" w:sz="4" w:space="0" w:color="auto"/>
              <w:bottom w:val="single" w:sz="4" w:space="0" w:color="auto"/>
            </w:tcBorders>
            <w:vAlign w:val="center"/>
          </w:tcPr>
          <w:p w:rsidR="00971B30" w:rsidRDefault="00771C49">
            <w:pP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 xml:space="preserve">2021年全年执行，个别项目结转　</w:t>
            </w:r>
          </w:p>
        </w:tc>
        <w:tc>
          <w:tcPr>
            <w:tcW w:w="250" w:type="pc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5</w:t>
            </w:r>
          </w:p>
        </w:tc>
        <w:tc>
          <w:tcPr>
            <w:tcW w:w="249" w:type="pct"/>
            <w:tcBorders>
              <w:top w:val="single" w:sz="4" w:space="0" w:color="auto"/>
              <w:bottom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5</w:t>
            </w: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73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tcBorders>
              <w:bottom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成本指标</w:t>
            </w:r>
          </w:p>
        </w:tc>
        <w:tc>
          <w:tcPr>
            <w:tcW w:w="850" w:type="pct"/>
            <w:tcBorders>
              <w:top w:val="single" w:sz="4" w:space="0" w:color="auto"/>
              <w:bottom w:val="single" w:sz="4" w:space="0" w:color="auto"/>
              <w:right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部门整体预算控制在7,924.57万元以内</w:t>
            </w:r>
          </w:p>
        </w:tc>
        <w:tc>
          <w:tcPr>
            <w:tcW w:w="600" w:type="pct"/>
            <w:tcBorders>
              <w:top w:val="single" w:sz="4" w:space="0" w:color="auto"/>
              <w:left w:val="single" w:sz="4" w:space="0" w:color="auto"/>
              <w:bottom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年度预算执行7,191.10万元</w:t>
            </w:r>
          </w:p>
        </w:tc>
        <w:tc>
          <w:tcPr>
            <w:tcW w:w="250" w:type="pct"/>
            <w:tcBorders>
              <w:bottom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5</w:t>
            </w:r>
          </w:p>
        </w:tc>
        <w:tc>
          <w:tcPr>
            <w:tcW w:w="249" w:type="pct"/>
            <w:tcBorders>
              <w:top w:val="single" w:sz="4" w:space="0" w:color="auto"/>
              <w:bottom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5</w:t>
            </w:r>
          </w:p>
        </w:tc>
        <w:tc>
          <w:tcPr>
            <w:tcW w:w="1350" w:type="pct"/>
            <w:vMerge/>
            <w:tcBorders>
              <w:bottom w:val="single" w:sz="4" w:space="0" w:color="auto"/>
            </w:tcBorders>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tcBorders>
              <w:bottom w:val="single" w:sz="4" w:space="0" w:color="auto"/>
            </w:tcBorders>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454"/>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restart"/>
            <w:tcBorders>
              <w:right w:val="single" w:sz="4" w:space="0" w:color="auto"/>
            </w:tcBorders>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效果（30）</w:t>
            </w:r>
          </w:p>
        </w:tc>
        <w:tc>
          <w:tcPr>
            <w:tcW w:w="349" w:type="pct"/>
            <w:vMerge w:val="restart"/>
            <w:tcBorders>
              <w:top w:val="single" w:sz="4" w:space="0" w:color="auto"/>
              <w:left w:val="single" w:sz="4" w:space="0" w:color="auto"/>
              <w:right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社会效益</w:t>
            </w:r>
          </w:p>
        </w:tc>
        <w:tc>
          <w:tcPr>
            <w:tcW w:w="850" w:type="pct"/>
            <w:tcBorders>
              <w:top w:val="single" w:sz="4" w:space="0" w:color="auto"/>
              <w:left w:val="single" w:sz="4" w:space="0" w:color="auto"/>
              <w:bottom w:val="single" w:sz="4" w:space="0" w:color="auto"/>
              <w:right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提高全社会对北京市乡村振兴与“三农”的关注度，在舆论氛围方面发挥积极作用</w:t>
            </w:r>
          </w:p>
        </w:tc>
        <w:tc>
          <w:tcPr>
            <w:tcW w:w="600" w:type="pct"/>
            <w:vMerge w:val="restart"/>
            <w:tcBorders>
              <w:top w:val="single" w:sz="4" w:space="0" w:color="auto"/>
              <w:left w:val="single" w:sz="4" w:space="0" w:color="auto"/>
              <w:right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基本达到预期目标，资料待进一步完善</w:t>
            </w:r>
          </w:p>
        </w:tc>
        <w:tc>
          <w:tcPr>
            <w:tcW w:w="250" w:type="pct"/>
            <w:vMerge w:val="restart"/>
            <w:tcBorders>
              <w:top w:val="single" w:sz="4" w:space="0" w:color="auto"/>
              <w:left w:val="single" w:sz="4" w:space="0" w:color="auto"/>
              <w:right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249" w:type="pct"/>
            <w:vMerge w:val="restart"/>
            <w:tcBorders>
              <w:top w:val="single" w:sz="4" w:space="0" w:color="auto"/>
              <w:left w:val="single" w:sz="4" w:space="0" w:color="auto"/>
              <w:right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9</w:t>
            </w:r>
          </w:p>
        </w:tc>
        <w:tc>
          <w:tcPr>
            <w:tcW w:w="1350"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经济效益</w:t>
            </w:r>
            <w:r>
              <w:rPr>
                <w:rFonts w:asciiTheme="minorEastAsia" w:eastAsiaTheme="minorEastAsia" w:hAnsiTheme="minorEastAsia" w:cs="宋体" w:hint="eastAsia"/>
                <w:color w:val="000000"/>
                <w:kern w:val="0"/>
                <w:sz w:val="18"/>
                <w:szCs w:val="18"/>
              </w:rPr>
              <w:t>：部门（单位）履行职责对经济发展所带来的直接或间接影响。</w:t>
            </w:r>
            <w:r>
              <w:rPr>
                <w:rFonts w:asciiTheme="minorEastAsia" w:eastAsiaTheme="minorEastAsia" w:hAnsiTheme="minorEastAsia" w:cs="宋体" w:hint="eastAsia"/>
                <w:b/>
                <w:bCs/>
                <w:color w:val="000000"/>
                <w:kern w:val="0"/>
                <w:sz w:val="18"/>
                <w:szCs w:val="18"/>
              </w:rPr>
              <w:t>社会效益</w:t>
            </w:r>
            <w:r>
              <w:rPr>
                <w:rFonts w:asciiTheme="minorEastAsia" w:eastAsiaTheme="minorEastAsia" w:hAnsiTheme="minorEastAsia" w:cs="宋体" w:hint="eastAsia"/>
                <w:color w:val="000000"/>
                <w:kern w:val="0"/>
                <w:sz w:val="18"/>
                <w:szCs w:val="18"/>
              </w:rPr>
              <w:t>：部门（单位）履行职责对社会发展所带来的直接或间接影响。</w:t>
            </w:r>
            <w:r>
              <w:rPr>
                <w:rFonts w:asciiTheme="minorEastAsia" w:eastAsiaTheme="minorEastAsia" w:hAnsiTheme="minorEastAsia" w:cs="宋体" w:hint="eastAsia"/>
                <w:b/>
                <w:bCs/>
                <w:color w:val="000000"/>
                <w:kern w:val="0"/>
                <w:sz w:val="18"/>
                <w:szCs w:val="18"/>
              </w:rPr>
              <w:t>环境效益</w:t>
            </w:r>
            <w:r>
              <w:rPr>
                <w:rFonts w:asciiTheme="minorEastAsia" w:eastAsiaTheme="minorEastAsia" w:hAnsiTheme="minorEastAsia" w:cs="宋体" w:hint="eastAsia"/>
                <w:color w:val="000000"/>
                <w:kern w:val="0"/>
                <w:sz w:val="18"/>
                <w:szCs w:val="18"/>
              </w:rPr>
              <w:t>：部门（单位）履行职责对环境所带来的直接或间接影响。</w:t>
            </w:r>
            <w:r>
              <w:rPr>
                <w:rFonts w:asciiTheme="minorEastAsia" w:eastAsiaTheme="minorEastAsia" w:hAnsiTheme="minorEastAsia" w:cs="宋体" w:hint="eastAsia"/>
                <w:b/>
                <w:bCs/>
                <w:color w:val="000000"/>
                <w:kern w:val="0"/>
                <w:sz w:val="18"/>
                <w:szCs w:val="18"/>
              </w:rPr>
              <w:t>可持续性影响：</w:t>
            </w:r>
            <w:r>
              <w:rPr>
                <w:rFonts w:asciiTheme="minorEastAsia" w:eastAsiaTheme="minorEastAsia" w:hAnsiTheme="minorEastAsia" w:cs="宋体" w:hint="eastAsia"/>
                <w:color w:val="000000"/>
                <w:kern w:val="0"/>
                <w:sz w:val="18"/>
                <w:szCs w:val="18"/>
              </w:rPr>
              <w:t>部门绩效目标实现的长效机制建设情况，部门工作效率提升措施的创新。</w:t>
            </w:r>
            <w:r>
              <w:rPr>
                <w:rFonts w:asciiTheme="minorEastAsia" w:eastAsiaTheme="minorEastAsia" w:hAnsiTheme="minorEastAsia" w:cs="宋体" w:hint="eastAsia"/>
                <w:b/>
                <w:bCs/>
                <w:color w:val="000000"/>
                <w:kern w:val="0"/>
                <w:sz w:val="18"/>
                <w:szCs w:val="18"/>
              </w:rPr>
              <w:t>服务对象满意度</w:t>
            </w:r>
            <w:r>
              <w:rPr>
                <w:rFonts w:asciiTheme="minorEastAsia" w:eastAsiaTheme="minorEastAsia" w:hAnsiTheme="minorEastAsia" w:cs="宋体" w:hint="eastAsia"/>
                <w:color w:val="000000"/>
                <w:kern w:val="0"/>
                <w:sz w:val="18"/>
                <w:szCs w:val="18"/>
              </w:rPr>
              <w:t>：部门（单位）的服务对象对部门履职效果的满意程度。</w:t>
            </w:r>
          </w:p>
        </w:tc>
        <w:tc>
          <w:tcPr>
            <w:tcW w:w="761" w:type="pct"/>
            <w:vMerge w:val="restart"/>
            <w:tcBorders>
              <w:top w:val="single" w:sz="4" w:space="0" w:color="auto"/>
              <w:left w:val="single" w:sz="4" w:space="0" w:color="auto"/>
              <w:bottom w:val="single" w:sz="4" w:space="0" w:color="auto"/>
              <w:right w:val="single" w:sz="4" w:space="0" w:color="auto"/>
            </w:tcBorders>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tcBorders>
              <w:left w:val="single" w:sz="4" w:space="0" w:color="auto"/>
              <w:right w:val="single" w:sz="4" w:space="0" w:color="auto"/>
            </w:tcBorders>
            <w:vAlign w:val="center"/>
          </w:tcPr>
          <w:p w:rsidR="00971B30" w:rsidRDefault="00971B30">
            <w:pPr>
              <w:jc w:val="center"/>
              <w:rPr>
                <w:rFonts w:asciiTheme="minorEastAsia" w:eastAsiaTheme="minorEastAsia" w:hAnsiTheme="minorEastAsia" w:cs="宋体"/>
                <w:color w:val="000000"/>
                <w:sz w:val="18"/>
                <w:szCs w:val="18"/>
              </w:rPr>
            </w:pPr>
          </w:p>
        </w:tc>
        <w:tc>
          <w:tcPr>
            <w:tcW w:w="850" w:type="pct"/>
            <w:tcBorders>
              <w:top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发挥专业部门在宣传农业文化、农村价值、促成城市居民到郊区休闲旅游方面的作用</w:t>
            </w:r>
          </w:p>
        </w:tc>
        <w:tc>
          <w:tcPr>
            <w:tcW w:w="600" w:type="pct"/>
            <w:vMerge/>
            <w:tcBorders>
              <w:left w:val="single" w:sz="4" w:space="0" w:color="auto"/>
              <w:right w:val="single" w:sz="4" w:space="0" w:color="auto"/>
            </w:tcBorders>
            <w:vAlign w:val="center"/>
          </w:tcPr>
          <w:p w:rsidR="00971B30" w:rsidRDefault="00971B30">
            <w:pPr>
              <w:rPr>
                <w:rFonts w:asciiTheme="minorEastAsia" w:eastAsiaTheme="minorEastAsia" w:hAnsiTheme="minorEastAsia"/>
                <w:color w:val="000000"/>
                <w:sz w:val="18"/>
                <w:szCs w:val="18"/>
              </w:rPr>
            </w:pPr>
          </w:p>
        </w:tc>
        <w:tc>
          <w:tcPr>
            <w:tcW w:w="250" w:type="pct"/>
            <w:vMerge/>
            <w:tcBorders>
              <w:left w:val="single" w:sz="4" w:space="0" w:color="auto"/>
              <w:right w:val="single" w:sz="4" w:space="0" w:color="auto"/>
            </w:tcBorders>
            <w:vAlign w:val="center"/>
          </w:tcPr>
          <w:p w:rsidR="00971B30" w:rsidRDefault="00971B30">
            <w:pPr>
              <w:jc w:val="center"/>
              <w:rPr>
                <w:rFonts w:asciiTheme="minorEastAsia" w:eastAsiaTheme="minorEastAsia" w:hAnsiTheme="minorEastAsia" w:cs="宋体"/>
                <w:color w:val="000000"/>
                <w:sz w:val="18"/>
                <w:szCs w:val="18"/>
              </w:rPr>
            </w:pPr>
          </w:p>
        </w:tc>
        <w:tc>
          <w:tcPr>
            <w:tcW w:w="249" w:type="pct"/>
            <w:vMerge/>
            <w:tcBorders>
              <w:left w:val="single" w:sz="4" w:space="0" w:color="auto"/>
              <w:right w:val="single" w:sz="4" w:space="0" w:color="auto"/>
            </w:tcBorders>
            <w:noWrap/>
            <w:vAlign w:val="center"/>
          </w:tcPr>
          <w:p w:rsidR="00971B30" w:rsidRDefault="00971B30">
            <w:pPr>
              <w:jc w:val="center"/>
              <w:rPr>
                <w:rFonts w:asciiTheme="minorEastAsia" w:eastAsiaTheme="minorEastAsia" w:hAnsiTheme="minorEastAsia"/>
                <w:color w:val="000000"/>
                <w:sz w:val="18"/>
                <w:szCs w:val="18"/>
              </w:rPr>
            </w:pPr>
          </w:p>
        </w:tc>
        <w:tc>
          <w:tcPr>
            <w:tcW w:w="1350" w:type="pct"/>
            <w:vMerge/>
            <w:tcBorders>
              <w:top w:val="single" w:sz="4" w:space="0" w:color="auto"/>
            </w:tcBorders>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tcBorders>
              <w:top w:val="single" w:sz="4" w:space="0" w:color="auto"/>
            </w:tcBorders>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Merge w:val="restar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可持续影响指标</w:t>
            </w:r>
          </w:p>
        </w:tc>
        <w:tc>
          <w:tcPr>
            <w:tcW w:w="8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在深化农村改革、新型农村集体经济发展、农村金融服务、基层治理体系方面的结论和建议成为全市“三农”工作的重要参考</w:t>
            </w:r>
          </w:p>
        </w:tc>
        <w:tc>
          <w:tcPr>
            <w:tcW w:w="600" w:type="pct"/>
            <w:vMerge w:val="restart"/>
            <w:tcBorders>
              <w:right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基本达到预期目标</w:t>
            </w:r>
          </w:p>
        </w:tc>
        <w:tc>
          <w:tcPr>
            <w:tcW w:w="250" w:type="pct"/>
            <w:vMerge w:val="restart"/>
            <w:tcBorders>
              <w:left w:val="single" w:sz="4" w:space="0" w:color="auto"/>
              <w:right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249" w:type="pct"/>
            <w:vMerge w:val="restart"/>
            <w:tcBorders>
              <w:left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9</w:t>
            </w: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r w:rsidR="00971B30">
        <w:trPr>
          <w:trHeight w:val="1106"/>
        </w:trPr>
        <w:tc>
          <w:tcPr>
            <w:tcW w:w="288" w:type="pct"/>
            <w:vMerge/>
            <w:vAlign w:val="center"/>
          </w:tcPr>
          <w:p w:rsidR="00971B30" w:rsidRDefault="00971B30">
            <w:pPr>
              <w:jc w:val="center"/>
            </w:pPr>
          </w:p>
        </w:tc>
        <w:tc>
          <w:tcPr>
            <w:tcW w:w="299" w:type="pct"/>
            <w:vMerge/>
            <w:vAlign w:val="center"/>
          </w:tcPr>
          <w:p w:rsidR="00971B30" w:rsidRDefault="00971B30">
            <w:pPr>
              <w:jc w:val="center"/>
            </w:pPr>
          </w:p>
        </w:tc>
        <w:tc>
          <w:tcPr>
            <w:tcW w:w="349" w:type="pct"/>
            <w:vMerge/>
            <w:vAlign w:val="center"/>
          </w:tcPr>
          <w:p w:rsidR="00971B30" w:rsidRDefault="00971B30">
            <w:pPr>
              <w:jc w:val="center"/>
            </w:pPr>
          </w:p>
        </w:tc>
        <w:tc>
          <w:tcPr>
            <w:tcW w:w="8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农业农村信息化统筹能力继续提升，成为基层应用和安全保障的骨干</w:t>
            </w:r>
          </w:p>
        </w:tc>
        <w:tc>
          <w:tcPr>
            <w:tcW w:w="600" w:type="pct"/>
            <w:vMerge/>
            <w:tcBorders>
              <w:right w:val="single" w:sz="4" w:space="0" w:color="auto"/>
            </w:tcBorders>
            <w:vAlign w:val="center"/>
          </w:tcPr>
          <w:p w:rsidR="00971B30" w:rsidRDefault="00971B30">
            <w:pPr>
              <w:rPr>
                <w:rFonts w:asciiTheme="minorEastAsia" w:eastAsiaTheme="minorEastAsia" w:hAnsiTheme="minorEastAsia"/>
                <w:color w:val="000000"/>
                <w:sz w:val="18"/>
                <w:szCs w:val="18"/>
              </w:rPr>
            </w:pPr>
          </w:p>
        </w:tc>
        <w:tc>
          <w:tcPr>
            <w:tcW w:w="250" w:type="pct"/>
            <w:vMerge/>
            <w:tcBorders>
              <w:left w:val="single" w:sz="4" w:space="0" w:color="auto"/>
              <w:right w:val="single" w:sz="4" w:space="0" w:color="auto"/>
            </w:tcBorders>
            <w:vAlign w:val="center"/>
          </w:tcPr>
          <w:p w:rsidR="00971B30" w:rsidRDefault="00971B30">
            <w:pPr>
              <w:jc w:val="center"/>
              <w:rPr>
                <w:rFonts w:asciiTheme="minorEastAsia" w:eastAsiaTheme="minorEastAsia" w:hAnsiTheme="minorEastAsia"/>
                <w:color w:val="000000"/>
                <w:sz w:val="18"/>
                <w:szCs w:val="18"/>
              </w:rPr>
            </w:pPr>
          </w:p>
        </w:tc>
        <w:tc>
          <w:tcPr>
            <w:tcW w:w="249" w:type="pct"/>
            <w:vMerge/>
            <w:tcBorders>
              <w:left w:val="single" w:sz="4" w:space="0" w:color="auto"/>
            </w:tcBorders>
            <w:noWrap/>
            <w:vAlign w:val="center"/>
          </w:tcPr>
          <w:p w:rsidR="00971B30" w:rsidRDefault="00971B30">
            <w:pPr>
              <w:jc w:val="center"/>
              <w:rPr>
                <w:rFonts w:asciiTheme="minorEastAsia" w:eastAsiaTheme="minorEastAsia" w:hAnsiTheme="minorEastAsia"/>
                <w:color w:val="000000"/>
                <w:sz w:val="18"/>
                <w:szCs w:val="18"/>
              </w:rPr>
            </w:pPr>
          </w:p>
        </w:tc>
        <w:tc>
          <w:tcPr>
            <w:tcW w:w="1350" w:type="pct"/>
            <w:vMerge/>
            <w:vAlign w:val="center"/>
          </w:tcPr>
          <w:p w:rsidR="00971B30" w:rsidRDefault="00971B30">
            <w:pPr>
              <w:jc w:val="center"/>
              <w:rPr>
                <w:rFonts w:asciiTheme="minorEastAsia" w:eastAsiaTheme="minorEastAsia" w:hAnsiTheme="minorEastAsia"/>
                <w:color w:val="000000"/>
                <w:sz w:val="18"/>
                <w:szCs w:val="18"/>
              </w:rPr>
            </w:pPr>
          </w:p>
        </w:tc>
        <w:tc>
          <w:tcPr>
            <w:tcW w:w="761" w:type="pct"/>
            <w:vMerge/>
            <w:vAlign w:val="center"/>
          </w:tcPr>
          <w:p w:rsidR="00971B30" w:rsidRDefault="00971B30">
            <w:pPr>
              <w:jc w:val="center"/>
              <w:rPr>
                <w:rFonts w:asciiTheme="minorEastAsia" w:eastAsiaTheme="minorEastAsia" w:hAnsiTheme="minorEastAsia"/>
                <w:color w:val="000000"/>
                <w:sz w:val="18"/>
                <w:szCs w:val="18"/>
              </w:rPr>
            </w:pPr>
          </w:p>
        </w:tc>
      </w:tr>
      <w:tr w:rsidR="00971B30">
        <w:trPr>
          <w:trHeight w:val="20"/>
        </w:trPr>
        <w:tc>
          <w:tcPr>
            <w:tcW w:w="288" w:type="pct"/>
            <w:vMerge/>
            <w:vAlign w:val="center"/>
          </w:tcPr>
          <w:p w:rsidR="00971B30" w:rsidRDefault="00971B30">
            <w:pPr>
              <w:jc w:val="center"/>
              <w:rPr>
                <w:rFonts w:asciiTheme="minorEastAsia" w:eastAsiaTheme="minorEastAsia" w:hAnsiTheme="minorEastAsia"/>
                <w:color w:val="000000"/>
                <w:sz w:val="18"/>
                <w:szCs w:val="18"/>
              </w:rPr>
            </w:pPr>
          </w:p>
        </w:tc>
        <w:tc>
          <w:tcPr>
            <w:tcW w:w="299" w:type="pct"/>
            <w:vMerge/>
            <w:vAlign w:val="center"/>
          </w:tcPr>
          <w:p w:rsidR="00971B30" w:rsidRDefault="00971B30">
            <w:pPr>
              <w:jc w:val="center"/>
              <w:rPr>
                <w:rFonts w:asciiTheme="minorEastAsia" w:eastAsiaTheme="minorEastAsia" w:hAnsiTheme="minorEastAsia"/>
                <w:color w:val="000000"/>
                <w:sz w:val="18"/>
                <w:szCs w:val="18"/>
              </w:rPr>
            </w:pPr>
          </w:p>
        </w:tc>
        <w:tc>
          <w:tcPr>
            <w:tcW w:w="349" w:type="pct"/>
            <w:vMerge/>
            <w:vAlign w:val="center"/>
          </w:tcPr>
          <w:p w:rsidR="00971B30" w:rsidRDefault="00971B30">
            <w:pPr>
              <w:jc w:val="center"/>
              <w:rPr>
                <w:rFonts w:asciiTheme="minorEastAsia" w:eastAsiaTheme="minorEastAsia" w:hAnsiTheme="minorEastAsia"/>
                <w:color w:val="000000"/>
                <w:sz w:val="18"/>
                <w:szCs w:val="18"/>
              </w:rPr>
            </w:pPr>
          </w:p>
        </w:tc>
        <w:tc>
          <w:tcPr>
            <w:tcW w:w="8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“三农”资料集中权威，农经理论支持能力进一步加强</w:t>
            </w:r>
          </w:p>
        </w:tc>
        <w:tc>
          <w:tcPr>
            <w:tcW w:w="600" w:type="pct"/>
            <w:vMerge/>
            <w:tcBorders>
              <w:right w:val="single" w:sz="4" w:space="0" w:color="auto"/>
            </w:tcBorders>
            <w:vAlign w:val="center"/>
          </w:tcPr>
          <w:p w:rsidR="00971B30" w:rsidRDefault="00971B30">
            <w:pPr>
              <w:rPr>
                <w:rFonts w:asciiTheme="minorEastAsia" w:eastAsiaTheme="minorEastAsia" w:hAnsiTheme="minorEastAsia"/>
                <w:color w:val="000000"/>
                <w:sz w:val="18"/>
                <w:szCs w:val="18"/>
              </w:rPr>
            </w:pPr>
          </w:p>
        </w:tc>
        <w:tc>
          <w:tcPr>
            <w:tcW w:w="250" w:type="pct"/>
            <w:vMerge/>
            <w:tcBorders>
              <w:left w:val="single" w:sz="4" w:space="0" w:color="auto"/>
              <w:right w:val="single" w:sz="4" w:space="0" w:color="auto"/>
            </w:tcBorders>
            <w:vAlign w:val="center"/>
          </w:tcPr>
          <w:p w:rsidR="00971B30" w:rsidRDefault="00971B30">
            <w:pPr>
              <w:jc w:val="center"/>
              <w:rPr>
                <w:rFonts w:asciiTheme="minorEastAsia" w:eastAsiaTheme="minorEastAsia" w:hAnsiTheme="minorEastAsia"/>
                <w:color w:val="000000"/>
                <w:sz w:val="18"/>
                <w:szCs w:val="18"/>
              </w:rPr>
            </w:pPr>
          </w:p>
        </w:tc>
        <w:tc>
          <w:tcPr>
            <w:tcW w:w="249" w:type="pct"/>
            <w:vMerge/>
            <w:tcBorders>
              <w:left w:val="single" w:sz="4" w:space="0" w:color="auto"/>
            </w:tcBorders>
            <w:noWrap/>
            <w:vAlign w:val="center"/>
          </w:tcPr>
          <w:p w:rsidR="00971B30" w:rsidRDefault="00971B30">
            <w:pPr>
              <w:jc w:val="center"/>
              <w:rPr>
                <w:rFonts w:asciiTheme="minorEastAsia" w:eastAsiaTheme="minorEastAsia" w:hAnsiTheme="minorEastAsia"/>
                <w:color w:val="000000"/>
                <w:sz w:val="18"/>
                <w:szCs w:val="18"/>
              </w:rPr>
            </w:pPr>
          </w:p>
        </w:tc>
        <w:tc>
          <w:tcPr>
            <w:tcW w:w="1350" w:type="pct"/>
            <w:vMerge/>
            <w:vAlign w:val="center"/>
          </w:tcPr>
          <w:p w:rsidR="00971B30" w:rsidRDefault="00971B30">
            <w:pPr>
              <w:jc w:val="center"/>
              <w:rPr>
                <w:rFonts w:asciiTheme="minorEastAsia" w:eastAsiaTheme="minorEastAsia" w:hAnsiTheme="minorEastAsia"/>
                <w:color w:val="000000"/>
                <w:sz w:val="18"/>
                <w:szCs w:val="18"/>
              </w:rPr>
            </w:pPr>
          </w:p>
        </w:tc>
        <w:tc>
          <w:tcPr>
            <w:tcW w:w="761" w:type="pct"/>
            <w:vMerge/>
            <w:vAlign w:val="center"/>
          </w:tcPr>
          <w:p w:rsidR="00971B30" w:rsidRDefault="00971B30">
            <w:pPr>
              <w:jc w:val="center"/>
              <w:rPr>
                <w:rFonts w:asciiTheme="minorEastAsia" w:eastAsiaTheme="minorEastAsia" w:hAnsiTheme="minorEastAsia"/>
                <w:color w:val="000000"/>
                <w:sz w:val="18"/>
                <w:szCs w:val="18"/>
              </w:rPr>
            </w:pPr>
          </w:p>
        </w:tc>
      </w:tr>
      <w:tr w:rsidR="00971B30">
        <w:trPr>
          <w:trHeight w:val="1077"/>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299"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349" w:type="pct"/>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服务对象满意度</w:t>
            </w:r>
          </w:p>
        </w:tc>
        <w:tc>
          <w:tcPr>
            <w:tcW w:w="8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服务对象满意度80%以上</w:t>
            </w:r>
          </w:p>
        </w:tc>
        <w:tc>
          <w:tcPr>
            <w:tcW w:w="600" w:type="pct"/>
            <w:tcBorders>
              <w:right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满意度达到目标，满意度调查不够全面，资料待进一步完善</w:t>
            </w:r>
          </w:p>
        </w:tc>
        <w:tc>
          <w:tcPr>
            <w:tcW w:w="250" w:type="pct"/>
            <w:tcBorders>
              <w:left w:val="single" w:sz="4" w:space="0" w:color="auto"/>
              <w:right w:val="single" w:sz="4" w:space="0" w:color="auto"/>
            </w:tcBorders>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10</w:t>
            </w:r>
          </w:p>
        </w:tc>
        <w:tc>
          <w:tcPr>
            <w:tcW w:w="249" w:type="pct"/>
            <w:tcBorders>
              <w:left w:val="single" w:sz="4" w:space="0" w:color="auto"/>
            </w:tcBorders>
            <w:noWrap/>
            <w:vAlign w:val="center"/>
          </w:tcPr>
          <w:p w:rsidR="00971B30" w:rsidRDefault="00771C49">
            <w:pPr>
              <w:jc w:val="center"/>
              <w:rPr>
                <w:rFonts w:asciiTheme="minorEastAsia" w:eastAsiaTheme="minorEastAsia" w:hAnsiTheme="minorEastAsia" w:cs="宋体"/>
                <w:color w:val="000000"/>
                <w:sz w:val="18"/>
                <w:szCs w:val="18"/>
              </w:rPr>
            </w:pPr>
            <w:r>
              <w:rPr>
                <w:rFonts w:asciiTheme="minorEastAsia" w:eastAsiaTheme="minorEastAsia" w:hAnsiTheme="minorEastAsia" w:hint="eastAsia"/>
                <w:color w:val="000000"/>
                <w:sz w:val="18"/>
                <w:szCs w:val="18"/>
              </w:rPr>
              <w:t>9</w:t>
            </w:r>
          </w:p>
        </w:tc>
        <w:tc>
          <w:tcPr>
            <w:tcW w:w="1350"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c>
          <w:tcPr>
            <w:tcW w:w="761" w:type="pct"/>
            <w:vMerge/>
            <w:vAlign w:val="center"/>
          </w:tcPr>
          <w:p w:rsidR="00971B30" w:rsidRDefault="00971B30">
            <w:pPr>
              <w:widowControl/>
              <w:jc w:val="left"/>
              <w:rPr>
                <w:rFonts w:asciiTheme="minorEastAsia" w:eastAsiaTheme="minorEastAsia" w:hAnsiTheme="minorEastAsia" w:cs="宋体"/>
                <w:color w:val="000000"/>
                <w:kern w:val="0"/>
                <w:sz w:val="18"/>
                <w:szCs w:val="18"/>
              </w:rPr>
            </w:pPr>
          </w:p>
        </w:tc>
      </w:tr>
    </w:tbl>
    <w:p w:rsidR="00971B30" w:rsidRDefault="00971B30">
      <w:pPr>
        <w:pStyle w:val="a0"/>
        <w:ind w:left="1470" w:right="147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993"/>
        <w:gridCol w:w="1559"/>
        <w:gridCol w:w="1559"/>
        <w:gridCol w:w="850"/>
        <w:gridCol w:w="850"/>
        <w:gridCol w:w="2412"/>
        <w:gridCol w:w="4283"/>
      </w:tblGrid>
      <w:tr w:rsidR="00971B30">
        <w:trPr>
          <w:trHeight w:val="699"/>
          <w:tblHeader/>
        </w:trPr>
        <w:tc>
          <w:tcPr>
            <w:tcW w:w="5000" w:type="pct"/>
            <w:gridSpan w:val="9"/>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20"/>
                <w:szCs w:val="20"/>
              </w:rPr>
              <w:t>预算管理情况（20分）</w:t>
            </w:r>
          </w:p>
        </w:tc>
      </w:tr>
      <w:tr w:rsidR="00971B30">
        <w:trPr>
          <w:trHeight w:val="702"/>
          <w:tblHeader/>
        </w:trPr>
        <w:tc>
          <w:tcPr>
            <w:tcW w:w="288"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一</w:t>
            </w:r>
            <w:r>
              <w:rPr>
                <w:rFonts w:asciiTheme="minorEastAsia" w:eastAsiaTheme="minorEastAsia" w:hAnsiTheme="minorEastAsia" w:cs="宋体"/>
                <w:color w:val="000000"/>
                <w:kern w:val="0"/>
                <w:sz w:val="20"/>
                <w:szCs w:val="20"/>
              </w:rPr>
              <w:t>级</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color w:val="000000"/>
                <w:kern w:val="0"/>
                <w:sz w:val="20"/>
                <w:szCs w:val="20"/>
              </w:rPr>
              <w:t>指标</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二</w:t>
            </w:r>
            <w:r>
              <w:rPr>
                <w:rFonts w:asciiTheme="minorEastAsia" w:eastAsiaTheme="minorEastAsia" w:hAnsiTheme="minorEastAsia" w:cs="宋体"/>
                <w:color w:val="000000"/>
                <w:kern w:val="0"/>
                <w:sz w:val="20"/>
                <w:szCs w:val="20"/>
              </w:rPr>
              <w:t>级</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color w:val="000000"/>
                <w:kern w:val="0"/>
                <w:sz w:val="20"/>
                <w:szCs w:val="20"/>
              </w:rPr>
              <w:t>指标</w:t>
            </w: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三</w:t>
            </w:r>
            <w:r>
              <w:rPr>
                <w:rFonts w:asciiTheme="minorEastAsia" w:eastAsiaTheme="minorEastAsia" w:hAnsiTheme="minorEastAsia" w:cs="宋体"/>
                <w:color w:val="000000"/>
                <w:kern w:val="0"/>
                <w:sz w:val="20"/>
                <w:szCs w:val="20"/>
              </w:rPr>
              <w:t>级指标</w:t>
            </w:r>
          </w:p>
        </w:tc>
        <w:tc>
          <w:tcPr>
            <w:tcW w:w="5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指标</w:t>
            </w:r>
            <w:r>
              <w:rPr>
                <w:rFonts w:asciiTheme="minorEastAsia" w:eastAsiaTheme="minorEastAsia" w:hAnsiTheme="minorEastAsia" w:cs="宋体"/>
                <w:color w:val="000000"/>
                <w:kern w:val="0"/>
                <w:sz w:val="20"/>
                <w:szCs w:val="20"/>
              </w:rPr>
              <w:t>值</w:t>
            </w:r>
          </w:p>
        </w:tc>
        <w:tc>
          <w:tcPr>
            <w:tcW w:w="5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完成</w:t>
            </w:r>
            <w:r>
              <w:rPr>
                <w:rFonts w:asciiTheme="minorEastAsia" w:eastAsiaTheme="minorEastAsia" w:hAnsiTheme="minorEastAsia" w:cs="宋体"/>
                <w:color w:val="000000"/>
                <w:kern w:val="0"/>
                <w:sz w:val="20"/>
                <w:szCs w:val="20"/>
              </w:rPr>
              <w:t>值</w:t>
            </w:r>
          </w:p>
        </w:tc>
        <w:tc>
          <w:tcPr>
            <w:tcW w:w="300" w:type="pct"/>
            <w:noWrap/>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w:t>
            </w:r>
            <w:r>
              <w:rPr>
                <w:rFonts w:asciiTheme="minorEastAsia" w:eastAsiaTheme="minorEastAsia" w:hAnsiTheme="minorEastAsia" w:cs="宋体"/>
                <w:color w:val="000000"/>
                <w:kern w:val="0"/>
                <w:sz w:val="20"/>
                <w:szCs w:val="20"/>
              </w:rPr>
              <w:t>值</w:t>
            </w:r>
          </w:p>
        </w:tc>
        <w:tc>
          <w:tcPr>
            <w:tcW w:w="300" w:type="pct"/>
            <w:noWrap/>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得</w:t>
            </w:r>
            <w:r>
              <w:rPr>
                <w:rFonts w:asciiTheme="minorEastAsia" w:eastAsiaTheme="minorEastAsia" w:hAnsiTheme="minorEastAsia" w:cs="宋体"/>
                <w:color w:val="000000"/>
                <w:kern w:val="0"/>
                <w:sz w:val="20"/>
                <w:szCs w:val="20"/>
              </w:rPr>
              <w:t>分</w:t>
            </w:r>
          </w:p>
        </w:tc>
        <w:tc>
          <w:tcPr>
            <w:tcW w:w="851" w:type="pct"/>
            <w:vAlign w:val="center"/>
          </w:tcPr>
          <w:p w:rsidR="00971B30" w:rsidRDefault="00771C49">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1511" w:type="pct"/>
            <w:vAlign w:val="center"/>
          </w:tcPr>
          <w:p w:rsidR="00971B30" w:rsidRDefault="00771C4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971B30">
        <w:trPr>
          <w:trHeight w:val="20"/>
        </w:trPr>
        <w:tc>
          <w:tcPr>
            <w:tcW w:w="288" w:type="pct"/>
            <w:vMerge w:val="restar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预算管理情况（20）</w:t>
            </w:r>
          </w:p>
        </w:tc>
        <w:tc>
          <w:tcPr>
            <w:tcW w:w="300" w:type="pct"/>
            <w:vMerge w:val="restar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财务管理</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财务管理制度健全性</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建立相关财务管理制度，且完整、合规</w:t>
            </w:r>
          </w:p>
        </w:tc>
        <w:tc>
          <w:tcPr>
            <w:tcW w:w="550" w:type="pct"/>
            <w:vAlign w:val="center"/>
          </w:tcPr>
          <w:p w:rsidR="00971B30" w:rsidRPr="004D46A1" w:rsidRDefault="00771C49">
            <w:pPr>
              <w:rPr>
                <w:rFonts w:asciiTheme="minorEastAsia" w:eastAsiaTheme="minorEastAsia" w:hAnsiTheme="minorEastAsia"/>
                <w:color w:val="000000"/>
                <w:sz w:val="18"/>
                <w:szCs w:val="18"/>
              </w:rPr>
            </w:pPr>
            <w:r w:rsidRPr="004D46A1">
              <w:rPr>
                <w:rFonts w:asciiTheme="minorEastAsia" w:eastAsiaTheme="minorEastAsia" w:hAnsiTheme="minorEastAsia" w:hint="eastAsia"/>
                <w:color w:val="000000"/>
                <w:sz w:val="18"/>
                <w:szCs w:val="18"/>
              </w:rPr>
              <w:t>相关财务管理制度完整、规范</w:t>
            </w:r>
          </w:p>
        </w:tc>
        <w:tc>
          <w:tcPr>
            <w:tcW w:w="300" w:type="pct"/>
            <w:noWrap/>
            <w:vAlign w:val="center"/>
          </w:tcPr>
          <w:p w:rsidR="00971B30" w:rsidRPr="004D46A1" w:rsidRDefault="00771C49">
            <w:pPr>
              <w:jc w:val="center"/>
              <w:rPr>
                <w:rFonts w:asciiTheme="minorEastAsia" w:eastAsiaTheme="minorEastAsia" w:hAnsiTheme="minorEastAsia" w:cs="宋体"/>
                <w:color w:val="000000"/>
                <w:sz w:val="18"/>
                <w:szCs w:val="18"/>
              </w:rPr>
            </w:pPr>
            <w:r w:rsidRPr="004D46A1">
              <w:rPr>
                <w:rFonts w:asciiTheme="minorEastAsia" w:eastAsiaTheme="minorEastAsia" w:hAnsiTheme="minorEastAsia" w:hint="eastAsia"/>
                <w:color w:val="000000"/>
                <w:sz w:val="18"/>
                <w:szCs w:val="18"/>
              </w:rPr>
              <w:t>1</w:t>
            </w:r>
          </w:p>
        </w:tc>
        <w:tc>
          <w:tcPr>
            <w:tcW w:w="300" w:type="pct"/>
            <w:noWrap/>
            <w:vAlign w:val="center"/>
          </w:tcPr>
          <w:p w:rsidR="00971B30" w:rsidRDefault="00771C49">
            <w:pPr>
              <w:jc w:val="center"/>
              <w:rPr>
                <w:rFonts w:asciiTheme="minorEastAsia" w:eastAsiaTheme="minorEastAsia" w:hAnsiTheme="minorEastAsia" w:cs="宋体"/>
                <w:color w:val="000000"/>
                <w:sz w:val="20"/>
                <w:szCs w:val="20"/>
              </w:rPr>
            </w:pPr>
            <w:r>
              <w:rPr>
                <w:rFonts w:asciiTheme="minorEastAsia" w:eastAsiaTheme="minorEastAsia" w:hAnsiTheme="minorEastAsia" w:hint="eastAsia"/>
                <w:color w:val="000000"/>
                <w:sz w:val="20"/>
                <w:szCs w:val="20"/>
              </w:rPr>
              <w:t>1</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财务管理制度健全性:</w:t>
            </w:r>
            <w:r>
              <w:rPr>
                <w:rFonts w:asciiTheme="minorEastAsia" w:eastAsiaTheme="minorEastAsia" w:hAnsiTheme="minorEastAsia" w:cs="宋体" w:hint="eastAsia"/>
                <w:color w:val="000000"/>
                <w:kern w:val="0"/>
                <w:sz w:val="18"/>
                <w:szCs w:val="18"/>
              </w:rPr>
              <w:t>部门（单位）为加强财务管理、规范财务行为而制定的管理制度。</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资金使用合规性和安全性</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资金使用符合相关管理要求，使用合规、安全</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资金使用符合要求、规范执行</w:t>
            </w:r>
          </w:p>
        </w:tc>
        <w:tc>
          <w:tcPr>
            <w:tcW w:w="300" w:type="pct"/>
            <w:noWrap/>
            <w:vAlign w:val="center"/>
          </w:tcPr>
          <w:p w:rsidR="00971B30" w:rsidRDefault="00771C49">
            <w:pPr>
              <w:jc w:val="center"/>
              <w:rPr>
                <w:rFonts w:asciiTheme="minorEastAsia" w:eastAsiaTheme="minorEastAsia" w:hAnsiTheme="minorEastAsia" w:cs="宋体"/>
                <w:color w:val="000000"/>
                <w:sz w:val="20"/>
                <w:szCs w:val="20"/>
              </w:rPr>
            </w:pPr>
            <w:r>
              <w:rPr>
                <w:rFonts w:asciiTheme="minorEastAsia" w:eastAsiaTheme="minorEastAsia" w:hAnsiTheme="minorEastAsia" w:hint="eastAsia"/>
                <w:color w:val="000000"/>
                <w:sz w:val="20"/>
                <w:szCs w:val="20"/>
              </w:rPr>
              <w:t>2</w:t>
            </w:r>
          </w:p>
        </w:tc>
        <w:tc>
          <w:tcPr>
            <w:tcW w:w="300" w:type="pct"/>
            <w:noWrap/>
            <w:vAlign w:val="center"/>
          </w:tcPr>
          <w:p w:rsidR="00971B30" w:rsidRDefault="00771C49">
            <w:pPr>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资金使用合规性和安全性:</w:t>
            </w:r>
            <w:r>
              <w:rPr>
                <w:rFonts w:asciiTheme="minorEastAsia" w:eastAsiaTheme="minorEastAsia" w:hAnsiTheme="minorEastAsia"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971B30">
        <w:trPr>
          <w:trHeight w:val="964"/>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会计基础信息完善性</w:t>
            </w:r>
          </w:p>
        </w:tc>
        <w:tc>
          <w:tcPr>
            <w:tcW w:w="550" w:type="pct"/>
            <w:tcBorders>
              <w:bottom w:val="single" w:sz="4" w:space="0" w:color="auto"/>
            </w:tcBorders>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 xml:space="preserve">　基础数据信息和会计信息资料、完整、准确</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 xml:space="preserve">单位基础数据信息和会计信息资料、完整、准确　</w:t>
            </w:r>
          </w:p>
        </w:tc>
        <w:tc>
          <w:tcPr>
            <w:tcW w:w="300" w:type="pct"/>
            <w:noWrap/>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w:t>
            </w:r>
          </w:p>
        </w:tc>
        <w:tc>
          <w:tcPr>
            <w:tcW w:w="300" w:type="pct"/>
            <w:noWrap/>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会计基础信息完善性:</w:t>
            </w:r>
            <w:r>
              <w:rPr>
                <w:rFonts w:asciiTheme="minorEastAsia" w:eastAsiaTheme="minorEastAsia" w:hAnsiTheme="minorEastAsia" w:cs="宋体" w:hint="eastAsia"/>
                <w:color w:val="000000"/>
                <w:kern w:val="0"/>
                <w:sz w:val="18"/>
                <w:szCs w:val="18"/>
              </w:rPr>
              <w:t>部门（单位）会计基础信息情况。</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资产管理</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资产管理规范性</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资产管理制度健全，执行规范</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资产管理制度健全，且规范执行</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资产管理规范性:</w:t>
            </w:r>
            <w:r>
              <w:rPr>
                <w:rFonts w:asciiTheme="minorEastAsia" w:eastAsiaTheme="minorEastAsia" w:hAnsiTheme="minorEastAsia" w:cs="宋体" w:hint="eastAsia"/>
                <w:color w:val="000000"/>
                <w:kern w:val="0"/>
                <w:sz w:val="18"/>
                <w:szCs w:val="18"/>
              </w:rPr>
              <w:t>部门（单位）的资产是否保持安全完整，资产配置是否合理，资产使用和资产处理是否规</w:t>
            </w:r>
            <w:r>
              <w:rPr>
                <w:rFonts w:asciiTheme="minorEastAsia" w:eastAsiaTheme="minorEastAsia" w:hAnsiTheme="minorEastAsia" w:cs="宋体" w:hint="eastAsia"/>
                <w:color w:val="000000"/>
                <w:kern w:val="0"/>
                <w:sz w:val="18"/>
                <w:szCs w:val="18"/>
              </w:rPr>
              <w:lastRenderedPageBreak/>
              <w:t>范，用以反映和考核部门（单位）资产管理的整体水平。</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lastRenderedPageBreak/>
              <w:t>①对外投资行为是否经审批，是否存在投资亏损；②是否有因管理不当发生严重资产损失和丢失情况；③是否存在超标准配置资产；④资产使用是否规范，是否存在未经批准擅自出租、出借资产行为；⑤资产处</w:t>
            </w:r>
            <w:r>
              <w:rPr>
                <w:rFonts w:asciiTheme="minorEastAsia" w:eastAsiaTheme="minorEastAsia" w:hAnsiTheme="minorEastAsia" w:cs="宋体" w:hint="eastAsia"/>
                <w:color w:val="000000"/>
                <w:kern w:val="0"/>
                <w:sz w:val="18"/>
                <w:szCs w:val="18"/>
              </w:rPr>
              <w:lastRenderedPageBreak/>
              <w:t>置是否规范，是否存在不按要求进行报批或资产不公开处置行为；⑥其它资产管理制度办法执行情况。每有一项不合格扣0.8分，扣完为止。</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绩效管理</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绩效管理情况</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对绩效信息进行汇总分析整理；对绩效目标偏离情况及时进行矫正。</w:t>
            </w:r>
          </w:p>
        </w:tc>
        <w:tc>
          <w:tcPr>
            <w:tcW w:w="550" w:type="pct"/>
            <w:vAlign w:val="center"/>
          </w:tcPr>
          <w:p w:rsidR="00971B30" w:rsidRDefault="00771C49">
            <w:pP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及时对绩效信息进行汇总分析整理；对绩效目标偏离情况及时进行矫正。</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绩效管理情况:</w:t>
            </w:r>
            <w:r>
              <w:rPr>
                <w:rFonts w:asciiTheme="minorEastAsia" w:eastAsiaTheme="minorEastAsia" w:hAnsiTheme="minorEastAsia" w:cs="宋体" w:hint="eastAsia"/>
                <w:color w:val="000000"/>
                <w:kern w:val="0"/>
                <w:sz w:val="18"/>
                <w:szCs w:val="18"/>
              </w:rPr>
              <w:t>考核部门（单位）在绩效管理信息的汇总和应用情况。</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①部门（单位）是否及时对绩效信息进行汇总分析整理；②部门（单位）是否对绩效目标偏离情况及时进行矫正。每有一项不合格扣2分。</w:t>
            </w:r>
          </w:p>
        </w:tc>
      </w:tr>
      <w:tr w:rsidR="00971B30">
        <w:trPr>
          <w:trHeight w:val="394"/>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 xml:space="preserve">指标　</w:t>
            </w:r>
          </w:p>
        </w:tc>
        <w:tc>
          <w:tcPr>
            <w:tcW w:w="900" w:type="pct"/>
            <w:gridSpan w:val="2"/>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2020年</w:t>
            </w:r>
          </w:p>
        </w:tc>
        <w:tc>
          <w:tcPr>
            <w:tcW w:w="5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2021年</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分值</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得分</w:t>
            </w:r>
          </w:p>
        </w:tc>
        <w:tc>
          <w:tcPr>
            <w:tcW w:w="851"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1511" w:type="pct"/>
            <w:vAlign w:val="center"/>
          </w:tcPr>
          <w:p w:rsidR="00971B30" w:rsidRDefault="00771C49">
            <w:pPr>
              <w:widowControl/>
              <w:jc w:val="center"/>
              <w:rPr>
                <w:rFonts w:asciiTheme="minorEastAsia" w:eastAsiaTheme="minorEastAsia" w:hAnsiTheme="minorEastAsia"/>
                <w:kern w:val="0"/>
                <w:sz w:val="20"/>
                <w:szCs w:val="20"/>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结转结余率</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900" w:type="pct"/>
            <w:gridSpan w:val="2"/>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3.82%</w:t>
            </w:r>
          </w:p>
        </w:tc>
        <w:tc>
          <w:tcPr>
            <w:tcW w:w="5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9.26%</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1.82</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结转结余率=结转结余总额/支出预算数×100%。</w:t>
            </w:r>
            <w:r>
              <w:rPr>
                <w:rFonts w:asciiTheme="minorEastAsia" w:eastAsiaTheme="minorEastAsia" w:hAnsiTheme="minorEastAsia" w:cs="宋体" w:hint="eastAsia"/>
                <w:color w:val="000000"/>
                <w:kern w:val="0"/>
                <w:sz w:val="18"/>
                <w:szCs w:val="18"/>
              </w:rPr>
              <w:br/>
              <w:t>结转结余总额：部门（单位）本年度的结转资金与结余资金之和。</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971B30">
        <w:trPr>
          <w:trHeight w:val="20"/>
        </w:trPr>
        <w:tc>
          <w:tcPr>
            <w:tcW w:w="288" w:type="pct"/>
            <w:vMerge/>
            <w:vAlign w:val="center"/>
          </w:tcPr>
          <w:p w:rsidR="00971B30" w:rsidRDefault="00971B30">
            <w:pPr>
              <w:widowControl/>
              <w:jc w:val="left"/>
              <w:rPr>
                <w:rFonts w:asciiTheme="minorEastAsia" w:eastAsiaTheme="minorEastAsia" w:hAnsiTheme="minorEastAsia" w:cs="宋体"/>
                <w:color w:val="000000"/>
                <w:kern w:val="0"/>
                <w:sz w:val="20"/>
                <w:szCs w:val="20"/>
              </w:rPr>
            </w:pP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部门预决算差异率</w:t>
            </w:r>
          </w:p>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900" w:type="pct"/>
            <w:gridSpan w:val="2"/>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w:t>
            </w:r>
          </w:p>
        </w:tc>
        <w:tc>
          <w:tcPr>
            <w:tcW w:w="55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0.53%</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300" w:type="pct"/>
            <w:vAlign w:val="center"/>
          </w:tcPr>
          <w:p w:rsidR="00971B30" w:rsidRDefault="00771C49">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4</w:t>
            </w:r>
          </w:p>
        </w:tc>
        <w:tc>
          <w:tcPr>
            <w:tcW w:w="85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通过年度部门决算与年初部门预算对比，对部门的年度支出情况进行考核，衡量部门预算的约束力。</w:t>
            </w:r>
          </w:p>
        </w:tc>
        <w:tc>
          <w:tcPr>
            <w:tcW w:w="1511" w:type="pct"/>
            <w:vAlign w:val="center"/>
          </w:tcPr>
          <w:p w:rsidR="00971B30" w:rsidRDefault="00771C49">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部门预决算差异率高于市级平均差异率（28.3%）的，每高出10%（含），扣0.4分，扣完为止。</w:t>
            </w:r>
          </w:p>
        </w:tc>
      </w:tr>
      <w:tr w:rsidR="00971B30">
        <w:trPr>
          <w:trHeight w:val="404"/>
        </w:trPr>
        <w:tc>
          <w:tcPr>
            <w:tcW w:w="2038" w:type="pct"/>
            <w:gridSpan w:val="5"/>
            <w:vAlign w:val="center"/>
          </w:tcPr>
          <w:p w:rsidR="00971B30" w:rsidRDefault="00771C49">
            <w:pPr>
              <w:widowControl/>
              <w:jc w:val="center"/>
              <w:rPr>
                <w:rFonts w:asciiTheme="minorEastAsia" w:eastAsiaTheme="minorEastAsia" w:hAnsiTheme="minorEastAsia" w:cs="宋体"/>
                <w:b/>
                <w:color w:val="000000"/>
                <w:kern w:val="0"/>
                <w:sz w:val="20"/>
                <w:szCs w:val="20"/>
              </w:rPr>
            </w:pPr>
            <w:r>
              <w:rPr>
                <w:rFonts w:asciiTheme="minorEastAsia" w:eastAsiaTheme="minorEastAsia" w:hAnsiTheme="minorEastAsia" w:cs="宋体" w:hint="eastAsia"/>
                <w:b/>
                <w:color w:val="000000"/>
                <w:kern w:val="0"/>
                <w:sz w:val="20"/>
                <w:szCs w:val="20"/>
              </w:rPr>
              <w:t>合计</w:t>
            </w:r>
          </w:p>
        </w:tc>
        <w:tc>
          <w:tcPr>
            <w:tcW w:w="300" w:type="pct"/>
            <w:vAlign w:val="center"/>
          </w:tcPr>
          <w:p w:rsidR="00971B30" w:rsidRDefault="00771C49">
            <w:pPr>
              <w:widowControl/>
              <w:jc w:val="center"/>
              <w:rPr>
                <w:rFonts w:asciiTheme="minorEastAsia" w:eastAsiaTheme="minorEastAsia" w:hAnsiTheme="minorEastAsia" w:cs="宋体"/>
                <w:b/>
                <w:color w:val="000000"/>
                <w:kern w:val="0"/>
                <w:sz w:val="20"/>
                <w:szCs w:val="20"/>
              </w:rPr>
            </w:pPr>
            <w:r>
              <w:rPr>
                <w:rFonts w:asciiTheme="minorEastAsia" w:eastAsiaTheme="minorEastAsia" w:hAnsiTheme="minorEastAsia" w:cs="宋体" w:hint="eastAsia"/>
                <w:b/>
                <w:color w:val="000000"/>
                <w:kern w:val="0"/>
                <w:sz w:val="20"/>
                <w:szCs w:val="20"/>
              </w:rPr>
              <w:t>100.00</w:t>
            </w:r>
          </w:p>
        </w:tc>
        <w:tc>
          <w:tcPr>
            <w:tcW w:w="300" w:type="pct"/>
            <w:vAlign w:val="center"/>
          </w:tcPr>
          <w:p w:rsidR="00971B30" w:rsidRDefault="00771C49">
            <w:pPr>
              <w:widowControl/>
              <w:jc w:val="center"/>
              <w:rPr>
                <w:rFonts w:asciiTheme="minorEastAsia" w:eastAsiaTheme="minorEastAsia" w:hAnsiTheme="minorEastAsia" w:cs="宋体"/>
                <w:b/>
                <w:color w:val="000000"/>
                <w:kern w:val="0"/>
                <w:sz w:val="20"/>
                <w:szCs w:val="20"/>
              </w:rPr>
            </w:pPr>
            <w:r>
              <w:rPr>
                <w:rFonts w:asciiTheme="minorEastAsia" w:eastAsiaTheme="minorEastAsia" w:hAnsiTheme="minorEastAsia" w:cs="宋体" w:hint="eastAsia"/>
                <w:b/>
                <w:color w:val="000000"/>
                <w:kern w:val="0"/>
                <w:sz w:val="20"/>
                <w:szCs w:val="20"/>
              </w:rPr>
              <w:t>90.97</w:t>
            </w:r>
          </w:p>
        </w:tc>
        <w:tc>
          <w:tcPr>
            <w:tcW w:w="2362" w:type="pct"/>
            <w:gridSpan w:val="2"/>
            <w:vAlign w:val="center"/>
          </w:tcPr>
          <w:p w:rsidR="00971B30" w:rsidRDefault="00771C49">
            <w:pPr>
              <w:widowControl/>
              <w:jc w:val="center"/>
              <w:rPr>
                <w:rFonts w:asciiTheme="minorEastAsia" w:eastAsiaTheme="minorEastAsia" w:hAnsiTheme="minorEastAsia" w:cs="宋体"/>
                <w:b/>
                <w:color w:val="000000"/>
                <w:kern w:val="0"/>
                <w:sz w:val="18"/>
                <w:szCs w:val="18"/>
              </w:rPr>
            </w:pPr>
            <w:r>
              <w:rPr>
                <w:rFonts w:asciiTheme="minorEastAsia" w:eastAsiaTheme="minorEastAsia" w:hAnsiTheme="minorEastAsia" w:cs="宋体" w:hint="eastAsia"/>
                <w:b/>
                <w:color w:val="000000"/>
                <w:kern w:val="0"/>
                <w:sz w:val="18"/>
                <w:szCs w:val="18"/>
              </w:rPr>
              <w:t xml:space="preserve">　</w:t>
            </w:r>
          </w:p>
        </w:tc>
      </w:tr>
    </w:tbl>
    <w:p w:rsidR="00971B30" w:rsidRDefault="00971B30">
      <w:pPr>
        <w:pStyle w:val="a0"/>
        <w:ind w:left="1470" w:right="1470"/>
      </w:pPr>
    </w:p>
    <w:sectPr w:rsidR="00971B3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85D" w:rsidRDefault="00AF485D">
      <w:r>
        <w:separator/>
      </w:r>
    </w:p>
  </w:endnote>
  <w:endnote w:type="continuationSeparator" w:id="0">
    <w:p w:rsidR="00AF485D" w:rsidRDefault="00AF4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623751"/>
    </w:sdtPr>
    <w:sdtEndPr>
      <w:rPr>
        <w:rFonts w:asciiTheme="majorEastAsia" w:eastAsiaTheme="majorEastAsia" w:hAnsiTheme="majorEastAsia"/>
        <w:sz w:val="21"/>
        <w:szCs w:val="21"/>
      </w:rPr>
    </w:sdtEndPr>
    <w:sdtContent>
      <w:p w:rsidR="00971B30" w:rsidRDefault="00771C49">
        <w:pPr>
          <w:pStyle w:val="a6"/>
          <w:jc w:val="center"/>
          <w:rPr>
            <w:rFonts w:asciiTheme="majorEastAsia" w:eastAsiaTheme="majorEastAsia" w:hAnsiTheme="majorEastAsia"/>
            <w:sz w:val="21"/>
            <w:szCs w:val="21"/>
          </w:rPr>
        </w:pPr>
        <w:r>
          <w:rPr>
            <w:rFonts w:asciiTheme="majorEastAsia" w:eastAsiaTheme="majorEastAsia" w:hAnsiTheme="majorEastAsia"/>
            <w:sz w:val="21"/>
            <w:szCs w:val="21"/>
          </w:rPr>
          <w:fldChar w:fldCharType="begin"/>
        </w:r>
        <w:r>
          <w:rPr>
            <w:rFonts w:asciiTheme="majorEastAsia" w:eastAsiaTheme="majorEastAsia" w:hAnsiTheme="majorEastAsia"/>
            <w:sz w:val="21"/>
            <w:szCs w:val="21"/>
          </w:rPr>
          <w:instrText>PAGE   \* MERGEFORMAT</w:instrText>
        </w:r>
        <w:r>
          <w:rPr>
            <w:rFonts w:asciiTheme="majorEastAsia" w:eastAsiaTheme="majorEastAsia" w:hAnsiTheme="majorEastAsia"/>
            <w:sz w:val="21"/>
            <w:szCs w:val="21"/>
          </w:rPr>
          <w:fldChar w:fldCharType="separate"/>
        </w:r>
        <w:r w:rsidR="00876114" w:rsidRPr="00876114">
          <w:rPr>
            <w:rFonts w:asciiTheme="majorEastAsia" w:eastAsiaTheme="majorEastAsia" w:hAnsiTheme="majorEastAsia"/>
            <w:noProof/>
            <w:sz w:val="21"/>
            <w:szCs w:val="21"/>
            <w:lang w:val="zh-CN"/>
          </w:rPr>
          <w:t>3</w:t>
        </w:r>
        <w:r>
          <w:rPr>
            <w:rFonts w:asciiTheme="majorEastAsia" w:eastAsiaTheme="majorEastAsia" w:hAnsiTheme="majorEastAsia"/>
            <w:sz w:val="21"/>
            <w:szCs w:val="21"/>
          </w:rPr>
          <w:fldChar w:fldCharType="end"/>
        </w:r>
      </w:p>
    </w:sdtContent>
  </w:sdt>
  <w:p w:rsidR="00971B30" w:rsidRDefault="00971B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85D" w:rsidRDefault="00AF485D">
      <w:r>
        <w:separator/>
      </w:r>
    </w:p>
  </w:footnote>
  <w:footnote w:type="continuationSeparator" w:id="0">
    <w:p w:rsidR="00AF485D" w:rsidRDefault="00AF4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767960"/>
      <w:docPartObj>
        <w:docPartGallery w:val="Page Numbers (Top of Page)"/>
        <w:docPartUnique/>
      </w:docPartObj>
    </w:sdtPr>
    <w:sdtEndPr/>
    <w:sdtContent>
      <w:p w:rsidR="000E0047" w:rsidRDefault="000E0047">
        <w:pPr>
          <w:pStyle w:val="a7"/>
        </w:pPr>
        <w:r>
          <w:fldChar w:fldCharType="begin"/>
        </w:r>
        <w:r>
          <w:instrText>PAGE   \* MERGEFORMAT</w:instrText>
        </w:r>
        <w:r>
          <w:fldChar w:fldCharType="separate"/>
        </w:r>
        <w:r w:rsidR="00876114" w:rsidRPr="00876114">
          <w:rPr>
            <w:noProof/>
            <w:lang w:val="zh-CN"/>
          </w:rPr>
          <w:t>3</w:t>
        </w:r>
        <w:r>
          <w:fldChar w:fldCharType="end"/>
        </w:r>
      </w:p>
    </w:sdtContent>
  </w:sdt>
  <w:p w:rsidR="000E0047" w:rsidRDefault="000E00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kOTQ4Mzk3MTUxZGYxOTgzN2M1NGY2NjNkMDExMGMifQ=="/>
  </w:docVars>
  <w:rsids>
    <w:rsidRoot w:val="009A34CA"/>
    <w:rsid w:val="00004FAC"/>
    <w:rsid w:val="00011BA0"/>
    <w:rsid w:val="00014093"/>
    <w:rsid w:val="00040471"/>
    <w:rsid w:val="00067173"/>
    <w:rsid w:val="00074DB1"/>
    <w:rsid w:val="00075603"/>
    <w:rsid w:val="00086D09"/>
    <w:rsid w:val="000C5B83"/>
    <w:rsid w:val="000E0047"/>
    <w:rsid w:val="00132112"/>
    <w:rsid w:val="00140253"/>
    <w:rsid w:val="00152619"/>
    <w:rsid w:val="00172F89"/>
    <w:rsid w:val="00173DFE"/>
    <w:rsid w:val="001953BA"/>
    <w:rsid w:val="001D2657"/>
    <w:rsid w:val="001E2448"/>
    <w:rsid w:val="00206229"/>
    <w:rsid w:val="00212223"/>
    <w:rsid w:val="00212469"/>
    <w:rsid w:val="00215F44"/>
    <w:rsid w:val="00220113"/>
    <w:rsid w:val="00234926"/>
    <w:rsid w:val="00235366"/>
    <w:rsid w:val="00236061"/>
    <w:rsid w:val="00253306"/>
    <w:rsid w:val="002618DA"/>
    <w:rsid w:val="00266836"/>
    <w:rsid w:val="00271DB6"/>
    <w:rsid w:val="00285161"/>
    <w:rsid w:val="002F04FF"/>
    <w:rsid w:val="002F3DC3"/>
    <w:rsid w:val="002F6A33"/>
    <w:rsid w:val="002F7292"/>
    <w:rsid w:val="0030080F"/>
    <w:rsid w:val="003049BC"/>
    <w:rsid w:val="00326177"/>
    <w:rsid w:val="003612B9"/>
    <w:rsid w:val="00382E77"/>
    <w:rsid w:val="003B7C7B"/>
    <w:rsid w:val="003E3576"/>
    <w:rsid w:val="003E3AF7"/>
    <w:rsid w:val="00404E77"/>
    <w:rsid w:val="0041426F"/>
    <w:rsid w:val="00461AE3"/>
    <w:rsid w:val="0046249F"/>
    <w:rsid w:val="00473DE2"/>
    <w:rsid w:val="004B7FD5"/>
    <w:rsid w:val="004D3455"/>
    <w:rsid w:val="004D46A1"/>
    <w:rsid w:val="004E2209"/>
    <w:rsid w:val="004E2483"/>
    <w:rsid w:val="004E51A0"/>
    <w:rsid w:val="00517A70"/>
    <w:rsid w:val="00523038"/>
    <w:rsid w:val="0056763D"/>
    <w:rsid w:val="00590835"/>
    <w:rsid w:val="00592425"/>
    <w:rsid w:val="0059477A"/>
    <w:rsid w:val="00594AB0"/>
    <w:rsid w:val="00597CDB"/>
    <w:rsid w:val="005A344B"/>
    <w:rsid w:val="005A7C2A"/>
    <w:rsid w:val="005B26B7"/>
    <w:rsid w:val="005E3703"/>
    <w:rsid w:val="0061315B"/>
    <w:rsid w:val="006144AF"/>
    <w:rsid w:val="00614C29"/>
    <w:rsid w:val="006632E4"/>
    <w:rsid w:val="0066634F"/>
    <w:rsid w:val="00674801"/>
    <w:rsid w:val="00687094"/>
    <w:rsid w:val="006D71E1"/>
    <w:rsid w:val="006F72DD"/>
    <w:rsid w:val="00701B38"/>
    <w:rsid w:val="0070622B"/>
    <w:rsid w:val="00706813"/>
    <w:rsid w:val="00712465"/>
    <w:rsid w:val="00716C89"/>
    <w:rsid w:val="00743FA6"/>
    <w:rsid w:val="007533BB"/>
    <w:rsid w:val="00753B59"/>
    <w:rsid w:val="0076099F"/>
    <w:rsid w:val="00771C49"/>
    <w:rsid w:val="007E07BA"/>
    <w:rsid w:val="007E7F8C"/>
    <w:rsid w:val="007F0158"/>
    <w:rsid w:val="00800D4B"/>
    <w:rsid w:val="008343EC"/>
    <w:rsid w:val="00847EC5"/>
    <w:rsid w:val="00853051"/>
    <w:rsid w:val="0085633F"/>
    <w:rsid w:val="00866E01"/>
    <w:rsid w:val="00876114"/>
    <w:rsid w:val="00880398"/>
    <w:rsid w:val="008A7EF9"/>
    <w:rsid w:val="008B1DE2"/>
    <w:rsid w:val="008B5B50"/>
    <w:rsid w:val="0092426E"/>
    <w:rsid w:val="00927458"/>
    <w:rsid w:val="009313A6"/>
    <w:rsid w:val="009377CA"/>
    <w:rsid w:val="009664F8"/>
    <w:rsid w:val="00971B30"/>
    <w:rsid w:val="00993CD8"/>
    <w:rsid w:val="009A34CA"/>
    <w:rsid w:val="009B5AF3"/>
    <w:rsid w:val="00A11858"/>
    <w:rsid w:val="00A26604"/>
    <w:rsid w:val="00A517EB"/>
    <w:rsid w:val="00A60460"/>
    <w:rsid w:val="00A92E03"/>
    <w:rsid w:val="00AC69DE"/>
    <w:rsid w:val="00AC6A00"/>
    <w:rsid w:val="00AE3D3A"/>
    <w:rsid w:val="00AF485D"/>
    <w:rsid w:val="00B02C81"/>
    <w:rsid w:val="00B04045"/>
    <w:rsid w:val="00B20C8B"/>
    <w:rsid w:val="00B25801"/>
    <w:rsid w:val="00B35A97"/>
    <w:rsid w:val="00B47B7C"/>
    <w:rsid w:val="00B51AB5"/>
    <w:rsid w:val="00B7556B"/>
    <w:rsid w:val="00B9057C"/>
    <w:rsid w:val="00BA1642"/>
    <w:rsid w:val="00BC38D7"/>
    <w:rsid w:val="00BC41F8"/>
    <w:rsid w:val="00BD3DA5"/>
    <w:rsid w:val="00C018EA"/>
    <w:rsid w:val="00C371FD"/>
    <w:rsid w:val="00C4505C"/>
    <w:rsid w:val="00C50440"/>
    <w:rsid w:val="00C703D2"/>
    <w:rsid w:val="00C70DC3"/>
    <w:rsid w:val="00C74B69"/>
    <w:rsid w:val="00C7510D"/>
    <w:rsid w:val="00C958E0"/>
    <w:rsid w:val="00C960FD"/>
    <w:rsid w:val="00CA715C"/>
    <w:rsid w:val="00CC32B4"/>
    <w:rsid w:val="00CC6E7A"/>
    <w:rsid w:val="00CC7244"/>
    <w:rsid w:val="00CE47B5"/>
    <w:rsid w:val="00CE5222"/>
    <w:rsid w:val="00CF569D"/>
    <w:rsid w:val="00D2068D"/>
    <w:rsid w:val="00D569DF"/>
    <w:rsid w:val="00D80BFE"/>
    <w:rsid w:val="00D84D9A"/>
    <w:rsid w:val="00D94E61"/>
    <w:rsid w:val="00DB5E20"/>
    <w:rsid w:val="00DC7540"/>
    <w:rsid w:val="00DC7FC6"/>
    <w:rsid w:val="00DD7D50"/>
    <w:rsid w:val="00E01427"/>
    <w:rsid w:val="00E27C65"/>
    <w:rsid w:val="00E33315"/>
    <w:rsid w:val="00E40853"/>
    <w:rsid w:val="00E433C0"/>
    <w:rsid w:val="00E4442D"/>
    <w:rsid w:val="00E513B6"/>
    <w:rsid w:val="00E63878"/>
    <w:rsid w:val="00E74345"/>
    <w:rsid w:val="00E844B2"/>
    <w:rsid w:val="00E945ED"/>
    <w:rsid w:val="00E956D5"/>
    <w:rsid w:val="00EA760E"/>
    <w:rsid w:val="00EE0F48"/>
    <w:rsid w:val="00EF00DD"/>
    <w:rsid w:val="00EF3FCF"/>
    <w:rsid w:val="00F0324F"/>
    <w:rsid w:val="00F121D8"/>
    <w:rsid w:val="00F30AD7"/>
    <w:rsid w:val="00F31882"/>
    <w:rsid w:val="00F37ADD"/>
    <w:rsid w:val="00F4262D"/>
    <w:rsid w:val="00F605D1"/>
    <w:rsid w:val="00F60B56"/>
    <w:rsid w:val="00F721F6"/>
    <w:rsid w:val="00F7430B"/>
    <w:rsid w:val="00F75D58"/>
    <w:rsid w:val="00F801A1"/>
    <w:rsid w:val="00FA069D"/>
    <w:rsid w:val="00FB43EE"/>
    <w:rsid w:val="00FD53E2"/>
    <w:rsid w:val="00FE2202"/>
    <w:rsid w:val="00FE5D2D"/>
    <w:rsid w:val="00FE66DD"/>
    <w:rsid w:val="064208CC"/>
    <w:rsid w:val="0691279A"/>
    <w:rsid w:val="090E16A7"/>
    <w:rsid w:val="0B911D5D"/>
    <w:rsid w:val="0BDE4A77"/>
    <w:rsid w:val="0FC35F97"/>
    <w:rsid w:val="1185028A"/>
    <w:rsid w:val="12020BDE"/>
    <w:rsid w:val="15101CC4"/>
    <w:rsid w:val="16F23193"/>
    <w:rsid w:val="17C30DE6"/>
    <w:rsid w:val="18344EA8"/>
    <w:rsid w:val="18700347"/>
    <w:rsid w:val="1A501008"/>
    <w:rsid w:val="1BB61601"/>
    <w:rsid w:val="1E726974"/>
    <w:rsid w:val="1FFF028E"/>
    <w:rsid w:val="21706F2E"/>
    <w:rsid w:val="22E0745F"/>
    <w:rsid w:val="235A48E9"/>
    <w:rsid w:val="23745DCB"/>
    <w:rsid w:val="25117FA4"/>
    <w:rsid w:val="265964EC"/>
    <w:rsid w:val="26EF48E0"/>
    <w:rsid w:val="29EF7B3D"/>
    <w:rsid w:val="2C547AD1"/>
    <w:rsid w:val="2DC625F1"/>
    <w:rsid w:val="2E1A267B"/>
    <w:rsid w:val="2F637DCF"/>
    <w:rsid w:val="32A323B1"/>
    <w:rsid w:val="32AD5D72"/>
    <w:rsid w:val="334A3401"/>
    <w:rsid w:val="39A9658F"/>
    <w:rsid w:val="3B175F34"/>
    <w:rsid w:val="3CC74F7D"/>
    <w:rsid w:val="3E42733E"/>
    <w:rsid w:val="41E320AA"/>
    <w:rsid w:val="45287240"/>
    <w:rsid w:val="45873AFC"/>
    <w:rsid w:val="467F4FF7"/>
    <w:rsid w:val="48475127"/>
    <w:rsid w:val="4BC62F22"/>
    <w:rsid w:val="4D5469B7"/>
    <w:rsid w:val="4E877446"/>
    <w:rsid w:val="52465A1D"/>
    <w:rsid w:val="534E7AD3"/>
    <w:rsid w:val="53D22EE4"/>
    <w:rsid w:val="54474897"/>
    <w:rsid w:val="57850A94"/>
    <w:rsid w:val="57F976D0"/>
    <w:rsid w:val="58D855EA"/>
    <w:rsid w:val="59BB12F3"/>
    <w:rsid w:val="5CFF79BD"/>
    <w:rsid w:val="60002286"/>
    <w:rsid w:val="608F0C48"/>
    <w:rsid w:val="676B55C0"/>
    <w:rsid w:val="67897DDC"/>
    <w:rsid w:val="679338AF"/>
    <w:rsid w:val="6A337633"/>
    <w:rsid w:val="6A526028"/>
    <w:rsid w:val="6AC54CCA"/>
    <w:rsid w:val="6B81326C"/>
    <w:rsid w:val="6C495DE2"/>
    <w:rsid w:val="6D354B78"/>
    <w:rsid w:val="6F73582A"/>
    <w:rsid w:val="76E7445E"/>
    <w:rsid w:val="7BFF008D"/>
    <w:rsid w:val="7CFE3247"/>
    <w:rsid w:val="7D5B7726"/>
    <w:rsid w:val="7E813F76"/>
    <w:rsid w:val="7FA53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197EA3-37D5-45CD-9530-5749DBBA5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qFormat/>
    <w:pPr>
      <w:spacing w:after="120"/>
      <w:ind w:leftChars="700" w:left="1440" w:rightChars="700" w:right="1440"/>
    </w:pPr>
  </w:style>
  <w:style w:type="paragraph" w:styleId="a4">
    <w:name w:val="annotation text"/>
    <w:basedOn w:val="a"/>
    <w:link w:val="Char"/>
    <w:uiPriority w:val="99"/>
    <w:unhideWhenUsed/>
    <w:qFormat/>
    <w:pPr>
      <w:jc w:val="left"/>
    </w:pPr>
  </w:style>
  <w:style w:type="paragraph" w:styleId="a5">
    <w:name w:val="Balloon Text"/>
    <w:basedOn w:val="a"/>
    <w:link w:val="Char0"/>
    <w:uiPriority w:val="99"/>
    <w:semiHidden/>
    <w:unhideWhenUsed/>
    <w:rPr>
      <w:sz w:val="18"/>
      <w:szCs w:val="18"/>
    </w:rPr>
  </w:style>
  <w:style w:type="paragraph" w:styleId="a6">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annotation subject"/>
    <w:basedOn w:val="a4"/>
    <w:next w:val="a4"/>
    <w:link w:val="Char3"/>
    <w:uiPriority w:val="99"/>
    <w:semiHidden/>
    <w:unhideWhenUsed/>
    <w:qFormat/>
    <w:rPr>
      <w:b/>
      <w:bCs/>
    </w:rPr>
  </w:style>
  <w:style w:type="character" w:styleId="a9">
    <w:name w:val="annotation reference"/>
    <w:basedOn w:val="a1"/>
    <w:uiPriority w:val="99"/>
    <w:semiHidden/>
    <w:unhideWhenUsed/>
    <w:qFormat/>
    <w:rPr>
      <w:sz w:val="21"/>
      <w:szCs w:val="21"/>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character" w:customStyle="1" w:styleId="Char">
    <w:name w:val="批注文字 Char"/>
    <w:basedOn w:val="a1"/>
    <w:link w:val="a4"/>
    <w:uiPriority w:val="99"/>
    <w:qFormat/>
    <w:rPr>
      <w:rFonts w:ascii="Times New Roman" w:eastAsia="宋体" w:hAnsi="Times New Roman" w:cs="Times New Roman"/>
      <w:szCs w:val="24"/>
    </w:rPr>
  </w:style>
  <w:style w:type="character" w:customStyle="1" w:styleId="Char3">
    <w:name w:val="批注主题 Char"/>
    <w:basedOn w:val="Char"/>
    <w:link w:val="a8"/>
    <w:uiPriority w:val="99"/>
    <w:semiHidden/>
    <w:qFormat/>
    <w:rPr>
      <w:rFonts w:ascii="Times New Roman" w:eastAsia="宋体" w:hAnsi="Times New Roman" w:cs="Times New Roman"/>
      <w:b/>
      <w:bCs/>
      <w:szCs w:val="24"/>
    </w:rPr>
  </w:style>
  <w:style w:type="character" w:customStyle="1" w:styleId="Char0">
    <w:name w:val="批注框文本 Char"/>
    <w:basedOn w:val="a1"/>
    <w:link w:val="a5"/>
    <w:uiPriority w:val="99"/>
    <w:semiHidden/>
    <w:qFormat/>
    <w:rPr>
      <w:rFonts w:ascii="Times New Roman" w:eastAsia="宋体" w:hAnsi="Times New Roman" w:cs="Times New Roman"/>
      <w:sz w:val="18"/>
      <w:szCs w:val="18"/>
    </w:rPr>
  </w:style>
  <w:style w:type="paragraph" w:customStyle="1" w:styleId="1">
    <w:name w:val="修订1"/>
    <w:hidden/>
    <w:uiPriority w:val="99"/>
    <w:semiHidden/>
    <w:qFormat/>
    <w:rPr>
      <w:kern w:val="2"/>
      <w:sz w:val="21"/>
      <w:szCs w:val="24"/>
    </w:rPr>
  </w:style>
  <w:style w:type="paragraph" w:customStyle="1" w:styleId="2">
    <w:name w:val="修订2"/>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20</Pages>
  <Words>1467</Words>
  <Characters>8368</Characters>
  <Application>Microsoft Office Word</Application>
  <DocSecurity>0</DocSecurity>
  <Lines>69</Lines>
  <Paragraphs>19</Paragraphs>
  <ScaleCrop>false</ScaleCrop>
  <Company>Sky123.Org</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工作组</dc:creator>
  <cp:lastModifiedBy>208</cp:lastModifiedBy>
  <cp:revision>74</cp:revision>
  <dcterms:created xsi:type="dcterms:W3CDTF">2022-05-18T21:07:00Z</dcterms:created>
  <dcterms:modified xsi:type="dcterms:W3CDTF">2022-06-09T01:55:00Z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8C16885FF89F41CEB552F4AF6E9B20DE</vt:lpwstr>
  </property>
</Properties>
</file>