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北京市药品检验研究院</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北京市中药饮片炮制规范修订</w:t>
      </w:r>
    </w:p>
    <w:p>
      <w:pPr>
        <w:tabs>
          <w:tab w:val="center" w:pos="4153"/>
          <w:tab w:val="left" w:pos="6435"/>
        </w:tabs>
        <w:spacing w:line="560" w:lineRule="exact"/>
        <w:jc w:val="left"/>
        <w:rPr>
          <w:rFonts w:ascii="方正小标宋简体" w:eastAsia="方正小标宋简体"/>
          <w:sz w:val="36"/>
          <w:szCs w:val="36"/>
        </w:rPr>
      </w:pPr>
      <w:r>
        <w:rPr>
          <w:rFonts w:ascii="方正小标宋简体" w:eastAsia="方正小标宋简体"/>
          <w:sz w:val="36"/>
          <w:szCs w:val="36"/>
        </w:rPr>
        <w:tab/>
      </w:r>
      <w:r>
        <w:rPr>
          <w:rFonts w:hint="eastAsia" w:ascii="方正小标宋简体" w:eastAsia="方正小标宋简体"/>
          <w:sz w:val="36"/>
          <w:szCs w:val="36"/>
        </w:rPr>
        <w:t>项目支出绩效评价报告</w:t>
      </w:r>
      <w:r>
        <w:rPr>
          <w:rFonts w:ascii="方正小标宋简体" w:eastAsia="方正小标宋简体"/>
          <w:sz w:val="36"/>
          <w:szCs w:val="36"/>
        </w:rPr>
        <w:tab/>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（初稿）</w:t>
      </w:r>
    </w:p>
    <w:sdt>
      <w:sdtPr>
        <w:rPr>
          <w:rFonts w:ascii="Times New Roman" w:hAnsi="Times New Roman" w:eastAsia="宋体" w:cs="Times New Roman"/>
          <w:color w:val="auto"/>
          <w:kern w:val="2"/>
          <w:sz w:val="21"/>
          <w:szCs w:val="24"/>
          <w:lang w:val="zh-CN"/>
        </w:rPr>
        <w:id w:val="2128654793"/>
      </w:sdtPr>
      <w:sdtEndPr>
        <w:rPr>
          <w:rFonts w:ascii="Times New Roman" w:hAnsi="Times New Roman" w:eastAsia="宋体" w:cs="Times New Roman"/>
          <w:b/>
          <w:bCs/>
          <w:color w:val="auto"/>
          <w:kern w:val="2"/>
          <w:sz w:val="21"/>
          <w:szCs w:val="24"/>
          <w:lang w:val="zh-CN"/>
        </w:rPr>
      </w:sdtEndPr>
      <w:sdtContent>
        <w:p>
          <w:pPr>
            <w:pStyle w:val="20"/>
            <w:jc w:val="center"/>
          </w:pPr>
          <w:r>
            <w:rPr>
              <w:lang w:val="zh-CN"/>
            </w:rPr>
            <w:t>目录</w:t>
          </w:r>
        </w:p>
        <w:p>
          <w:pPr>
            <w:pStyle w:val="8"/>
            <w:tabs>
              <w:tab w:val="right" w:leader="dot" w:pos="8296"/>
            </w:tabs>
            <w:rPr>
              <w:rFonts w:asciiTheme="minorHAnsi" w:hAnsiTheme="minorHAnsi" w:eastAsiaTheme="minorEastAsia" w:cstheme="minorBidi"/>
              <w:szCs w:val="22"/>
            </w:rPr>
          </w:pPr>
          <w:r>
            <w:fldChar w:fldCharType="begin"/>
          </w:r>
          <w:r>
            <w:instrText xml:space="preserve"> TOC \o "1-3" \h \z \u </w:instrText>
          </w:r>
          <w:r>
            <w:fldChar w:fldCharType="separate"/>
          </w:r>
          <w:r>
            <w:fldChar w:fldCharType="begin"/>
          </w:r>
          <w:r>
            <w:instrText xml:space="preserve"> HYPERLINK \l "_Toc103776466" </w:instrText>
          </w:r>
          <w:r>
            <w:fldChar w:fldCharType="separate"/>
          </w:r>
          <w:r>
            <w:rPr>
              <w:rStyle w:val="12"/>
            </w:rPr>
            <w:t>一、基本情况</w:t>
          </w:r>
          <w:r>
            <w:tab/>
          </w:r>
          <w:r>
            <w:fldChar w:fldCharType="begin"/>
          </w:r>
          <w:r>
            <w:instrText xml:space="preserve"> PAGEREF _Toc103776466 \h </w:instrText>
          </w:r>
          <w:r>
            <w:fldChar w:fldCharType="separate"/>
          </w:r>
          <w:r>
            <w:t>- 3 -</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"_Toc103776467" </w:instrText>
          </w:r>
          <w:r>
            <w:fldChar w:fldCharType="separate"/>
          </w:r>
          <w:r>
            <w:rPr>
              <w:rStyle w:val="12"/>
            </w:rPr>
            <w:t>（一）项目概况。</w:t>
          </w:r>
          <w:r>
            <w:tab/>
          </w:r>
          <w:r>
            <w:fldChar w:fldCharType="begin"/>
          </w:r>
          <w:r>
            <w:instrText xml:space="preserve"> PAGEREF _Toc103776467 \h </w:instrText>
          </w:r>
          <w:r>
            <w:fldChar w:fldCharType="separate"/>
          </w:r>
          <w:r>
            <w:t>- 3 -</w:t>
          </w:r>
          <w:r>
            <w:fldChar w:fldCharType="end"/>
          </w:r>
          <w:r>
            <w:fldChar w:fldCharType="end"/>
          </w:r>
        </w:p>
        <w:p>
          <w:pPr>
            <w:pStyle w:val="5"/>
            <w:tabs>
              <w:tab w:val="right" w:leader="dot" w:pos="8296"/>
            </w:tabs>
            <w:rPr>
              <w:rFonts w:asciiTheme="minorHAnsi" w:hAnsiTheme="minorHAnsi" w:eastAsiaTheme="minorEastAsia" w:cstheme="minorBidi"/>
              <w:szCs w:val="22"/>
            </w:rPr>
          </w:pPr>
          <w:r>
            <w:fldChar w:fldCharType="begin"/>
          </w:r>
          <w:r>
            <w:instrText xml:space="preserve"> HYPERLINK \l "_Toc103776468" </w:instrText>
          </w:r>
          <w:r>
            <w:fldChar w:fldCharType="separate"/>
          </w:r>
          <w:r>
            <w:rPr>
              <w:rStyle w:val="12"/>
            </w:rPr>
            <w:t>1.项目基本情况</w:t>
          </w:r>
          <w:r>
            <w:tab/>
          </w:r>
          <w:r>
            <w:fldChar w:fldCharType="begin"/>
          </w:r>
          <w:r>
            <w:instrText xml:space="preserve"> PAGEREF _Toc103776468 \h </w:instrText>
          </w:r>
          <w:r>
            <w:fldChar w:fldCharType="separate"/>
          </w:r>
          <w:r>
            <w:t>- 3 -</w:t>
          </w:r>
          <w:r>
            <w:fldChar w:fldCharType="end"/>
          </w:r>
          <w:r>
            <w:fldChar w:fldCharType="end"/>
          </w:r>
        </w:p>
        <w:p>
          <w:pPr>
            <w:pStyle w:val="5"/>
            <w:tabs>
              <w:tab w:val="right" w:leader="dot" w:pos="8296"/>
            </w:tabs>
            <w:rPr>
              <w:rFonts w:asciiTheme="minorHAnsi" w:hAnsiTheme="minorHAnsi" w:eastAsiaTheme="minorEastAsia" w:cstheme="minorBidi"/>
              <w:szCs w:val="22"/>
            </w:rPr>
          </w:pPr>
          <w:r>
            <w:fldChar w:fldCharType="begin"/>
          </w:r>
          <w:r>
            <w:instrText xml:space="preserve"> HYPERLINK \l "_Toc103776469" </w:instrText>
          </w:r>
          <w:r>
            <w:fldChar w:fldCharType="separate"/>
          </w:r>
          <w:r>
            <w:rPr>
              <w:rStyle w:val="12"/>
            </w:rPr>
            <w:t>2.项目背景</w:t>
          </w:r>
          <w:r>
            <w:tab/>
          </w:r>
          <w:r>
            <w:fldChar w:fldCharType="begin"/>
          </w:r>
          <w:r>
            <w:instrText xml:space="preserve"> PAGEREF _Toc103776469 \h </w:instrText>
          </w:r>
          <w:r>
            <w:fldChar w:fldCharType="separate"/>
          </w:r>
          <w:r>
            <w:t>- 3 -</w:t>
          </w:r>
          <w:r>
            <w:fldChar w:fldCharType="end"/>
          </w:r>
          <w:r>
            <w:fldChar w:fldCharType="end"/>
          </w:r>
        </w:p>
        <w:p>
          <w:pPr>
            <w:pStyle w:val="5"/>
            <w:tabs>
              <w:tab w:val="right" w:leader="dot" w:pos="8296"/>
            </w:tabs>
            <w:rPr>
              <w:rFonts w:asciiTheme="minorHAnsi" w:hAnsiTheme="minorHAnsi" w:eastAsiaTheme="minorEastAsia" w:cstheme="minorBidi"/>
              <w:szCs w:val="22"/>
            </w:rPr>
          </w:pPr>
          <w:r>
            <w:fldChar w:fldCharType="begin"/>
          </w:r>
          <w:r>
            <w:instrText xml:space="preserve"> HYPERLINK \l "_Toc103776470" </w:instrText>
          </w:r>
          <w:r>
            <w:fldChar w:fldCharType="separate"/>
          </w:r>
          <w:r>
            <w:rPr>
              <w:rStyle w:val="12"/>
            </w:rPr>
            <w:t>3. 主要内容及实施情况</w:t>
          </w:r>
          <w:r>
            <w:tab/>
          </w:r>
          <w:r>
            <w:fldChar w:fldCharType="begin"/>
          </w:r>
          <w:r>
            <w:instrText xml:space="preserve"> PAGEREF _Toc103776470 \h </w:instrText>
          </w:r>
          <w:r>
            <w:fldChar w:fldCharType="separate"/>
          </w:r>
          <w:r>
            <w:t>- 5 -</w:t>
          </w:r>
          <w:r>
            <w:fldChar w:fldCharType="end"/>
          </w:r>
          <w:r>
            <w:fldChar w:fldCharType="end"/>
          </w:r>
        </w:p>
        <w:p>
          <w:pPr>
            <w:pStyle w:val="5"/>
            <w:tabs>
              <w:tab w:val="right" w:leader="dot" w:pos="8296"/>
            </w:tabs>
            <w:rPr>
              <w:rFonts w:asciiTheme="minorHAnsi" w:hAnsiTheme="minorHAnsi" w:eastAsiaTheme="minorEastAsia" w:cstheme="minorBidi"/>
              <w:szCs w:val="22"/>
            </w:rPr>
          </w:pPr>
          <w:r>
            <w:fldChar w:fldCharType="begin"/>
          </w:r>
          <w:r>
            <w:instrText xml:space="preserve"> HYPERLINK \l "_Toc103776471" </w:instrText>
          </w:r>
          <w:r>
            <w:fldChar w:fldCharType="separate"/>
          </w:r>
          <w:r>
            <w:rPr>
              <w:rStyle w:val="12"/>
            </w:rPr>
            <w:t>4. 资金投入和使用情况</w:t>
          </w:r>
          <w:r>
            <w:tab/>
          </w:r>
          <w:r>
            <w:fldChar w:fldCharType="begin"/>
          </w:r>
          <w:r>
            <w:instrText xml:space="preserve"> PAGEREF _Toc103776471 \h </w:instrText>
          </w:r>
          <w:r>
            <w:fldChar w:fldCharType="separate"/>
          </w:r>
          <w:r>
            <w:t>- 5 -</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"_Toc103776472" </w:instrText>
          </w:r>
          <w:r>
            <w:fldChar w:fldCharType="separate"/>
          </w:r>
          <w:r>
            <w:rPr>
              <w:rStyle w:val="12"/>
            </w:rPr>
            <w:t>（二）项目绩效目标。</w:t>
          </w:r>
          <w:r>
            <w:tab/>
          </w:r>
          <w:r>
            <w:fldChar w:fldCharType="begin"/>
          </w:r>
          <w:r>
            <w:instrText xml:space="preserve"> PAGEREF _Toc103776472 \h </w:instrText>
          </w:r>
          <w:r>
            <w:fldChar w:fldCharType="separate"/>
          </w:r>
          <w:r>
            <w:t>- 6 -</w:t>
          </w:r>
          <w:r>
            <w:fldChar w:fldCharType="end"/>
          </w:r>
          <w:r>
            <w:fldChar w:fldCharType="end"/>
          </w:r>
        </w:p>
        <w:p>
          <w:pPr>
            <w:pStyle w:val="5"/>
            <w:tabs>
              <w:tab w:val="right" w:leader="dot" w:pos="8296"/>
            </w:tabs>
            <w:rPr>
              <w:rFonts w:asciiTheme="minorHAnsi" w:hAnsiTheme="minorHAnsi" w:eastAsiaTheme="minorEastAsia" w:cstheme="minorBidi"/>
              <w:szCs w:val="22"/>
            </w:rPr>
          </w:pPr>
          <w:r>
            <w:fldChar w:fldCharType="begin"/>
          </w:r>
          <w:r>
            <w:instrText xml:space="preserve"> HYPERLINK \l "_Toc103776473" </w:instrText>
          </w:r>
          <w:r>
            <w:fldChar w:fldCharType="separate"/>
          </w:r>
          <w:r>
            <w:rPr>
              <w:rStyle w:val="12"/>
            </w:rPr>
            <w:t>1.总体目标</w:t>
          </w:r>
          <w:r>
            <w:tab/>
          </w:r>
          <w:r>
            <w:fldChar w:fldCharType="begin"/>
          </w:r>
          <w:r>
            <w:instrText xml:space="preserve"> PAGEREF _Toc103776473 \h </w:instrText>
          </w:r>
          <w:r>
            <w:fldChar w:fldCharType="separate"/>
          </w:r>
          <w:r>
            <w:t>- 6 -</w:t>
          </w:r>
          <w:r>
            <w:fldChar w:fldCharType="end"/>
          </w:r>
          <w:r>
            <w:fldChar w:fldCharType="end"/>
          </w:r>
        </w:p>
        <w:p>
          <w:pPr>
            <w:pStyle w:val="5"/>
            <w:tabs>
              <w:tab w:val="right" w:leader="dot" w:pos="8296"/>
            </w:tabs>
            <w:rPr>
              <w:rFonts w:asciiTheme="minorHAnsi" w:hAnsiTheme="minorHAnsi" w:eastAsiaTheme="minorEastAsia" w:cstheme="minorBidi"/>
              <w:szCs w:val="22"/>
            </w:rPr>
          </w:pPr>
          <w:r>
            <w:fldChar w:fldCharType="begin"/>
          </w:r>
          <w:r>
            <w:instrText xml:space="preserve"> HYPERLINK \l "_Toc103776474" </w:instrText>
          </w:r>
          <w:r>
            <w:fldChar w:fldCharType="separate"/>
          </w:r>
          <w:r>
            <w:rPr>
              <w:rStyle w:val="12"/>
            </w:rPr>
            <w:t>2.年度目标</w:t>
          </w:r>
          <w:r>
            <w:tab/>
          </w:r>
          <w:r>
            <w:fldChar w:fldCharType="begin"/>
          </w:r>
          <w:r>
            <w:instrText xml:space="preserve"> PAGEREF _Toc103776474 \h </w:instrText>
          </w:r>
          <w:r>
            <w:fldChar w:fldCharType="separate"/>
          </w:r>
          <w:r>
            <w:t>- 6 -</w:t>
          </w:r>
          <w:r>
            <w:fldChar w:fldCharType="end"/>
          </w:r>
          <w:r>
            <w:fldChar w:fldCharType="end"/>
          </w:r>
        </w:p>
        <w:p>
          <w:pPr>
            <w:pStyle w:val="8"/>
            <w:tabs>
              <w:tab w:val="right" w:leader="dot" w:pos="8296"/>
            </w:tabs>
            <w:rPr>
              <w:rFonts w:asciiTheme="minorHAnsi" w:hAnsiTheme="minorHAnsi" w:eastAsiaTheme="minorEastAsia" w:cstheme="minorBidi"/>
              <w:szCs w:val="22"/>
            </w:rPr>
          </w:pPr>
          <w:r>
            <w:fldChar w:fldCharType="begin"/>
          </w:r>
          <w:r>
            <w:instrText xml:space="preserve"> HYPERLINK \l "_Toc103776475" </w:instrText>
          </w:r>
          <w:r>
            <w:fldChar w:fldCharType="separate"/>
          </w:r>
          <w:r>
            <w:rPr>
              <w:rStyle w:val="12"/>
            </w:rPr>
            <w:t>二、绩效评价工作开展情况</w:t>
          </w:r>
          <w:r>
            <w:tab/>
          </w:r>
          <w:r>
            <w:fldChar w:fldCharType="begin"/>
          </w:r>
          <w:r>
            <w:instrText xml:space="preserve"> PAGEREF _Toc103776475 \h </w:instrText>
          </w:r>
          <w:r>
            <w:fldChar w:fldCharType="separate"/>
          </w:r>
          <w:r>
            <w:t>- 6 -</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"_Toc103776476" </w:instrText>
          </w:r>
          <w:r>
            <w:fldChar w:fldCharType="separate"/>
          </w:r>
          <w:r>
            <w:rPr>
              <w:rStyle w:val="12"/>
            </w:rPr>
            <w:t>（一）绩效评价目的、对象和范围。</w:t>
          </w:r>
          <w:r>
            <w:tab/>
          </w:r>
          <w:r>
            <w:fldChar w:fldCharType="begin"/>
          </w:r>
          <w:r>
            <w:instrText xml:space="preserve"> PAGEREF _Toc103776476 \h </w:instrText>
          </w:r>
          <w:r>
            <w:fldChar w:fldCharType="separate"/>
          </w:r>
          <w:r>
            <w:t>- 6 -</w:t>
          </w:r>
          <w:r>
            <w:fldChar w:fldCharType="end"/>
          </w:r>
          <w:r>
            <w:fldChar w:fldCharType="end"/>
          </w:r>
        </w:p>
        <w:p>
          <w:pPr>
            <w:pStyle w:val="5"/>
            <w:tabs>
              <w:tab w:val="right" w:leader="dot" w:pos="8296"/>
            </w:tabs>
            <w:rPr>
              <w:rFonts w:asciiTheme="minorHAnsi" w:hAnsiTheme="minorHAnsi" w:eastAsiaTheme="minorEastAsia" w:cstheme="minorBidi"/>
              <w:szCs w:val="22"/>
            </w:rPr>
          </w:pPr>
          <w:r>
            <w:fldChar w:fldCharType="begin"/>
          </w:r>
          <w:r>
            <w:instrText xml:space="preserve"> HYPERLINK \l "_Toc103776477" </w:instrText>
          </w:r>
          <w:r>
            <w:fldChar w:fldCharType="separate"/>
          </w:r>
          <w:r>
            <w:rPr>
              <w:rStyle w:val="12"/>
            </w:rPr>
            <w:t>1.评价目的</w:t>
          </w:r>
          <w:r>
            <w:tab/>
          </w:r>
          <w:r>
            <w:fldChar w:fldCharType="begin"/>
          </w:r>
          <w:r>
            <w:instrText xml:space="preserve"> PAGEREF _Toc103776477 \h </w:instrText>
          </w:r>
          <w:r>
            <w:fldChar w:fldCharType="separate"/>
          </w:r>
          <w:r>
            <w:t>- 6 -</w:t>
          </w:r>
          <w:r>
            <w:fldChar w:fldCharType="end"/>
          </w:r>
          <w:r>
            <w:fldChar w:fldCharType="end"/>
          </w:r>
        </w:p>
        <w:p>
          <w:pPr>
            <w:pStyle w:val="5"/>
            <w:tabs>
              <w:tab w:val="right" w:leader="dot" w:pos="8296"/>
            </w:tabs>
            <w:rPr>
              <w:rFonts w:asciiTheme="minorHAnsi" w:hAnsiTheme="minorHAnsi" w:eastAsiaTheme="minorEastAsia" w:cstheme="minorBidi"/>
              <w:szCs w:val="22"/>
            </w:rPr>
          </w:pPr>
          <w:r>
            <w:fldChar w:fldCharType="begin"/>
          </w:r>
          <w:r>
            <w:instrText xml:space="preserve"> HYPERLINK \l "_Toc103776478" </w:instrText>
          </w:r>
          <w:r>
            <w:fldChar w:fldCharType="separate"/>
          </w:r>
          <w:r>
            <w:rPr>
              <w:rStyle w:val="12"/>
            </w:rPr>
            <w:t>2.评价对象和范围</w:t>
          </w:r>
          <w:r>
            <w:tab/>
          </w:r>
          <w:r>
            <w:fldChar w:fldCharType="begin"/>
          </w:r>
          <w:r>
            <w:instrText xml:space="preserve"> PAGEREF _Toc103776478 \h </w:instrText>
          </w:r>
          <w:r>
            <w:fldChar w:fldCharType="separate"/>
          </w:r>
          <w:r>
            <w:t>- 7 -</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"_Toc103776479" </w:instrText>
          </w:r>
          <w:r>
            <w:fldChar w:fldCharType="separate"/>
          </w:r>
          <w:r>
            <w:rPr>
              <w:rStyle w:val="12"/>
            </w:rPr>
            <w:t>（二）绩效评价原则、评价指标体系、评价方法、评价标准。</w:t>
          </w:r>
          <w:r>
            <w:tab/>
          </w:r>
          <w:r>
            <w:fldChar w:fldCharType="begin"/>
          </w:r>
          <w:r>
            <w:instrText xml:space="preserve"> PAGEREF _Toc103776479 \h </w:instrText>
          </w:r>
          <w:r>
            <w:fldChar w:fldCharType="separate"/>
          </w:r>
          <w:r>
            <w:t>- 7 -</w:t>
          </w:r>
          <w:r>
            <w:fldChar w:fldCharType="end"/>
          </w:r>
          <w:r>
            <w:fldChar w:fldCharType="end"/>
          </w:r>
        </w:p>
        <w:p>
          <w:pPr>
            <w:pStyle w:val="5"/>
            <w:tabs>
              <w:tab w:val="right" w:leader="dot" w:pos="8296"/>
            </w:tabs>
            <w:rPr>
              <w:rFonts w:asciiTheme="minorHAnsi" w:hAnsiTheme="minorHAnsi" w:eastAsiaTheme="minorEastAsia" w:cstheme="minorBidi"/>
              <w:szCs w:val="22"/>
            </w:rPr>
          </w:pPr>
          <w:r>
            <w:fldChar w:fldCharType="begin"/>
          </w:r>
          <w:r>
            <w:instrText xml:space="preserve"> HYPERLINK \l "_Toc103776480" </w:instrText>
          </w:r>
          <w:r>
            <w:fldChar w:fldCharType="separate"/>
          </w:r>
          <w:r>
            <w:rPr>
              <w:rStyle w:val="12"/>
            </w:rPr>
            <w:t>1. 评价原则</w:t>
          </w:r>
          <w:r>
            <w:tab/>
          </w:r>
          <w:r>
            <w:fldChar w:fldCharType="begin"/>
          </w:r>
          <w:r>
            <w:instrText xml:space="preserve"> PAGEREF _Toc103776480 \h </w:instrText>
          </w:r>
          <w:r>
            <w:fldChar w:fldCharType="separate"/>
          </w:r>
          <w:r>
            <w:t>- 7 -</w:t>
          </w:r>
          <w:r>
            <w:fldChar w:fldCharType="end"/>
          </w:r>
          <w:r>
            <w:fldChar w:fldCharType="end"/>
          </w:r>
        </w:p>
        <w:p>
          <w:pPr>
            <w:pStyle w:val="5"/>
            <w:tabs>
              <w:tab w:val="right" w:leader="dot" w:pos="8296"/>
            </w:tabs>
            <w:rPr>
              <w:rFonts w:asciiTheme="minorHAnsi" w:hAnsiTheme="minorHAnsi" w:eastAsiaTheme="minorEastAsia" w:cstheme="minorBidi"/>
              <w:szCs w:val="22"/>
            </w:rPr>
          </w:pPr>
          <w:r>
            <w:fldChar w:fldCharType="begin"/>
          </w:r>
          <w:r>
            <w:instrText xml:space="preserve"> HYPERLINK \l "_Toc103776481" </w:instrText>
          </w:r>
          <w:r>
            <w:fldChar w:fldCharType="separate"/>
          </w:r>
          <w:r>
            <w:rPr>
              <w:rStyle w:val="12"/>
            </w:rPr>
            <w:t>2. 评价指标体系</w:t>
          </w:r>
          <w:r>
            <w:tab/>
          </w:r>
          <w:r>
            <w:fldChar w:fldCharType="begin"/>
          </w:r>
          <w:r>
            <w:instrText xml:space="preserve"> PAGEREF _Toc103776481 \h </w:instrText>
          </w:r>
          <w:r>
            <w:fldChar w:fldCharType="separate"/>
          </w:r>
          <w:r>
            <w:t>- 8 -</w:t>
          </w:r>
          <w:r>
            <w:fldChar w:fldCharType="end"/>
          </w:r>
          <w:r>
            <w:fldChar w:fldCharType="end"/>
          </w:r>
        </w:p>
        <w:p>
          <w:pPr>
            <w:pStyle w:val="5"/>
            <w:tabs>
              <w:tab w:val="right" w:leader="dot" w:pos="8296"/>
            </w:tabs>
            <w:rPr>
              <w:rFonts w:asciiTheme="minorHAnsi" w:hAnsiTheme="minorHAnsi" w:eastAsiaTheme="minorEastAsia" w:cstheme="minorBidi"/>
              <w:szCs w:val="22"/>
            </w:rPr>
          </w:pPr>
          <w:r>
            <w:fldChar w:fldCharType="begin"/>
          </w:r>
          <w:r>
            <w:instrText xml:space="preserve"> HYPERLINK \l "_Toc103776482" </w:instrText>
          </w:r>
          <w:r>
            <w:fldChar w:fldCharType="separate"/>
          </w:r>
          <w:r>
            <w:rPr>
              <w:rStyle w:val="12"/>
            </w:rPr>
            <w:t>3. 评价方法</w:t>
          </w:r>
          <w:r>
            <w:tab/>
          </w:r>
          <w:r>
            <w:fldChar w:fldCharType="begin"/>
          </w:r>
          <w:r>
            <w:instrText xml:space="preserve"> PAGEREF _Toc103776482 \h </w:instrText>
          </w:r>
          <w:r>
            <w:fldChar w:fldCharType="separate"/>
          </w:r>
          <w:r>
            <w:t>- 8 -</w:t>
          </w:r>
          <w:r>
            <w:fldChar w:fldCharType="end"/>
          </w:r>
          <w:r>
            <w:fldChar w:fldCharType="end"/>
          </w:r>
        </w:p>
        <w:p>
          <w:pPr>
            <w:pStyle w:val="5"/>
            <w:tabs>
              <w:tab w:val="right" w:leader="dot" w:pos="8296"/>
            </w:tabs>
            <w:rPr>
              <w:rFonts w:asciiTheme="minorHAnsi" w:hAnsiTheme="minorHAnsi" w:eastAsiaTheme="minorEastAsia" w:cstheme="minorBidi"/>
              <w:szCs w:val="22"/>
            </w:rPr>
          </w:pPr>
          <w:r>
            <w:fldChar w:fldCharType="begin"/>
          </w:r>
          <w:r>
            <w:instrText xml:space="preserve"> HYPERLINK \l "_Toc103776483" </w:instrText>
          </w:r>
          <w:r>
            <w:fldChar w:fldCharType="separate"/>
          </w:r>
          <w:r>
            <w:rPr>
              <w:rStyle w:val="12"/>
            </w:rPr>
            <w:t>4. 评价标准</w:t>
          </w:r>
          <w:r>
            <w:tab/>
          </w:r>
          <w:r>
            <w:fldChar w:fldCharType="begin"/>
          </w:r>
          <w:r>
            <w:instrText xml:space="preserve"> PAGEREF _Toc103776483 \h </w:instrText>
          </w:r>
          <w:r>
            <w:fldChar w:fldCharType="separate"/>
          </w:r>
          <w:r>
            <w:t>- 9 -</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"_Toc103776484" </w:instrText>
          </w:r>
          <w:r>
            <w:fldChar w:fldCharType="separate"/>
          </w:r>
          <w:r>
            <w:rPr>
              <w:rStyle w:val="12"/>
            </w:rPr>
            <w:t>（三）绩效评价工作过程。</w:t>
          </w:r>
          <w:r>
            <w:tab/>
          </w:r>
          <w:r>
            <w:fldChar w:fldCharType="begin"/>
          </w:r>
          <w:r>
            <w:instrText xml:space="preserve"> PAGEREF _Toc103776484 \h </w:instrText>
          </w:r>
          <w:r>
            <w:fldChar w:fldCharType="separate"/>
          </w:r>
          <w:r>
            <w:t>- 9 -</w:t>
          </w:r>
          <w:r>
            <w:fldChar w:fldCharType="end"/>
          </w:r>
          <w:r>
            <w:fldChar w:fldCharType="end"/>
          </w:r>
        </w:p>
        <w:p>
          <w:pPr>
            <w:pStyle w:val="8"/>
            <w:tabs>
              <w:tab w:val="right" w:leader="dot" w:pos="8296"/>
            </w:tabs>
            <w:rPr>
              <w:rFonts w:asciiTheme="minorHAnsi" w:hAnsiTheme="minorHAnsi" w:eastAsiaTheme="minorEastAsia" w:cstheme="minorBidi"/>
              <w:szCs w:val="22"/>
            </w:rPr>
          </w:pPr>
          <w:r>
            <w:fldChar w:fldCharType="begin"/>
          </w:r>
          <w:r>
            <w:instrText xml:space="preserve"> HYPERLINK \l "_Toc103776485" </w:instrText>
          </w:r>
          <w:r>
            <w:fldChar w:fldCharType="separate"/>
          </w:r>
          <w:r>
            <w:rPr>
              <w:rStyle w:val="12"/>
            </w:rPr>
            <w:t>三、综合评价情况及评价结论</w:t>
          </w:r>
          <w:r>
            <w:tab/>
          </w:r>
          <w:r>
            <w:fldChar w:fldCharType="begin"/>
          </w:r>
          <w:r>
            <w:instrText xml:space="preserve"> PAGEREF _Toc103776485 \h </w:instrText>
          </w:r>
          <w:r>
            <w:fldChar w:fldCharType="separate"/>
          </w:r>
          <w:r>
            <w:t>- 11 -</w:t>
          </w:r>
          <w:r>
            <w:fldChar w:fldCharType="end"/>
          </w:r>
          <w:r>
            <w:fldChar w:fldCharType="end"/>
          </w:r>
        </w:p>
        <w:p>
          <w:pPr>
            <w:pStyle w:val="8"/>
            <w:tabs>
              <w:tab w:val="right" w:leader="dot" w:pos="8296"/>
            </w:tabs>
            <w:rPr>
              <w:rFonts w:asciiTheme="minorHAnsi" w:hAnsiTheme="minorHAnsi" w:eastAsiaTheme="minorEastAsia" w:cstheme="minorBidi"/>
              <w:szCs w:val="22"/>
            </w:rPr>
          </w:pPr>
          <w:r>
            <w:fldChar w:fldCharType="begin"/>
          </w:r>
          <w:r>
            <w:instrText xml:space="preserve"> HYPERLINK \l "_Toc103776486" </w:instrText>
          </w:r>
          <w:r>
            <w:fldChar w:fldCharType="separate"/>
          </w:r>
          <w:r>
            <w:rPr>
              <w:rStyle w:val="12"/>
            </w:rPr>
            <w:t>四、绩效评价指标分析</w:t>
          </w:r>
          <w:r>
            <w:tab/>
          </w:r>
          <w:r>
            <w:fldChar w:fldCharType="begin"/>
          </w:r>
          <w:r>
            <w:instrText xml:space="preserve"> PAGEREF _Toc103776486 \h </w:instrText>
          </w:r>
          <w:r>
            <w:fldChar w:fldCharType="separate"/>
          </w:r>
          <w:r>
            <w:t>- 12 -</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"_Toc103776487" </w:instrText>
          </w:r>
          <w:r>
            <w:fldChar w:fldCharType="separate"/>
          </w:r>
          <w:r>
            <w:rPr>
              <w:rStyle w:val="12"/>
            </w:rPr>
            <w:t>（一）项目决策情况。</w:t>
          </w:r>
          <w:r>
            <w:tab/>
          </w:r>
          <w:r>
            <w:fldChar w:fldCharType="begin"/>
          </w:r>
          <w:r>
            <w:instrText xml:space="preserve"> PAGEREF _Toc103776487 \h </w:instrText>
          </w:r>
          <w:r>
            <w:fldChar w:fldCharType="separate"/>
          </w:r>
          <w:r>
            <w:t>- 12 -</w:t>
          </w:r>
          <w:r>
            <w:fldChar w:fldCharType="end"/>
          </w:r>
          <w:r>
            <w:fldChar w:fldCharType="end"/>
          </w:r>
        </w:p>
        <w:p>
          <w:pPr>
            <w:pStyle w:val="5"/>
            <w:tabs>
              <w:tab w:val="right" w:leader="dot" w:pos="8296"/>
            </w:tabs>
            <w:rPr>
              <w:rFonts w:asciiTheme="minorHAnsi" w:hAnsiTheme="minorHAnsi" w:eastAsiaTheme="minorEastAsia" w:cstheme="minorBidi"/>
              <w:szCs w:val="22"/>
            </w:rPr>
          </w:pPr>
          <w:r>
            <w:fldChar w:fldCharType="begin"/>
          </w:r>
          <w:r>
            <w:instrText xml:space="preserve"> HYPERLINK \l "_Toc103776488" </w:instrText>
          </w:r>
          <w:r>
            <w:fldChar w:fldCharType="separate"/>
          </w:r>
          <w:r>
            <w:rPr>
              <w:rStyle w:val="12"/>
            </w:rPr>
            <w:t>1.项目立项</w:t>
          </w:r>
          <w:r>
            <w:tab/>
          </w:r>
          <w:r>
            <w:fldChar w:fldCharType="begin"/>
          </w:r>
          <w:r>
            <w:instrText xml:space="preserve"> PAGEREF _Toc103776488 \h </w:instrText>
          </w:r>
          <w:r>
            <w:fldChar w:fldCharType="separate"/>
          </w:r>
          <w:r>
            <w:t>- 12 -</w:t>
          </w:r>
          <w:r>
            <w:fldChar w:fldCharType="end"/>
          </w:r>
          <w:r>
            <w:fldChar w:fldCharType="end"/>
          </w:r>
        </w:p>
        <w:p>
          <w:pPr>
            <w:pStyle w:val="5"/>
            <w:tabs>
              <w:tab w:val="right" w:leader="dot" w:pos="8296"/>
            </w:tabs>
            <w:rPr>
              <w:rFonts w:asciiTheme="minorHAnsi" w:hAnsiTheme="minorHAnsi" w:eastAsiaTheme="minorEastAsia" w:cstheme="minorBidi"/>
              <w:szCs w:val="22"/>
            </w:rPr>
          </w:pPr>
          <w:r>
            <w:fldChar w:fldCharType="begin"/>
          </w:r>
          <w:r>
            <w:instrText xml:space="preserve"> HYPERLINK \l "_Toc103776489" </w:instrText>
          </w:r>
          <w:r>
            <w:fldChar w:fldCharType="separate"/>
          </w:r>
          <w:r>
            <w:rPr>
              <w:rStyle w:val="12"/>
            </w:rPr>
            <w:t>2.绩效目标</w:t>
          </w:r>
          <w:r>
            <w:tab/>
          </w:r>
          <w:r>
            <w:fldChar w:fldCharType="begin"/>
          </w:r>
          <w:r>
            <w:instrText xml:space="preserve"> PAGEREF _Toc103776489 \h </w:instrText>
          </w:r>
          <w:r>
            <w:fldChar w:fldCharType="separate"/>
          </w:r>
          <w:r>
            <w:t>- 13 -</w:t>
          </w:r>
          <w:r>
            <w:fldChar w:fldCharType="end"/>
          </w:r>
          <w:r>
            <w:fldChar w:fldCharType="end"/>
          </w:r>
        </w:p>
        <w:p>
          <w:pPr>
            <w:pStyle w:val="5"/>
            <w:tabs>
              <w:tab w:val="right" w:leader="dot" w:pos="8296"/>
            </w:tabs>
            <w:rPr>
              <w:rFonts w:asciiTheme="minorHAnsi" w:hAnsiTheme="minorHAnsi" w:eastAsiaTheme="minorEastAsia" w:cstheme="minorBidi"/>
              <w:szCs w:val="22"/>
            </w:rPr>
          </w:pPr>
          <w:r>
            <w:fldChar w:fldCharType="begin"/>
          </w:r>
          <w:r>
            <w:instrText xml:space="preserve"> HYPERLINK \l "_Toc103776490" </w:instrText>
          </w:r>
          <w:r>
            <w:fldChar w:fldCharType="separate"/>
          </w:r>
          <w:r>
            <w:rPr>
              <w:rStyle w:val="12"/>
            </w:rPr>
            <w:t>3.资金投入</w:t>
          </w:r>
          <w:r>
            <w:tab/>
          </w:r>
          <w:r>
            <w:fldChar w:fldCharType="begin"/>
          </w:r>
          <w:r>
            <w:instrText xml:space="preserve"> PAGEREF _Toc103776490 \h </w:instrText>
          </w:r>
          <w:r>
            <w:fldChar w:fldCharType="separate"/>
          </w:r>
          <w:r>
            <w:t>- 14 -</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"_Toc103776491" </w:instrText>
          </w:r>
          <w:r>
            <w:fldChar w:fldCharType="separate"/>
          </w:r>
          <w:r>
            <w:rPr>
              <w:rStyle w:val="12"/>
            </w:rPr>
            <w:t>（二）项目过程情况。</w:t>
          </w:r>
          <w:r>
            <w:tab/>
          </w:r>
          <w:r>
            <w:fldChar w:fldCharType="begin"/>
          </w:r>
          <w:r>
            <w:instrText xml:space="preserve"> PAGEREF _Toc103776491 \h </w:instrText>
          </w:r>
          <w:r>
            <w:fldChar w:fldCharType="separate"/>
          </w:r>
          <w:r>
            <w:t>- 14 -</w:t>
          </w:r>
          <w:r>
            <w:fldChar w:fldCharType="end"/>
          </w:r>
          <w:r>
            <w:fldChar w:fldCharType="end"/>
          </w:r>
        </w:p>
        <w:p>
          <w:pPr>
            <w:pStyle w:val="5"/>
            <w:tabs>
              <w:tab w:val="right" w:leader="dot" w:pos="8296"/>
            </w:tabs>
            <w:rPr>
              <w:rFonts w:asciiTheme="minorHAnsi" w:hAnsiTheme="minorHAnsi" w:eastAsiaTheme="minorEastAsia" w:cstheme="minorBidi"/>
              <w:szCs w:val="22"/>
            </w:rPr>
          </w:pPr>
          <w:r>
            <w:fldChar w:fldCharType="begin"/>
          </w:r>
          <w:r>
            <w:instrText xml:space="preserve"> HYPERLINK \l "_Toc103776492" </w:instrText>
          </w:r>
          <w:r>
            <w:fldChar w:fldCharType="separate"/>
          </w:r>
          <w:r>
            <w:rPr>
              <w:rStyle w:val="12"/>
            </w:rPr>
            <w:t>1.组织实施</w:t>
          </w:r>
          <w:r>
            <w:tab/>
          </w:r>
          <w:r>
            <w:fldChar w:fldCharType="begin"/>
          </w:r>
          <w:r>
            <w:instrText xml:space="preserve"> PAGEREF _Toc103776492 \h </w:instrText>
          </w:r>
          <w:r>
            <w:fldChar w:fldCharType="separate"/>
          </w:r>
          <w:r>
            <w:t>- 14 -</w:t>
          </w:r>
          <w:r>
            <w:fldChar w:fldCharType="end"/>
          </w:r>
          <w:r>
            <w:fldChar w:fldCharType="end"/>
          </w:r>
        </w:p>
        <w:p>
          <w:pPr>
            <w:pStyle w:val="5"/>
            <w:tabs>
              <w:tab w:val="right" w:leader="dot" w:pos="8296"/>
            </w:tabs>
            <w:rPr>
              <w:rFonts w:asciiTheme="minorHAnsi" w:hAnsiTheme="minorHAnsi" w:eastAsiaTheme="minorEastAsia" w:cstheme="minorBidi"/>
              <w:szCs w:val="22"/>
            </w:rPr>
          </w:pPr>
          <w:r>
            <w:fldChar w:fldCharType="begin"/>
          </w:r>
          <w:r>
            <w:instrText xml:space="preserve"> HYPERLINK \l "_Toc103776493" </w:instrText>
          </w:r>
          <w:r>
            <w:fldChar w:fldCharType="separate"/>
          </w:r>
          <w:r>
            <w:rPr>
              <w:rStyle w:val="12"/>
            </w:rPr>
            <w:t>2.资金管理</w:t>
          </w:r>
          <w:r>
            <w:tab/>
          </w:r>
          <w:r>
            <w:fldChar w:fldCharType="begin"/>
          </w:r>
          <w:r>
            <w:instrText xml:space="preserve"> PAGEREF _Toc103776493 \h </w:instrText>
          </w:r>
          <w:r>
            <w:fldChar w:fldCharType="separate"/>
          </w:r>
          <w:r>
            <w:t>- 15 -</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"_Toc103776494" </w:instrText>
          </w:r>
          <w:r>
            <w:fldChar w:fldCharType="separate"/>
          </w:r>
          <w:r>
            <w:rPr>
              <w:rStyle w:val="12"/>
            </w:rPr>
            <w:t>（三）项目产出情况。</w:t>
          </w:r>
          <w:r>
            <w:tab/>
          </w:r>
          <w:r>
            <w:fldChar w:fldCharType="begin"/>
          </w:r>
          <w:r>
            <w:instrText xml:space="preserve"> PAGEREF _Toc103776494 \h </w:instrText>
          </w:r>
          <w:r>
            <w:fldChar w:fldCharType="separate"/>
          </w:r>
          <w:r>
            <w:t>- 16 -</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"_Toc103776495" </w:instrText>
          </w:r>
          <w:r>
            <w:fldChar w:fldCharType="separate"/>
          </w:r>
          <w:r>
            <w:rPr>
              <w:rStyle w:val="12"/>
            </w:rPr>
            <w:t>（四）项目效益情况。</w:t>
          </w:r>
          <w:r>
            <w:tab/>
          </w:r>
          <w:r>
            <w:fldChar w:fldCharType="begin"/>
          </w:r>
          <w:r>
            <w:instrText xml:space="preserve"> PAGEREF _Toc103776495 \h </w:instrText>
          </w:r>
          <w:r>
            <w:fldChar w:fldCharType="separate"/>
          </w:r>
          <w:r>
            <w:t>- 16 -</w:t>
          </w:r>
          <w:r>
            <w:fldChar w:fldCharType="end"/>
          </w:r>
          <w:r>
            <w:fldChar w:fldCharType="end"/>
          </w:r>
        </w:p>
        <w:p>
          <w:pPr>
            <w:pStyle w:val="8"/>
            <w:tabs>
              <w:tab w:val="right" w:leader="dot" w:pos="8296"/>
            </w:tabs>
            <w:rPr>
              <w:rFonts w:asciiTheme="minorHAnsi" w:hAnsiTheme="minorHAnsi" w:eastAsiaTheme="minorEastAsia" w:cstheme="minorBidi"/>
              <w:szCs w:val="22"/>
            </w:rPr>
          </w:pPr>
          <w:r>
            <w:fldChar w:fldCharType="begin"/>
          </w:r>
          <w:r>
            <w:instrText xml:space="preserve"> HYPERLINK \l "_Toc103776496" </w:instrText>
          </w:r>
          <w:r>
            <w:fldChar w:fldCharType="separate"/>
          </w:r>
          <w:r>
            <w:rPr>
              <w:rStyle w:val="12"/>
            </w:rPr>
            <w:t>五、主要经验及做法、存在的问题及原因分析</w:t>
          </w:r>
          <w:r>
            <w:tab/>
          </w:r>
          <w:r>
            <w:fldChar w:fldCharType="begin"/>
          </w:r>
          <w:r>
            <w:instrText xml:space="preserve"> PAGEREF _Toc103776496 \h </w:instrText>
          </w:r>
          <w:r>
            <w:fldChar w:fldCharType="separate"/>
          </w:r>
          <w:r>
            <w:t>- 17 -</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"_Toc103776497" </w:instrText>
          </w:r>
          <w:r>
            <w:fldChar w:fldCharType="separate"/>
          </w:r>
          <w:r>
            <w:rPr>
              <w:rStyle w:val="12"/>
            </w:rPr>
            <w:t>（一）主要经验和做法</w:t>
          </w:r>
          <w:r>
            <w:tab/>
          </w:r>
          <w:r>
            <w:fldChar w:fldCharType="begin"/>
          </w:r>
          <w:r>
            <w:instrText xml:space="preserve"> PAGEREF _Toc103776497 \h </w:instrText>
          </w:r>
          <w:r>
            <w:fldChar w:fldCharType="separate"/>
          </w:r>
          <w:r>
            <w:t>- 17 -</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"_Toc103776498" </w:instrText>
          </w:r>
          <w:r>
            <w:fldChar w:fldCharType="separate"/>
          </w:r>
          <w:r>
            <w:rPr>
              <w:rStyle w:val="12"/>
            </w:rPr>
            <w:t>（二）存在的问题及原因分析</w:t>
          </w:r>
          <w:r>
            <w:tab/>
          </w:r>
          <w:r>
            <w:fldChar w:fldCharType="begin"/>
          </w:r>
          <w:r>
            <w:instrText xml:space="preserve"> PAGEREF _Toc103776498 \h </w:instrText>
          </w:r>
          <w:r>
            <w:fldChar w:fldCharType="separate"/>
          </w:r>
          <w:r>
            <w:t>- 18 -</w:t>
          </w:r>
          <w:r>
            <w:fldChar w:fldCharType="end"/>
          </w:r>
          <w:r>
            <w:fldChar w:fldCharType="end"/>
          </w:r>
        </w:p>
        <w:p>
          <w:pPr>
            <w:pStyle w:val="5"/>
            <w:tabs>
              <w:tab w:val="right" w:leader="dot" w:pos="8296"/>
            </w:tabs>
            <w:rPr>
              <w:rFonts w:asciiTheme="minorHAnsi" w:hAnsiTheme="minorHAnsi" w:eastAsiaTheme="minorEastAsia" w:cstheme="minorBidi"/>
              <w:szCs w:val="22"/>
            </w:rPr>
          </w:pPr>
          <w:r>
            <w:fldChar w:fldCharType="begin"/>
          </w:r>
          <w:r>
            <w:instrText xml:space="preserve"> HYPERLINK \l "_Toc103776499" </w:instrText>
          </w:r>
          <w:r>
            <w:fldChar w:fldCharType="separate"/>
          </w:r>
          <w:r>
            <w:rPr>
              <w:rStyle w:val="12"/>
            </w:rPr>
            <w:t>1.决策方面</w:t>
          </w:r>
          <w:r>
            <w:tab/>
          </w:r>
          <w:r>
            <w:fldChar w:fldCharType="begin"/>
          </w:r>
          <w:r>
            <w:instrText xml:space="preserve"> PAGEREF _Toc103776499 \h </w:instrText>
          </w:r>
          <w:r>
            <w:fldChar w:fldCharType="separate"/>
          </w:r>
          <w:r>
            <w:t>- 18 -</w:t>
          </w:r>
          <w:r>
            <w:fldChar w:fldCharType="end"/>
          </w:r>
          <w:r>
            <w:fldChar w:fldCharType="end"/>
          </w:r>
        </w:p>
        <w:p>
          <w:pPr>
            <w:pStyle w:val="5"/>
            <w:tabs>
              <w:tab w:val="right" w:leader="dot" w:pos="8296"/>
            </w:tabs>
            <w:rPr>
              <w:rFonts w:asciiTheme="minorHAnsi" w:hAnsiTheme="minorHAnsi" w:eastAsiaTheme="minorEastAsia" w:cstheme="minorBidi"/>
              <w:szCs w:val="22"/>
            </w:rPr>
          </w:pPr>
          <w:r>
            <w:fldChar w:fldCharType="begin"/>
          </w:r>
          <w:r>
            <w:instrText xml:space="preserve"> HYPERLINK \l "_Toc103776500" </w:instrText>
          </w:r>
          <w:r>
            <w:fldChar w:fldCharType="separate"/>
          </w:r>
          <w:r>
            <w:rPr>
              <w:rStyle w:val="12"/>
            </w:rPr>
            <w:t>2.过程方面</w:t>
          </w:r>
          <w:r>
            <w:tab/>
          </w:r>
          <w:r>
            <w:fldChar w:fldCharType="begin"/>
          </w:r>
          <w:r>
            <w:instrText xml:space="preserve"> PAGEREF _Toc103776500 \h </w:instrText>
          </w:r>
          <w:r>
            <w:fldChar w:fldCharType="separate"/>
          </w:r>
          <w:r>
            <w:t>- 19 -</w:t>
          </w:r>
          <w:r>
            <w:fldChar w:fldCharType="end"/>
          </w:r>
          <w:r>
            <w:fldChar w:fldCharType="end"/>
          </w:r>
        </w:p>
        <w:p>
          <w:pPr>
            <w:pStyle w:val="5"/>
            <w:tabs>
              <w:tab w:val="right" w:leader="dot" w:pos="8296"/>
            </w:tabs>
            <w:rPr>
              <w:rFonts w:asciiTheme="minorHAnsi" w:hAnsiTheme="minorHAnsi" w:eastAsiaTheme="minorEastAsia" w:cstheme="minorBidi"/>
              <w:szCs w:val="22"/>
            </w:rPr>
          </w:pPr>
          <w:r>
            <w:fldChar w:fldCharType="begin"/>
          </w:r>
          <w:r>
            <w:instrText xml:space="preserve"> HYPERLINK \l "_Toc103776501" </w:instrText>
          </w:r>
          <w:r>
            <w:fldChar w:fldCharType="separate"/>
          </w:r>
          <w:r>
            <w:rPr>
              <w:rStyle w:val="12"/>
            </w:rPr>
            <w:t>3.产出方面</w:t>
          </w:r>
          <w:r>
            <w:tab/>
          </w:r>
          <w:r>
            <w:fldChar w:fldCharType="begin"/>
          </w:r>
          <w:r>
            <w:instrText xml:space="preserve"> PAGEREF _Toc103776501 \h </w:instrText>
          </w:r>
          <w:r>
            <w:fldChar w:fldCharType="separate"/>
          </w:r>
          <w:r>
            <w:t>- 21 -</w:t>
          </w:r>
          <w:r>
            <w:fldChar w:fldCharType="end"/>
          </w:r>
          <w:r>
            <w:fldChar w:fldCharType="end"/>
          </w:r>
        </w:p>
        <w:p>
          <w:pPr>
            <w:pStyle w:val="5"/>
            <w:tabs>
              <w:tab w:val="right" w:leader="dot" w:pos="8296"/>
            </w:tabs>
            <w:rPr>
              <w:rFonts w:asciiTheme="minorHAnsi" w:hAnsiTheme="minorHAnsi" w:eastAsiaTheme="minorEastAsia" w:cstheme="minorBidi"/>
              <w:szCs w:val="22"/>
            </w:rPr>
          </w:pPr>
          <w:r>
            <w:fldChar w:fldCharType="begin"/>
          </w:r>
          <w:r>
            <w:instrText xml:space="preserve"> HYPERLINK \l "_Toc103776502" </w:instrText>
          </w:r>
          <w:r>
            <w:fldChar w:fldCharType="separate"/>
          </w:r>
          <w:r>
            <w:rPr>
              <w:rStyle w:val="12"/>
            </w:rPr>
            <w:t>4.效益方面</w:t>
          </w:r>
          <w:r>
            <w:tab/>
          </w:r>
          <w:r>
            <w:fldChar w:fldCharType="begin"/>
          </w:r>
          <w:r>
            <w:instrText xml:space="preserve"> PAGEREF _Toc103776502 \h </w:instrText>
          </w:r>
          <w:r>
            <w:fldChar w:fldCharType="separate"/>
          </w:r>
          <w:r>
            <w:t>- 21 -</w:t>
          </w:r>
          <w:r>
            <w:fldChar w:fldCharType="end"/>
          </w:r>
          <w:r>
            <w:fldChar w:fldCharType="end"/>
          </w:r>
        </w:p>
        <w:p>
          <w:pPr>
            <w:pStyle w:val="8"/>
            <w:tabs>
              <w:tab w:val="right" w:leader="dot" w:pos="8296"/>
            </w:tabs>
            <w:rPr>
              <w:rFonts w:asciiTheme="minorHAnsi" w:hAnsiTheme="minorHAnsi" w:eastAsiaTheme="minorEastAsia" w:cstheme="minorBidi"/>
              <w:szCs w:val="22"/>
            </w:rPr>
          </w:pPr>
          <w:r>
            <w:fldChar w:fldCharType="begin"/>
          </w:r>
          <w:r>
            <w:instrText xml:space="preserve"> HYPERLINK \l "_Toc103776503" </w:instrText>
          </w:r>
          <w:r>
            <w:fldChar w:fldCharType="separate"/>
          </w:r>
          <w:r>
            <w:rPr>
              <w:rStyle w:val="12"/>
            </w:rPr>
            <w:t>六、有关建议</w:t>
          </w:r>
          <w:r>
            <w:tab/>
          </w:r>
          <w:r>
            <w:fldChar w:fldCharType="begin"/>
          </w:r>
          <w:r>
            <w:instrText xml:space="preserve"> PAGEREF _Toc103776503 \h </w:instrText>
          </w:r>
          <w:r>
            <w:fldChar w:fldCharType="separate"/>
          </w:r>
          <w:r>
            <w:t>- 21 -</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"_Toc103776504" </w:instrText>
          </w:r>
          <w:r>
            <w:fldChar w:fldCharType="separate"/>
          </w:r>
          <w:r>
            <w:rPr>
              <w:rStyle w:val="12"/>
            </w:rPr>
            <w:t>（一）决策方面</w:t>
          </w:r>
          <w:r>
            <w:tab/>
          </w:r>
          <w:r>
            <w:fldChar w:fldCharType="begin"/>
          </w:r>
          <w:r>
            <w:instrText xml:space="preserve"> PAGEREF _Toc103776504 \h </w:instrText>
          </w:r>
          <w:r>
            <w:fldChar w:fldCharType="separate"/>
          </w:r>
          <w:r>
            <w:t>- 21 -</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"_Toc103776505" </w:instrText>
          </w:r>
          <w:r>
            <w:fldChar w:fldCharType="separate"/>
          </w:r>
          <w:r>
            <w:rPr>
              <w:rStyle w:val="12"/>
            </w:rPr>
            <w:t>（二）过程方面</w:t>
          </w:r>
          <w:r>
            <w:tab/>
          </w:r>
          <w:r>
            <w:fldChar w:fldCharType="begin"/>
          </w:r>
          <w:r>
            <w:instrText xml:space="preserve"> PAGEREF _Toc103776505 \h </w:instrText>
          </w:r>
          <w:r>
            <w:fldChar w:fldCharType="separate"/>
          </w:r>
          <w:r>
            <w:t>- 22 -</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"_Toc103776506" </w:instrText>
          </w:r>
          <w:r>
            <w:fldChar w:fldCharType="separate"/>
          </w:r>
          <w:r>
            <w:rPr>
              <w:rStyle w:val="12"/>
            </w:rPr>
            <w:t>（三）产出方面</w:t>
          </w:r>
          <w:r>
            <w:tab/>
          </w:r>
          <w:r>
            <w:fldChar w:fldCharType="begin"/>
          </w:r>
          <w:r>
            <w:instrText xml:space="preserve"> PAGEREF _Toc103776506 \h </w:instrText>
          </w:r>
          <w:r>
            <w:fldChar w:fldCharType="separate"/>
          </w:r>
          <w:r>
            <w:t>- 23 -</w:t>
          </w:r>
          <w:r>
            <w:fldChar w:fldCharType="end"/>
          </w:r>
          <w:r>
            <w:fldChar w:fldCharType="end"/>
          </w:r>
        </w:p>
        <w:p>
          <w:pPr>
            <w:pStyle w:val="10"/>
            <w:tabs>
              <w:tab w:val="right" w:leader="dot" w:pos="8296"/>
            </w:tabs>
            <w:rPr>
              <w:rFonts w:asciiTheme="minorHAnsi" w:hAnsiTheme="minorHAnsi" w:eastAsiaTheme="minorEastAsia" w:cstheme="minorBidi"/>
              <w:szCs w:val="22"/>
            </w:rPr>
          </w:pPr>
          <w:r>
            <w:fldChar w:fldCharType="begin"/>
          </w:r>
          <w:r>
            <w:instrText xml:space="preserve"> HYPERLINK \l "_Toc103776507" </w:instrText>
          </w:r>
          <w:r>
            <w:fldChar w:fldCharType="separate"/>
          </w:r>
          <w:r>
            <w:rPr>
              <w:rStyle w:val="12"/>
            </w:rPr>
            <w:t>（四）效益方面</w:t>
          </w:r>
          <w:r>
            <w:tab/>
          </w:r>
          <w:r>
            <w:fldChar w:fldCharType="begin"/>
          </w:r>
          <w:r>
            <w:instrText xml:space="preserve"> PAGEREF _Toc103776507 \h </w:instrText>
          </w:r>
          <w:r>
            <w:fldChar w:fldCharType="separate"/>
          </w:r>
          <w:r>
            <w:t>- 23 -</w:t>
          </w:r>
          <w:r>
            <w:fldChar w:fldCharType="end"/>
          </w:r>
          <w:r>
            <w:fldChar w:fldCharType="end"/>
          </w:r>
        </w:p>
        <w:p>
          <w:pPr>
            <w:pStyle w:val="8"/>
            <w:tabs>
              <w:tab w:val="right" w:leader="dot" w:pos="8296"/>
            </w:tabs>
            <w:rPr>
              <w:rFonts w:asciiTheme="minorHAnsi" w:hAnsiTheme="minorHAnsi" w:eastAsiaTheme="minorEastAsia" w:cstheme="minorBidi"/>
              <w:szCs w:val="22"/>
            </w:rPr>
          </w:pPr>
          <w:r>
            <w:fldChar w:fldCharType="begin"/>
          </w:r>
          <w:r>
            <w:instrText xml:space="preserve"> HYPERLINK \l "_Toc103776508" </w:instrText>
          </w:r>
          <w:r>
            <w:fldChar w:fldCharType="separate"/>
          </w:r>
          <w:r>
            <w:rPr>
              <w:rStyle w:val="12"/>
            </w:rPr>
            <w:t>七、其他需要说明的问题</w:t>
          </w:r>
          <w:r>
            <w:tab/>
          </w:r>
          <w:r>
            <w:fldChar w:fldCharType="begin"/>
          </w:r>
          <w:r>
            <w:instrText xml:space="preserve"> PAGEREF _Toc103776508 \h </w:instrText>
          </w:r>
          <w:r>
            <w:fldChar w:fldCharType="separate"/>
          </w:r>
          <w:r>
            <w:t>- 23 -</w:t>
          </w:r>
          <w:r>
            <w:fldChar w:fldCharType="end"/>
          </w:r>
          <w:r>
            <w:fldChar w:fldCharType="end"/>
          </w:r>
        </w:p>
        <w:p>
          <w:r>
            <w:rPr>
              <w:b/>
              <w:bCs/>
              <w:lang w:val="zh-CN"/>
            </w:rPr>
            <w:fldChar w:fldCharType="end"/>
          </w:r>
        </w:p>
      </w:sdtContent>
    </w:sdt>
    <w:p>
      <w:pPr>
        <w:spacing w:line="560" w:lineRule="exact"/>
        <w:jc w:val="center"/>
        <w:rPr>
          <w:rFonts w:ascii="方正小标宋简体" w:eastAsia="方正小标宋简体"/>
          <w:sz w:val="36"/>
          <w:szCs w:val="36"/>
        </w:rPr>
      </w:pPr>
    </w:p>
    <w:p>
      <w:pPr>
        <w:spacing w:line="560" w:lineRule="exact"/>
        <w:jc w:val="center"/>
        <w:rPr>
          <w:rFonts w:ascii="方正小标宋简体" w:eastAsia="方正小标宋简体"/>
          <w:sz w:val="36"/>
          <w:szCs w:val="36"/>
        </w:rPr>
        <w:sectPr>
          <w:footerReference r:id="rId3" w:type="default"/>
          <w:pgSz w:w="11906" w:h="16838"/>
          <w:pgMar w:top="1440" w:right="1800" w:bottom="1440" w:left="1800" w:header="851" w:footer="992" w:gutter="0"/>
          <w:pgNumType w:fmt="numberInDash"/>
          <w:cols w:space="425" w:num="1"/>
          <w:docGrid w:type="lines" w:linePitch="312" w:charSpace="0"/>
        </w:sectPr>
      </w:pPr>
    </w:p>
    <w:p>
      <w:pPr>
        <w:spacing w:line="560" w:lineRule="exact"/>
        <w:jc w:val="center"/>
        <w:rPr>
          <w:rFonts w:ascii="方正小标宋简体" w:eastAsia="方正小标宋简体"/>
          <w:sz w:val="36"/>
          <w:szCs w:val="36"/>
        </w:rPr>
      </w:pP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北京市药品检验研究院</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北京市中药饮片炮制规范修订</w:t>
      </w:r>
    </w:p>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项目支出绩效评价报告</w:t>
      </w:r>
    </w:p>
    <w:p>
      <w:pPr>
        <w:jc w:val="center"/>
        <w:rPr>
          <w:rFonts w:ascii="仿宋_GB2312" w:eastAsia="仿宋_GB2312"/>
          <w:sz w:val="32"/>
          <w:szCs w:val="32"/>
        </w:rPr>
      </w:pPr>
      <w:r>
        <w:rPr>
          <w:rFonts w:hint="eastAsia" w:ascii="仿宋_GB2312" w:eastAsia="仿宋_GB2312"/>
          <w:sz w:val="32"/>
          <w:szCs w:val="32"/>
        </w:rPr>
        <w:t>（初稿）</w:t>
      </w:r>
    </w:p>
    <w:p>
      <w:pPr>
        <w:pStyle w:val="2"/>
        <w:spacing w:line="360" w:lineRule="auto"/>
        <w:ind w:firstLine="640"/>
      </w:pPr>
      <w:bookmarkStart w:id="0" w:name="_Toc103776466"/>
      <w:r>
        <w:rPr>
          <w:rFonts w:hint="eastAsia"/>
        </w:rPr>
        <w:t>一、基本情况</w:t>
      </w:r>
      <w:bookmarkEnd w:id="0"/>
    </w:p>
    <w:p>
      <w:pPr>
        <w:pStyle w:val="3"/>
        <w:spacing w:before="312" w:line="360" w:lineRule="auto"/>
        <w:ind w:firstLine="640"/>
      </w:pPr>
      <w:bookmarkStart w:id="1" w:name="_Toc103776467"/>
      <w:r>
        <w:rPr>
          <w:rFonts w:hint="eastAsia"/>
        </w:rPr>
        <w:t>（一）项目概况。</w:t>
      </w:r>
      <w:bookmarkEnd w:id="1"/>
    </w:p>
    <w:p>
      <w:pPr>
        <w:pStyle w:val="4"/>
        <w:spacing w:line="360" w:lineRule="auto"/>
        <w:ind w:firstLine="640"/>
      </w:pPr>
      <w:bookmarkStart w:id="2" w:name="_Toc103776468"/>
      <w:r>
        <w:rPr>
          <w:rFonts w:hint="eastAsia"/>
        </w:rPr>
        <w:t>1</w:t>
      </w:r>
      <w:r>
        <w:t>.</w:t>
      </w:r>
      <w:r>
        <w:rPr>
          <w:rFonts w:hint="eastAsia"/>
        </w:rPr>
        <w:t>项目基本情况</w:t>
      </w:r>
      <w:bookmarkEnd w:id="2"/>
    </w:p>
    <w:p>
      <w:pPr>
        <w:spacing w:line="360" w:lineRule="auto"/>
        <w:ind w:firstLine="643" w:firstLineChars="200"/>
        <w:rPr>
          <w:rFonts w:eastAsia="仿宋_GB2312"/>
          <w:sz w:val="32"/>
        </w:rPr>
      </w:pPr>
      <w:r>
        <w:rPr>
          <w:rFonts w:hint="eastAsia" w:eastAsia="仿宋_GB2312"/>
          <w:b/>
          <w:bCs/>
          <w:sz w:val="32"/>
        </w:rPr>
        <w:t>项目名称：</w:t>
      </w:r>
      <w:r>
        <w:rPr>
          <w:rFonts w:hint="eastAsia" w:eastAsia="仿宋_GB2312"/>
          <w:sz w:val="32"/>
        </w:rPr>
        <w:t>北京市中药饮片炮制规范修订</w:t>
      </w:r>
    </w:p>
    <w:p>
      <w:pPr>
        <w:spacing w:line="360" w:lineRule="auto"/>
        <w:ind w:firstLine="643" w:firstLineChars="200"/>
        <w:rPr>
          <w:rFonts w:eastAsia="仿宋_GB2312"/>
          <w:sz w:val="32"/>
        </w:rPr>
      </w:pPr>
      <w:r>
        <w:rPr>
          <w:rFonts w:hint="eastAsia" w:eastAsia="仿宋_GB2312"/>
          <w:b/>
          <w:bCs/>
          <w:sz w:val="32"/>
        </w:rPr>
        <w:t>项目单位：</w:t>
      </w:r>
      <w:r>
        <w:rPr>
          <w:rFonts w:hint="eastAsia" w:eastAsia="仿宋_GB2312"/>
          <w:sz w:val="32"/>
        </w:rPr>
        <w:t>北京市药品检验研究院</w:t>
      </w:r>
    </w:p>
    <w:p>
      <w:pPr>
        <w:spacing w:line="360" w:lineRule="auto"/>
        <w:ind w:firstLine="643" w:firstLineChars="200"/>
        <w:rPr>
          <w:rFonts w:eastAsia="仿宋_GB2312"/>
          <w:sz w:val="32"/>
        </w:rPr>
      </w:pPr>
      <w:r>
        <w:rPr>
          <w:rFonts w:hint="eastAsia" w:eastAsia="仿宋_GB2312"/>
          <w:b/>
          <w:bCs/>
          <w:sz w:val="32"/>
        </w:rPr>
        <w:t>主管单位：</w:t>
      </w:r>
      <w:r>
        <w:rPr>
          <w:rFonts w:hint="eastAsia" w:eastAsia="仿宋_GB2312"/>
          <w:sz w:val="32"/>
        </w:rPr>
        <w:t>北京市药品监督管理局</w:t>
      </w:r>
    </w:p>
    <w:p>
      <w:pPr>
        <w:spacing w:line="360" w:lineRule="auto"/>
        <w:ind w:firstLine="643" w:firstLineChars="200"/>
        <w:rPr>
          <w:rFonts w:eastAsia="仿宋_GB2312"/>
          <w:sz w:val="32"/>
        </w:rPr>
      </w:pPr>
      <w:r>
        <w:rPr>
          <w:rFonts w:hint="eastAsia" w:eastAsia="仿宋_GB2312"/>
          <w:b/>
          <w:bCs/>
          <w:sz w:val="32"/>
        </w:rPr>
        <w:t>项目类型：</w:t>
      </w:r>
      <w:r>
        <w:rPr>
          <w:rFonts w:hint="eastAsia" w:eastAsia="仿宋_GB2312"/>
          <w:sz w:val="32"/>
        </w:rPr>
        <w:t>延续项目</w:t>
      </w:r>
    </w:p>
    <w:p>
      <w:pPr>
        <w:spacing w:line="360" w:lineRule="auto"/>
        <w:ind w:firstLine="643" w:firstLineChars="200"/>
        <w:rPr>
          <w:rFonts w:eastAsia="仿宋_GB2312"/>
          <w:sz w:val="32"/>
        </w:rPr>
      </w:pPr>
      <w:r>
        <w:rPr>
          <w:rFonts w:hint="eastAsia" w:eastAsia="仿宋_GB2312"/>
          <w:b/>
          <w:bCs/>
          <w:sz w:val="32"/>
        </w:rPr>
        <w:t>项目开始时间：</w:t>
      </w:r>
      <w:r>
        <w:rPr>
          <w:rFonts w:hint="eastAsia" w:eastAsia="仿宋_GB2312"/>
          <w:sz w:val="32"/>
        </w:rPr>
        <w:t>2</w:t>
      </w:r>
      <w:r>
        <w:rPr>
          <w:rFonts w:eastAsia="仿宋_GB2312"/>
          <w:sz w:val="32"/>
        </w:rPr>
        <w:t>021</w:t>
      </w:r>
      <w:r>
        <w:rPr>
          <w:rFonts w:hint="eastAsia" w:eastAsia="仿宋_GB2312"/>
          <w:sz w:val="32"/>
        </w:rPr>
        <w:t>年1月</w:t>
      </w:r>
    </w:p>
    <w:p>
      <w:pPr>
        <w:spacing w:line="360" w:lineRule="auto"/>
        <w:ind w:firstLine="643" w:firstLineChars="200"/>
        <w:rPr>
          <w:rFonts w:eastAsia="仿宋_GB2312"/>
          <w:sz w:val="32"/>
        </w:rPr>
      </w:pPr>
      <w:r>
        <w:rPr>
          <w:rFonts w:hint="eastAsia" w:eastAsia="仿宋_GB2312"/>
          <w:b/>
          <w:bCs/>
          <w:sz w:val="32"/>
        </w:rPr>
        <w:t>项目完成时间：</w:t>
      </w:r>
      <w:r>
        <w:rPr>
          <w:rFonts w:hint="eastAsia" w:eastAsia="仿宋_GB2312"/>
          <w:sz w:val="32"/>
        </w:rPr>
        <w:t>2</w:t>
      </w:r>
      <w:r>
        <w:rPr>
          <w:rFonts w:eastAsia="仿宋_GB2312"/>
          <w:sz w:val="32"/>
        </w:rPr>
        <w:t>021</w:t>
      </w:r>
      <w:r>
        <w:rPr>
          <w:rFonts w:hint="eastAsia" w:eastAsia="仿宋_GB2312"/>
          <w:sz w:val="32"/>
        </w:rPr>
        <w:t>年1</w:t>
      </w:r>
      <w:r>
        <w:rPr>
          <w:rFonts w:eastAsia="仿宋_GB2312"/>
          <w:sz w:val="32"/>
        </w:rPr>
        <w:t>2</w:t>
      </w:r>
      <w:r>
        <w:rPr>
          <w:rFonts w:hint="eastAsia" w:eastAsia="仿宋_GB2312"/>
          <w:sz w:val="32"/>
        </w:rPr>
        <w:t>月</w:t>
      </w:r>
    </w:p>
    <w:p>
      <w:pPr>
        <w:pStyle w:val="4"/>
        <w:spacing w:line="360" w:lineRule="auto"/>
        <w:ind w:firstLine="640"/>
      </w:pPr>
      <w:bookmarkStart w:id="3" w:name="_Toc103776469"/>
      <w:r>
        <w:rPr>
          <w:rFonts w:hint="eastAsia"/>
        </w:rPr>
        <w:t>2</w:t>
      </w:r>
      <w:r>
        <w:t>.</w:t>
      </w:r>
      <w:r>
        <w:rPr>
          <w:rFonts w:hint="eastAsia"/>
        </w:rPr>
        <w:t>项目背景</w:t>
      </w:r>
      <w:bookmarkEnd w:id="3"/>
    </w:p>
    <w:p>
      <w:pPr>
        <w:spacing w:line="360" w:lineRule="auto"/>
        <w:ind w:firstLine="640" w:firstLineChars="200"/>
        <w:rPr>
          <w:rFonts w:eastAsia="仿宋_GB2312"/>
          <w:sz w:val="32"/>
        </w:rPr>
      </w:pPr>
      <w:r>
        <w:rPr>
          <w:rFonts w:hint="eastAsia" w:eastAsia="仿宋_GB2312"/>
          <w:sz w:val="32"/>
        </w:rPr>
        <w:t>中药饮片炮制是在中医药理论指导下，按中医辨证用药的原则及调剂、制剂的需要，将中药材加工成饮片的方法和技术。饮片炮制方法规范与否，饮片质量评价是否完善，直接关系到药品质量和临床用药的安全有效，关系到中医药的继承与发展。省级饮片炮制规范是对国家药品标准中未收载的地方临床习用饮片品规和炮制方法的补充，是地方饮片加工、生产、经营、使用、检验、监督管理的法定依据。在中医药文化传承中，京制中药饮片独具特色，历史悠久，在中医专家临床处方使用和京制名优中成药的研发和生产中发挥着重要的支撑作用。</w:t>
      </w:r>
    </w:p>
    <w:p>
      <w:pPr>
        <w:spacing w:line="360" w:lineRule="auto"/>
        <w:ind w:firstLine="640" w:firstLineChars="200"/>
        <w:rPr>
          <w:rFonts w:eastAsia="仿宋_GB2312"/>
          <w:sz w:val="32"/>
        </w:rPr>
      </w:pPr>
      <w:r>
        <w:rPr>
          <w:rFonts w:hint="eastAsia" w:eastAsia="仿宋_GB2312"/>
          <w:sz w:val="32"/>
        </w:rPr>
        <w:t>《北京市中药饮片炮制规范》（以下简称《北京炮规》）作为北京地区的饮片炮制规范，是北京市中药饮片生产、经营、使用、检验、监督管理的法定依据。2008年版《北京炮规》已使用十年，已经无法满足人民群众对中药饮片质量日益增长的需求，随着行业发展，中药饮片生产企业在饮片标准执行、临床医生对中药饮片使用均出现了新的问题和需求。国家药品监督管理局2018年8月28日下发的《中药饮片质量集中整治工作方案》，要求各省按照原国家食药总局发布的《省级中药饮片炮制规范修订的技术指导原则》修订省级中药饮片炮制规范，修订完善中药饮片质量标准，增强中药饮片标准的科学性和适用性。依据《药品管理法》第十条，按照《省级中药饮片炮制规范修订的技术指导原则》有关要求，北京市药品监督管理局于2</w:t>
      </w:r>
      <w:r>
        <w:rPr>
          <w:rFonts w:eastAsia="仿宋_GB2312"/>
          <w:sz w:val="32"/>
        </w:rPr>
        <w:t>019</w:t>
      </w:r>
      <w:r>
        <w:rPr>
          <w:rFonts w:hint="eastAsia" w:eastAsia="仿宋_GB2312"/>
          <w:sz w:val="32"/>
        </w:rPr>
        <w:t>年正式启动《北京炮规》修订工作，计划用3~5年的时间完成此次修订任务，并于2</w:t>
      </w:r>
      <w:r>
        <w:rPr>
          <w:rFonts w:eastAsia="仿宋_GB2312"/>
          <w:sz w:val="32"/>
        </w:rPr>
        <w:t>019</w:t>
      </w:r>
      <w:r>
        <w:rPr>
          <w:rFonts w:hint="eastAsia" w:eastAsia="仿宋_GB2312"/>
          <w:sz w:val="32"/>
        </w:rPr>
        <w:t>年3月印发了《北京市中药饮片炮制规范修订工作实施方案》（京药监发〔2019〕3号）。</w:t>
      </w:r>
    </w:p>
    <w:p>
      <w:pPr>
        <w:pStyle w:val="4"/>
        <w:spacing w:line="360" w:lineRule="auto"/>
        <w:ind w:firstLine="640"/>
      </w:pPr>
      <w:bookmarkStart w:id="4" w:name="_Toc103776470"/>
      <w:bookmarkStart w:id="5" w:name="_Hlk102067229"/>
      <w:r>
        <w:rPr>
          <w:rFonts w:hint="eastAsia"/>
        </w:rPr>
        <w:t>3</w:t>
      </w:r>
      <w:r>
        <w:t>.</w:t>
      </w:r>
      <w:r>
        <w:rPr>
          <w:rFonts w:hint="eastAsia"/>
        </w:rPr>
        <w:t xml:space="preserve"> 主要内容及实施情况</w:t>
      </w:r>
      <w:bookmarkEnd w:id="4"/>
    </w:p>
    <w:p>
      <w:pPr>
        <w:spacing w:line="360" w:lineRule="auto"/>
        <w:ind w:firstLine="640" w:firstLineChars="200"/>
        <w:rPr>
          <w:rFonts w:eastAsia="仿宋_GB2312"/>
          <w:sz w:val="32"/>
        </w:rPr>
      </w:pPr>
      <w:r>
        <w:rPr>
          <w:rFonts w:hint="eastAsia" w:eastAsia="仿宋_GB2312"/>
          <w:sz w:val="32"/>
        </w:rPr>
        <w:t>北京市药品检验研究院</w:t>
      </w:r>
      <w:bookmarkEnd w:id="5"/>
      <w:r>
        <w:rPr>
          <w:rFonts w:hint="eastAsia" w:eastAsia="仿宋_GB2312"/>
          <w:sz w:val="32"/>
        </w:rPr>
        <w:t>作为我局所属二级事业单位，负责质量研究工作的技术指导，对研究并经验证、检验合格的炮制规范质量标准草案及其试制样品进行复核检验，对同时提出的炮制用辅料标准草案及其辅料进行复核检验，对同时提出的对照用标准物质标准草案及对照用标准物质进行复核标化，出具复核意见、炮制规范质量标准草案、样品检验报告书等复核检验资料。</w:t>
      </w:r>
    </w:p>
    <w:p>
      <w:pPr>
        <w:spacing w:line="360" w:lineRule="auto"/>
        <w:ind w:firstLine="640" w:firstLineChars="200"/>
        <w:rPr>
          <w:rFonts w:eastAsia="仿宋_GB2312"/>
          <w:sz w:val="32"/>
        </w:rPr>
      </w:pPr>
      <w:r>
        <w:rPr>
          <w:rFonts w:hint="eastAsia" w:eastAsia="仿宋_GB2312"/>
          <w:sz w:val="32"/>
        </w:rPr>
        <w:t>北京市药品检验研究院根据实施方案，2</w:t>
      </w:r>
      <w:r>
        <w:rPr>
          <w:rFonts w:eastAsia="仿宋_GB2312"/>
          <w:sz w:val="32"/>
        </w:rPr>
        <w:t>021</w:t>
      </w:r>
      <w:r>
        <w:rPr>
          <w:rFonts w:hint="eastAsia" w:eastAsia="仿宋_GB2312"/>
          <w:sz w:val="32"/>
        </w:rPr>
        <w:t>年继续按照2019-2020年形成的炮制规范修订工作机制，开展实施120个中药饮片品种的修订工作，5个品种的北京市地方中药标准物质标定,</w:t>
      </w:r>
      <w:r>
        <w:rPr>
          <w:rFonts w:hint="eastAsia"/>
        </w:rPr>
        <w:t xml:space="preserve"> </w:t>
      </w:r>
      <w:r>
        <w:rPr>
          <w:rFonts w:hint="eastAsia" w:eastAsia="仿宋_GB2312"/>
          <w:sz w:val="32"/>
        </w:rPr>
        <w:t>5个基源复杂品种分子生物学技术研究，北京市中药饮片炮制规范附录编修订工作及部分品种统稿工作。</w:t>
      </w:r>
    </w:p>
    <w:p>
      <w:pPr>
        <w:pStyle w:val="4"/>
        <w:spacing w:line="360" w:lineRule="auto"/>
        <w:ind w:firstLine="640"/>
      </w:pPr>
      <w:bookmarkStart w:id="6" w:name="_Toc103776471"/>
      <w:r>
        <w:rPr>
          <w:rFonts w:hint="eastAsia"/>
        </w:rPr>
        <w:t>4</w:t>
      </w:r>
      <w:r>
        <w:t>.</w:t>
      </w:r>
      <w:r>
        <w:rPr>
          <w:rFonts w:hint="eastAsia"/>
        </w:rPr>
        <w:t xml:space="preserve"> 资金投入和使用情况</w:t>
      </w:r>
      <w:bookmarkEnd w:id="6"/>
    </w:p>
    <w:p>
      <w:pPr>
        <w:spacing w:line="360" w:lineRule="auto"/>
        <w:ind w:firstLine="640" w:firstLineChars="200"/>
        <w:rPr>
          <w:rFonts w:eastAsia="仿宋_GB2312"/>
          <w:sz w:val="32"/>
        </w:rPr>
      </w:pPr>
      <w:r>
        <w:rPr>
          <w:rFonts w:hint="eastAsia" w:eastAsia="仿宋_GB2312"/>
          <w:sz w:val="32"/>
        </w:rPr>
        <w:t>2</w:t>
      </w:r>
      <w:r>
        <w:rPr>
          <w:rFonts w:eastAsia="仿宋_GB2312"/>
          <w:sz w:val="32"/>
        </w:rPr>
        <w:t>021</w:t>
      </w:r>
      <w:r>
        <w:rPr>
          <w:rFonts w:hint="eastAsia" w:eastAsia="仿宋_GB2312"/>
          <w:sz w:val="32"/>
        </w:rPr>
        <w:t>年该项目的批复预算资金5</w:t>
      </w:r>
      <w:r>
        <w:rPr>
          <w:rFonts w:eastAsia="仿宋_GB2312"/>
          <w:sz w:val="32"/>
        </w:rPr>
        <w:t>00.00</w:t>
      </w:r>
      <w:r>
        <w:rPr>
          <w:rFonts w:hint="eastAsia" w:eastAsia="仿宋_GB2312"/>
          <w:sz w:val="32"/>
        </w:rPr>
        <w:t>万元，全部为北京市级财政资金，实际到位5</w:t>
      </w:r>
      <w:r>
        <w:rPr>
          <w:rFonts w:eastAsia="仿宋_GB2312"/>
          <w:sz w:val="32"/>
        </w:rPr>
        <w:t>00.00</w:t>
      </w:r>
      <w:r>
        <w:rPr>
          <w:rFonts w:hint="eastAsia" w:eastAsia="仿宋_GB2312"/>
          <w:sz w:val="32"/>
        </w:rPr>
        <w:t>万元，截至2021年12月31日支出496.18万元，结转结余3</w:t>
      </w:r>
      <w:r>
        <w:rPr>
          <w:rFonts w:eastAsia="仿宋_GB2312"/>
          <w:sz w:val="32"/>
        </w:rPr>
        <w:t>.82</w:t>
      </w:r>
      <w:r>
        <w:rPr>
          <w:rFonts w:hint="eastAsia" w:eastAsia="仿宋_GB2312"/>
          <w:sz w:val="32"/>
        </w:rPr>
        <w:t>万元，预算执行率为99.24%。</w:t>
      </w:r>
    </w:p>
    <w:p>
      <w:pPr>
        <w:pStyle w:val="3"/>
        <w:spacing w:before="312" w:line="360" w:lineRule="auto"/>
        <w:ind w:firstLine="640"/>
      </w:pPr>
      <w:bookmarkStart w:id="7" w:name="_Toc103776472"/>
      <w:r>
        <w:rPr>
          <w:rFonts w:hint="eastAsia"/>
        </w:rPr>
        <w:t>（二）项目绩效目标。</w:t>
      </w:r>
      <w:bookmarkEnd w:id="7"/>
    </w:p>
    <w:p>
      <w:pPr>
        <w:pStyle w:val="4"/>
        <w:spacing w:line="360" w:lineRule="auto"/>
        <w:ind w:firstLine="640"/>
      </w:pPr>
      <w:bookmarkStart w:id="8" w:name="_Toc103776473"/>
      <w:r>
        <w:rPr>
          <w:rFonts w:hint="eastAsia"/>
        </w:rPr>
        <w:t>1</w:t>
      </w:r>
      <w:r>
        <w:t>.</w:t>
      </w:r>
      <w:r>
        <w:rPr>
          <w:rFonts w:hint="eastAsia"/>
        </w:rPr>
        <w:t>总体目标</w:t>
      </w:r>
      <w:bookmarkEnd w:id="8"/>
    </w:p>
    <w:p>
      <w:pPr>
        <w:spacing w:line="360" w:lineRule="auto"/>
        <w:ind w:firstLine="640" w:firstLineChars="200"/>
        <w:rPr>
          <w:rFonts w:eastAsia="仿宋_GB2312"/>
          <w:sz w:val="32"/>
        </w:rPr>
      </w:pPr>
      <w:r>
        <w:rPr>
          <w:rFonts w:hint="eastAsia" w:eastAsia="仿宋_GB2312"/>
          <w:sz w:val="32"/>
        </w:rPr>
        <w:t>按照国家药品监督管理局《省级中药饮片炮制规范修订的技术指导原则》，将新版《北京炮规》收载的品种定位于对国家药品标准中未收载的地方临床习用饮片品规和炮制方法的补充，结合北京市中药饮片发展现状做好特色炮制技术和工艺的传承，进一步完善北京市中药饮片质量标准，增强中药饮片标准的科学性和适用性，发挥北京市地方中药饮片特色与优势。</w:t>
      </w:r>
    </w:p>
    <w:p>
      <w:pPr>
        <w:pStyle w:val="4"/>
        <w:spacing w:line="360" w:lineRule="auto"/>
        <w:ind w:firstLine="640"/>
      </w:pPr>
      <w:bookmarkStart w:id="9" w:name="_Toc103776474"/>
      <w:r>
        <w:rPr>
          <w:rFonts w:hint="eastAsia"/>
        </w:rPr>
        <w:t>2</w:t>
      </w:r>
      <w:r>
        <w:t>.</w:t>
      </w:r>
      <w:r>
        <w:rPr>
          <w:rFonts w:hint="eastAsia"/>
        </w:rPr>
        <w:t>年度目标</w:t>
      </w:r>
      <w:bookmarkEnd w:id="9"/>
    </w:p>
    <w:p>
      <w:pPr>
        <w:spacing w:line="360" w:lineRule="auto"/>
        <w:ind w:firstLine="640" w:firstLineChars="200"/>
        <w:rPr>
          <w:rFonts w:eastAsia="仿宋_GB2312"/>
          <w:sz w:val="32"/>
        </w:rPr>
      </w:pPr>
      <w:r>
        <w:rPr>
          <w:rFonts w:hint="eastAsia" w:eastAsia="仿宋_GB2312"/>
          <w:sz w:val="32"/>
        </w:rPr>
        <w:t>根据《北京市中药饮片炮制规范修订工作实施方案》，继续开展120个中药饮片品种的修订工作，完成5个品种的北京市地方中药标准物质标定,</w:t>
      </w:r>
      <w:r>
        <w:rPr>
          <w:rFonts w:hint="eastAsia"/>
        </w:rPr>
        <w:t xml:space="preserve"> </w:t>
      </w:r>
      <w:r>
        <w:rPr>
          <w:rFonts w:hint="eastAsia" w:eastAsia="仿宋_GB2312"/>
          <w:sz w:val="32"/>
        </w:rPr>
        <w:t>完成5个基源复杂品种分子生物学技术研究，完成北京市中药饮片炮制规范附录编修订工作及部分品种统稿工作。</w:t>
      </w:r>
    </w:p>
    <w:p>
      <w:pPr>
        <w:pStyle w:val="2"/>
        <w:spacing w:line="360" w:lineRule="auto"/>
        <w:ind w:firstLine="640"/>
        <w:rPr>
          <w:rFonts w:eastAsia="仿宋_GB2312"/>
        </w:rPr>
      </w:pPr>
      <w:bookmarkStart w:id="10" w:name="_Toc103776475"/>
      <w:r>
        <w:rPr>
          <w:rFonts w:hint="eastAsia"/>
        </w:rPr>
        <w:t>二、绩效评价工作开展情况</w:t>
      </w:r>
      <w:bookmarkEnd w:id="10"/>
    </w:p>
    <w:p>
      <w:pPr>
        <w:pStyle w:val="3"/>
        <w:spacing w:before="312" w:line="360" w:lineRule="auto"/>
        <w:ind w:firstLine="640"/>
      </w:pPr>
      <w:bookmarkStart w:id="11" w:name="_Toc103776476"/>
      <w:r>
        <w:rPr>
          <w:rFonts w:hint="eastAsia"/>
        </w:rPr>
        <w:t>（一）绩效评价目的、对象和范围。</w:t>
      </w:r>
      <w:bookmarkEnd w:id="11"/>
    </w:p>
    <w:p>
      <w:pPr>
        <w:pStyle w:val="4"/>
        <w:spacing w:line="360" w:lineRule="auto"/>
        <w:ind w:firstLine="640"/>
      </w:pPr>
      <w:bookmarkStart w:id="12" w:name="_Toc103776477"/>
      <w:r>
        <w:rPr>
          <w:rFonts w:hint="eastAsia"/>
        </w:rPr>
        <w:t>1</w:t>
      </w:r>
      <w:r>
        <w:t>.</w:t>
      </w:r>
      <w:r>
        <w:rPr>
          <w:rFonts w:hint="eastAsia"/>
        </w:rPr>
        <w:t>评价目的</w:t>
      </w:r>
      <w:bookmarkEnd w:id="12"/>
    </w:p>
    <w:p>
      <w:pPr>
        <w:spacing w:line="360" w:lineRule="auto"/>
        <w:ind w:firstLine="640" w:firstLineChars="200"/>
        <w:rPr>
          <w:rFonts w:eastAsia="仿宋_GB2312"/>
          <w:sz w:val="32"/>
        </w:rPr>
      </w:pPr>
      <w:r>
        <w:rPr>
          <w:rFonts w:hint="eastAsia" w:eastAsia="仿宋_GB2312"/>
          <w:sz w:val="32"/>
        </w:rPr>
        <w:t>一是加强预算绩效管理，强化支出责任，提高财政资金使用效益；二是进一步总结和分析财政资金的支出效果，了解、分析、检验资金使用是否达到预期目标，资金管理是否规范，资金使用是否有效，考核财政支出效率和综合效果；三是通过绩效评价，对项目支出的经济性、效率性、效益性和公平性进行客观、公正的测量、分析和评判，促进项目单位总结经验、发现问题、改进工作，进一步加强项目管理，提高财政资源配置效率和使用效益。</w:t>
      </w:r>
    </w:p>
    <w:p>
      <w:pPr>
        <w:pStyle w:val="4"/>
        <w:spacing w:line="360" w:lineRule="auto"/>
        <w:ind w:firstLine="640"/>
      </w:pPr>
      <w:bookmarkStart w:id="13" w:name="_Toc103776478"/>
      <w:r>
        <w:rPr>
          <w:rFonts w:hint="eastAsia"/>
        </w:rPr>
        <w:t>2</w:t>
      </w:r>
      <w:r>
        <w:t>.</w:t>
      </w:r>
      <w:r>
        <w:rPr>
          <w:rFonts w:hint="eastAsia"/>
        </w:rPr>
        <w:t>评价对象和范围</w:t>
      </w:r>
      <w:bookmarkEnd w:id="13"/>
    </w:p>
    <w:p>
      <w:pPr>
        <w:spacing w:line="360" w:lineRule="auto"/>
        <w:ind w:firstLine="640" w:firstLineChars="200"/>
        <w:rPr>
          <w:rFonts w:eastAsia="仿宋_GB2312"/>
          <w:sz w:val="32"/>
        </w:rPr>
      </w:pPr>
      <w:r>
        <w:rPr>
          <w:rFonts w:hint="eastAsia" w:eastAsia="仿宋_GB2312"/>
          <w:sz w:val="32"/>
        </w:rPr>
        <w:t>根据《北京市财政局关于开展2022年全面预算绩效管理工作的通知》（京财绩效〔2022〕669号）要求，优先从2021年度部门预算中“委托外包”类、9月底预算执行进度不足75%的、年初预算进行调整的、中央直达资金、事前绩效评估存在问题的项目中选取至少1个项目开展部门绩效评价，我局从实际工作需要出发，根据部门职责及年度工作任务，确定北京市药品检验研究院实施的北京市中药饮片炮制规范修订项目为重点项目，开展项目绩效评价。</w:t>
      </w:r>
    </w:p>
    <w:p>
      <w:pPr>
        <w:pStyle w:val="3"/>
        <w:spacing w:before="312" w:line="360" w:lineRule="auto"/>
        <w:ind w:firstLine="640"/>
      </w:pPr>
      <w:bookmarkStart w:id="14" w:name="_Toc103776479"/>
      <w:r>
        <w:rPr>
          <w:rFonts w:hint="eastAsia"/>
        </w:rPr>
        <w:t>（二）绩效评价原则、评价指标体系、评价方法、</w:t>
      </w:r>
      <w:bookmarkStart w:id="15" w:name="_Hlk102069746"/>
      <w:r>
        <w:rPr>
          <w:rFonts w:hint="eastAsia"/>
        </w:rPr>
        <w:t>评价标准</w:t>
      </w:r>
      <w:bookmarkEnd w:id="15"/>
      <w:r>
        <w:rPr>
          <w:rFonts w:hint="eastAsia"/>
        </w:rPr>
        <w:t>。</w:t>
      </w:r>
      <w:bookmarkEnd w:id="14"/>
    </w:p>
    <w:p>
      <w:pPr>
        <w:pStyle w:val="4"/>
        <w:spacing w:line="360" w:lineRule="auto"/>
        <w:ind w:firstLine="640"/>
      </w:pPr>
      <w:bookmarkStart w:id="16" w:name="_Toc103776480"/>
      <w:r>
        <w:rPr>
          <w:rFonts w:hint="eastAsia"/>
        </w:rPr>
        <w:t>1</w:t>
      </w:r>
      <w:r>
        <w:t xml:space="preserve">. </w:t>
      </w:r>
      <w:r>
        <w:rPr>
          <w:rFonts w:hint="eastAsia"/>
        </w:rPr>
        <w:t>评价原则</w:t>
      </w:r>
      <w:bookmarkEnd w:id="16"/>
    </w:p>
    <w:p>
      <w:pPr>
        <w:spacing w:line="360" w:lineRule="auto"/>
        <w:ind w:firstLine="640" w:firstLineChars="200"/>
        <w:rPr>
          <w:rFonts w:eastAsia="仿宋_GB2312"/>
          <w:sz w:val="32"/>
        </w:rPr>
      </w:pPr>
      <w:r>
        <w:rPr>
          <w:rFonts w:hint="eastAsia" w:eastAsia="仿宋_GB2312"/>
          <w:sz w:val="32"/>
        </w:rPr>
        <w:t>（1）科学公正。运用科学合理的方法，按照规范的程序，对项目绩效进行客观、公正的反映。</w:t>
      </w:r>
    </w:p>
    <w:p>
      <w:pPr>
        <w:spacing w:line="360" w:lineRule="auto"/>
        <w:ind w:firstLine="640" w:firstLineChars="200"/>
        <w:rPr>
          <w:rFonts w:eastAsia="仿宋_GB2312"/>
          <w:sz w:val="32"/>
        </w:rPr>
      </w:pPr>
      <w:r>
        <w:rPr>
          <w:rFonts w:hint="eastAsia" w:eastAsia="仿宋_GB2312"/>
          <w:sz w:val="32"/>
        </w:rPr>
        <w:t xml:space="preserve">（二）统筹兼顾。本次评价在单位自评的基础上开展，职责明确，各有侧重，相互衔接。 </w:t>
      </w:r>
    </w:p>
    <w:p>
      <w:pPr>
        <w:spacing w:line="360" w:lineRule="auto"/>
        <w:ind w:firstLine="640" w:firstLineChars="200"/>
        <w:rPr>
          <w:rFonts w:eastAsia="仿宋_GB2312"/>
          <w:sz w:val="32"/>
        </w:rPr>
      </w:pPr>
      <w:r>
        <w:rPr>
          <w:rFonts w:hint="eastAsia" w:eastAsia="仿宋_GB2312"/>
          <w:sz w:val="32"/>
        </w:rPr>
        <w:t>（三）激励约束。绩效评价结果应用与预算安排、政策调整、改进管理实质性挂钩，体现奖优罚劣和激励相容导向，有效要安排、低效要减压、无效要问责。</w:t>
      </w:r>
    </w:p>
    <w:p>
      <w:pPr>
        <w:spacing w:line="360" w:lineRule="auto"/>
        <w:ind w:firstLine="640" w:firstLineChars="200"/>
        <w:rPr>
          <w:rFonts w:eastAsia="仿宋_GB2312"/>
          <w:sz w:val="32"/>
        </w:rPr>
      </w:pPr>
      <w:r>
        <w:rPr>
          <w:rFonts w:hint="eastAsia" w:eastAsia="仿宋_GB2312"/>
          <w:sz w:val="32"/>
        </w:rPr>
        <w:t>（四）公开透明。绩效评价结果依法依规公开，并自觉接受社会监督。</w:t>
      </w:r>
    </w:p>
    <w:p>
      <w:pPr>
        <w:pStyle w:val="4"/>
        <w:spacing w:line="360" w:lineRule="auto"/>
        <w:ind w:firstLine="640"/>
      </w:pPr>
      <w:bookmarkStart w:id="17" w:name="_Toc103776481"/>
      <w:r>
        <w:rPr>
          <w:rFonts w:hint="eastAsia"/>
        </w:rPr>
        <w:t>2</w:t>
      </w:r>
      <w:r>
        <w:t>.</w:t>
      </w:r>
      <w:r>
        <w:rPr>
          <w:rFonts w:hint="eastAsia"/>
        </w:rPr>
        <w:t xml:space="preserve"> 评价指标体系</w:t>
      </w:r>
      <w:bookmarkEnd w:id="17"/>
    </w:p>
    <w:p>
      <w:pPr>
        <w:spacing w:line="360" w:lineRule="auto"/>
        <w:ind w:firstLine="640" w:firstLineChars="200"/>
        <w:rPr>
          <w:rFonts w:eastAsia="仿宋_GB2312"/>
          <w:sz w:val="32"/>
        </w:rPr>
      </w:pPr>
      <w:r>
        <w:rPr>
          <w:rFonts w:hint="eastAsia" w:eastAsia="仿宋_GB2312"/>
          <w:sz w:val="32"/>
        </w:rPr>
        <w:t>评价工作组和专家组结合该项目的特点和预期绩效目标，以资金使用结果为导向，细化了该项目的绩效评价指标，明确了评价标准。按照相关性、重要性、可比性、系统性原则，结合该项目的特点，确定了该项目评价指标体系（详见附件1），全面反映项目决策、项目和资金管理、产出和效益，其中项目决策权重占10%，项目管理权重占20%，项目产出权重占40%，项目效益权重占30%。</w:t>
      </w:r>
    </w:p>
    <w:p>
      <w:pPr>
        <w:pStyle w:val="4"/>
        <w:spacing w:line="360" w:lineRule="auto"/>
        <w:ind w:firstLine="640"/>
      </w:pPr>
      <w:bookmarkStart w:id="18" w:name="_Toc103776482"/>
      <w:r>
        <w:rPr>
          <w:rFonts w:hint="eastAsia"/>
        </w:rPr>
        <w:t>3</w:t>
      </w:r>
      <w:r>
        <w:t>.</w:t>
      </w:r>
      <w:r>
        <w:rPr>
          <w:rFonts w:hint="eastAsia"/>
        </w:rPr>
        <w:t xml:space="preserve"> 评价方法</w:t>
      </w:r>
      <w:bookmarkEnd w:id="18"/>
    </w:p>
    <w:p>
      <w:pPr>
        <w:spacing w:line="360" w:lineRule="auto"/>
        <w:ind w:firstLine="640" w:firstLineChars="200"/>
        <w:rPr>
          <w:rFonts w:eastAsia="仿宋_GB2312"/>
          <w:sz w:val="32"/>
        </w:rPr>
      </w:pPr>
      <w:r>
        <w:rPr>
          <w:rFonts w:hint="eastAsia" w:eastAsia="仿宋_GB2312"/>
          <w:sz w:val="32"/>
        </w:rPr>
        <w:t>本次绩效评价根据评价对象的具体情况，采用专家评价法。</w:t>
      </w:r>
    </w:p>
    <w:p>
      <w:pPr>
        <w:pStyle w:val="4"/>
        <w:spacing w:line="360" w:lineRule="auto"/>
        <w:ind w:firstLine="640"/>
      </w:pPr>
      <w:bookmarkStart w:id="19" w:name="_Toc103776483"/>
      <w:r>
        <w:rPr>
          <w:rFonts w:hint="eastAsia"/>
        </w:rPr>
        <w:t>4</w:t>
      </w:r>
      <w:r>
        <w:t>.</w:t>
      </w:r>
      <w:r>
        <w:rPr>
          <w:rFonts w:hint="eastAsia"/>
        </w:rPr>
        <w:t xml:space="preserve"> 评价标准</w:t>
      </w:r>
      <w:bookmarkEnd w:id="19"/>
    </w:p>
    <w:p>
      <w:pPr>
        <w:spacing w:line="360" w:lineRule="auto"/>
        <w:ind w:firstLine="640" w:firstLineChars="200"/>
        <w:rPr>
          <w:rFonts w:eastAsia="仿宋_GB2312"/>
          <w:sz w:val="32"/>
        </w:rPr>
      </w:pPr>
      <w:r>
        <w:rPr>
          <w:rFonts w:hint="eastAsia" w:eastAsia="仿宋_GB2312"/>
          <w:sz w:val="32"/>
        </w:rPr>
        <w:t>本次绩效评价标准包括计划标准、行业标准、历史标准等,用于对绩效指标完成情况进行比较。</w:t>
      </w:r>
    </w:p>
    <w:p>
      <w:pPr>
        <w:spacing w:line="360" w:lineRule="auto"/>
        <w:ind w:firstLine="640" w:firstLineChars="200"/>
        <w:rPr>
          <w:rFonts w:eastAsia="仿宋_GB2312"/>
          <w:sz w:val="32"/>
        </w:rPr>
      </w:pPr>
      <w:r>
        <w:rPr>
          <w:rFonts w:hint="eastAsia" w:eastAsia="仿宋_GB2312"/>
          <w:sz w:val="32"/>
        </w:rPr>
        <w:t>（1）计划标准。指以预先制定的目标、计划、预算、定额作为评价标准。</w:t>
      </w:r>
    </w:p>
    <w:p>
      <w:pPr>
        <w:spacing w:line="360" w:lineRule="auto"/>
        <w:ind w:firstLine="640" w:firstLineChars="200"/>
        <w:rPr>
          <w:rFonts w:eastAsia="仿宋_GB2312"/>
          <w:sz w:val="32"/>
        </w:rPr>
      </w:pPr>
      <w:r>
        <w:rPr>
          <w:rFonts w:hint="eastAsia" w:eastAsia="仿宋_GB2312"/>
          <w:sz w:val="32"/>
        </w:rPr>
        <w:t>（2）行业标准。指参照国家公布的行业指标数据制定的评价标准。</w:t>
      </w:r>
    </w:p>
    <w:p>
      <w:pPr>
        <w:spacing w:line="360" w:lineRule="auto"/>
        <w:ind w:firstLine="640" w:firstLineChars="200"/>
        <w:rPr>
          <w:rFonts w:eastAsia="仿宋_GB2312"/>
          <w:sz w:val="32"/>
        </w:rPr>
      </w:pPr>
      <w:r>
        <w:rPr>
          <w:rFonts w:hint="eastAsia" w:eastAsia="仿宋_GB2312"/>
          <w:sz w:val="32"/>
        </w:rPr>
        <w:t>（3）历史标准。指参照历史数据制定的评价标准，为体现绩效改进的原则，在可实现的条件下应当确定相对较高的评价标准。</w:t>
      </w:r>
    </w:p>
    <w:p>
      <w:pPr>
        <w:spacing w:line="360" w:lineRule="auto"/>
        <w:ind w:firstLine="640" w:firstLineChars="200"/>
        <w:rPr>
          <w:rFonts w:eastAsia="仿宋_GB2312"/>
          <w:sz w:val="32"/>
        </w:rPr>
      </w:pPr>
      <w:r>
        <w:rPr>
          <w:rFonts w:hint="eastAsia" w:eastAsia="仿宋_GB2312"/>
          <w:sz w:val="32"/>
        </w:rPr>
        <w:t>（4）财政部门和预算部门确认或认可的其他标准。</w:t>
      </w:r>
    </w:p>
    <w:p>
      <w:pPr>
        <w:pStyle w:val="3"/>
        <w:spacing w:before="312" w:line="360" w:lineRule="auto"/>
        <w:ind w:firstLine="640"/>
      </w:pPr>
      <w:bookmarkStart w:id="20" w:name="_Toc103776484"/>
      <w:r>
        <w:rPr>
          <w:rFonts w:hint="eastAsia"/>
        </w:rPr>
        <w:t>（三）绩效评价工作过程。</w:t>
      </w:r>
      <w:bookmarkEnd w:id="20"/>
    </w:p>
    <w:p>
      <w:pPr>
        <w:spacing w:line="360" w:lineRule="auto"/>
        <w:ind w:firstLine="640" w:firstLineChars="200"/>
        <w:rPr>
          <w:rFonts w:eastAsia="仿宋_GB2312"/>
          <w:sz w:val="32"/>
        </w:rPr>
      </w:pPr>
      <w:r>
        <w:rPr>
          <w:rFonts w:hint="eastAsia" w:eastAsia="仿宋_GB2312"/>
          <w:sz w:val="32"/>
        </w:rPr>
        <w:t>1</w:t>
      </w:r>
      <w:r>
        <w:rPr>
          <w:rFonts w:eastAsia="仿宋_GB2312"/>
          <w:sz w:val="32"/>
        </w:rPr>
        <w:t>.</w:t>
      </w:r>
      <w:r>
        <w:rPr>
          <w:rFonts w:hint="eastAsia" w:eastAsia="仿宋_GB2312"/>
          <w:sz w:val="32"/>
        </w:rPr>
        <w:t>开展基本情况调研（2021年4月19日—2021年4月21日）</w:t>
      </w:r>
    </w:p>
    <w:p>
      <w:pPr>
        <w:spacing w:line="360" w:lineRule="auto"/>
        <w:ind w:firstLine="640" w:firstLineChars="200"/>
        <w:rPr>
          <w:rFonts w:eastAsia="仿宋_GB2312"/>
          <w:sz w:val="32"/>
        </w:rPr>
      </w:pPr>
      <w:r>
        <w:rPr>
          <w:rFonts w:hint="eastAsia" w:eastAsia="仿宋_GB2312"/>
          <w:sz w:val="32"/>
        </w:rPr>
        <w:t xml:space="preserve">评价工作组通过线上沟通了解该项目基本情况及特点，在对项目支出基本情况了解的基础上，初步收集项目支出信息有关资料，辅导项目单位填写有关表格及收集资料。 </w:t>
      </w:r>
    </w:p>
    <w:p>
      <w:pPr>
        <w:spacing w:line="360" w:lineRule="auto"/>
        <w:ind w:firstLine="640" w:firstLineChars="200"/>
        <w:rPr>
          <w:rFonts w:eastAsia="仿宋_GB2312"/>
          <w:sz w:val="32"/>
        </w:rPr>
      </w:pPr>
      <w:r>
        <w:rPr>
          <w:rFonts w:hint="eastAsia" w:eastAsia="仿宋_GB2312"/>
          <w:sz w:val="32"/>
        </w:rPr>
        <w:t>2</w:t>
      </w:r>
      <w:r>
        <w:rPr>
          <w:rFonts w:eastAsia="仿宋_GB2312"/>
          <w:sz w:val="32"/>
        </w:rPr>
        <w:t>.</w:t>
      </w:r>
      <w:r>
        <w:rPr>
          <w:rFonts w:hint="eastAsia" w:eastAsia="仿宋_GB2312"/>
          <w:sz w:val="32"/>
        </w:rPr>
        <w:t>撰写绩效报告，填报基础报表资料（2021年4月22日—2021年4月23日）</w:t>
      </w:r>
    </w:p>
    <w:p>
      <w:pPr>
        <w:spacing w:line="360" w:lineRule="auto"/>
        <w:ind w:firstLine="640" w:firstLineChars="200"/>
        <w:rPr>
          <w:rFonts w:eastAsia="仿宋_GB2312"/>
          <w:sz w:val="32"/>
        </w:rPr>
      </w:pPr>
      <w:r>
        <w:rPr>
          <w:rFonts w:hint="eastAsia" w:eastAsia="仿宋_GB2312"/>
          <w:sz w:val="32"/>
        </w:rPr>
        <w:t xml:space="preserve">北京市药品检验研究院根据项目支出情况撰写绩效报告，并提交绩效目标申报表等基础报表，整理归集项目支出相关资料。 </w:t>
      </w:r>
    </w:p>
    <w:p>
      <w:pPr>
        <w:spacing w:line="360" w:lineRule="auto"/>
        <w:ind w:firstLine="640" w:firstLineChars="200"/>
        <w:rPr>
          <w:rFonts w:eastAsia="仿宋_GB2312"/>
          <w:sz w:val="32"/>
        </w:rPr>
      </w:pPr>
      <w:r>
        <w:rPr>
          <w:rFonts w:hint="eastAsia" w:eastAsia="仿宋_GB2312"/>
          <w:sz w:val="32"/>
        </w:rPr>
        <w:t>3</w:t>
      </w:r>
      <w:r>
        <w:rPr>
          <w:rFonts w:eastAsia="仿宋_GB2312"/>
          <w:sz w:val="32"/>
        </w:rPr>
        <w:t>.</w:t>
      </w:r>
      <w:r>
        <w:rPr>
          <w:rFonts w:hint="eastAsia" w:eastAsia="仿宋_GB2312"/>
          <w:sz w:val="32"/>
        </w:rPr>
        <w:t>收集、分析单位资料，开展进一步调研（2021年4月24日—4月26日）</w:t>
      </w:r>
    </w:p>
    <w:p>
      <w:pPr>
        <w:spacing w:line="360" w:lineRule="auto"/>
        <w:ind w:firstLine="640" w:firstLineChars="200"/>
        <w:rPr>
          <w:rFonts w:eastAsia="仿宋_GB2312"/>
          <w:sz w:val="32"/>
        </w:rPr>
      </w:pPr>
      <w:r>
        <w:rPr>
          <w:rFonts w:hint="eastAsia" w:eastAsia="仿宋_GB2312"/>
          <w:sz w:val="32"/>
        </w:rPr>
        <w:t xml:space="preserve">评价工作组根据项目实施及资料提交情况，初步收集项目资料，及时和相关专家讨论项目评价重点内容，并就相关问题及时与项目单位沟通。 </w:t>
      </w:r>
    </w:p>
    <w:p>
      <w:pPr>
        <w:spacing w:line="360" w:lineRule="auto"/>
        <w:ind w:firstLine="640" w:firstLineChars="200"/>
        <w:rPr>
          <w:rFonts w:eastAsia="仿宋_GB2312"/>
          <w:sz w:val="32"/>
        </w:rPr>
      </w:pPr>
      <w:r>
        <w:rPr>
          <w:rFonts w:hint="eastAsia" w:eastAsia="仿宋_GB2312"/>
          <w:sz w:val="32"/>
        </w:rPr>
        <w:t>4</w:t>
      </w:r>
      <w:r>
        <w:rPr>
          <w:rFonts w:eastAsia="仿宋_GB2312"/>
          <w:sz w:val="32"/>
        </w:rPr>
        <w:t>.</w:t>
      </w:r>
      <w:r>
        <w:rPr>
          <w:rFonts w:hint="eastAsia" w:eastAsia="仿宋_GB2312"/>
          <w:sz w:val="32"/>
        </w:rPr>
        <w:t>结合调研，审核相关资料（2021年4月27日—2021年4月30日）</w:t>
      </w:r>
    </w:p>
    <w:p>
      <w:pPr>
        <w:spacing w:line="360" w:lineRule="auto"/>
        <w:ind w:firstLine="640" w:firstLineChars="200"/>
        <w:rPr>
          <w:rFonts w:eastAsia="仿宋_GB2312"/>
          <w:sz w:val="32"/>
        </w:rPr>
      </w:pPr>
      <w:r>
        <w:rPr>
          <w:rFonts w:hint="eastAsia" w:eastAsia="仿宋_GB2312"/>
          <w:sz w:val="32"/>
        </w:rPr>
        <w:t xml:space="preserve">评价工作组按照评价重点即项目支出绩效目标实现情况，对支撑材料完整性、准确性和收支明细实际情况与财务账表情况等进行审核分析；评价过程中聘请相关的专家对相关收集的信息进行核实。 </w:t>
      </w:r>
    </w:p>
    <w:p>
      <w:pPr>
        <w:spacing w:line="360" w:lineRule="auto"/>
        <w:ind w:firstLine="640" w:firstLineChars="200"/>
        <w:rPr>
          <w:rFonts w:eastAsia="仿宋_GB2312"/>
          <w:sz w:val="32"/>
        </w:rPr>
      </w:pPr>
      <w:r>
        <w:rPr>
          <w:rFonts w:hint="eastAsia" w:eastAsia="仿宋_GB2312"/>
          <w:sz w:val="32"/>
        </w:rPr>
        <w:t>5</w:t>
      </w:r>
      <w:r>
        <w:rPr>
          <w:rFonts w:eastAsia="仿宋_GB2312"/>
          <w:sz w:val="32"/>
        </w:rPr>
        <w:t>.</w:t>
      </w:r>
      <w:r>
        <w:rPr>
          <w:rFonts w:hint="eastAsia" w:eastAsia="仿宋_GB2312"/>
          <w:sz w:val="32"/>
        </w:rPr>
        <w:t>撰写非正式检查报告（2021年5月1日—2021年5月5日）</w:t>
      </w:r>
    </w:p>
    <w:p>
      <w:pPr>
        <w:spacing w:line="360" w:lineRule="auto"/>
        <w:ind w:firstLine="640" w:firstLineChars="200"/>
        <w:rPr>
          <w:rFonts w:eastAsia="仿宋_GB2312"/>
          <w:sz w:val="32"/>
        </w:rPr>
      </w:pPr>
      <w:r>
        <w:rPr>
          <w:rFonts w:hint="eastAsia" w:eastAsia="仿宋_GB2312"/>
          <w:sz w:val="32"/>
        </w:rPr>
        <w:t xml:space="preserve">评价工作组在资料审核分析和调研的基础上，撰写非正 式检查报告，主要内容包括项目支出概况、评价工作开展情 况、评价中资料审核分析情况、发现的问题等内容。 </w:t>
      </w:r>
    </w:p>
    <w:p>
      <w:pPr>
        <w:spacing w:line="360" w:lineRule="auto"/>
        <w:ind w:firstLine="640" w:firstLineChars="200"/>
        <w:rPr>
          <w:rFonts w:eastAsia="仿宋_GB2312"/>
          <w:sz w:val="32"/>
        </w:rPr>
      </w:pPr>
      <w:r>
        <w:rPr>
          <w:rFonts w:hint="eastAsia" w:eastAsia="仿宋_GB2312"/>
          <w:sz w:val="32"/>
        </w:rPr>
        <w:t>6</w:t>
      </w:r>
      <w:r>
        <w:rPr>
          <w:rFonts w:eastAsia="仿宋_GB2312"/>
          <w:sz w:val="32"/>
        </w:rPr>
        <w:t>.</w:t>
      </w:r>
      <w:r>
        <w:rPr>
          <w:rFonts w:hint="eastAsia" w:eastAsia="仿宋_GB2312"/>
          <w:sz w:val="32"/>
        </w:rPr>
        <w:t xml:space="preserve">组织召开预备会及正式评价会议（2021年5月6日—2021年5月13日）  </w:t>
      </w:r>
    </w:p>
    <w:p>
      <w:pPr>
        <w:spacing w:line="360" w:lineRule="auto"/>
        <w:ind w:firstLine="640" w:firstLineChars="200"/>
        <w:rPr>
          <w:rFonts w:eastAsia="仿宋_GB2312"/>
          <w:sz w:val="32"/>
        </w:rPr>
      </w:pPr>
      <w:r>
        <w:rPr>
          <w:rFonts w:hint="eastAsia" w:eastAsia="仿宋_GB2312"/>
          <w:sz w:val="32"/>
        </w:rPr>
        <w:t xml:space="preserve">评价工作组组织召开预备会，对项目支出情况进行汇报， 配合专家组完成项目支出绩效评价指标体系的设计与解释，确定评分标准，对项目支出进行初步评价形成初步意见和需 项目单位补充资料清单。 </w:t>
      </w:r>
    </w:p>
    <w:p>
      <w:pPr>
        <w:spacing w:line="360" w:lineRule="auto"/>
        <w:ind w:firstLine="640" w:firstLineChars="200"/>
        <w:rPr>
          <w:rFonts w:eastAsia="仿宋_GB2312"/>
          <w:sz w:val="32"/>
        </w:rPr>
      </w:pPr>
      <w:r>
        <w:rPr>
          <w:rFonts w:hint="eastAsia" w:eastAsia="仿宋_GB2312"/>
          <w:sz w:val="32"/>
        </w:rPr>
        <w:t xml:space="preserve">评价工作组组织召开评价会议，会上由项目负责人就项目支出组织和实施情况向专家进行汇报说明，专家依据项目支出执行情况和绩效评价指标体系，对项目支出的绩效情况进行评分，出具最终评价意见。 </w:t>
      </w:r>
    </w:p>
    <w:p>
      <w:pPr>
        <w:spacing w:line="360" w:lineRule="auto"/>
        <w:ind w:firstLine="640" w:firstLineChars="200"/>
        <w:rPr>
          <w:rFonts w:eastAsia="仿宋_GB2312"/>
          <w:sz w:val="32"/>
        </w:rPr>
      </w:pPr>
      <w:r>
        <w:rPr>
          <w:rFonts w:hint="eastAsia" w:eastAsia="仿宋_GB2312"/>
          <w:sz w:val="32"/>
        </w:rPr>
        <w:t>7</w:t>
      </w:r>
      <w:r>
        <w:rPr>
          <w:rFonts w:eastAsia="仿宋_GB2312"/>
          <w:sz w:val="32"/>
        </w:rPr>
        <w:t>.</w:t>
      </w:r>
      <w:r>
        <w:rPr>
          <w:rFonts w:hint="eastAsia" w:eastAsia="仿宋_GB2312"/>
          <w:sz w:val="32"/>
        </w:rPr>
        <w:t>撰写绩效评价报告（2021年5月13日—2021年5月18日）</w:t>
      </w:r>
    </w:p>
    <w:p>
      <w:pPr>
        <w:spacing w:line="360" w:lineRule="auto"/>
        <w:ind w:firstLine="640" w:firstLineChars="200"/>
        <w:rPr>
          <w:rFonts w:eastAsia="仿宋_GB2312"/>
          <w:sz w:val="32"/>
        </w:rPr>
      </w:pPr>
      <w:r>
        <w:rPr>
          <w:rFonts w:hint="eastAsia" w:eastAsia="仿宋_GB2312"/>
          <w:sz w:val="32"/>
        </w:rPr>
        <w:t>评价工作组在专家评价会结束后，结合专家评价意见，经工作组内部讨论决议后，撰写绩效评价报告。</w:t>
      </w:r>
    </w:p>
    <w:p>
      <w:pPr>
        <w:spacing w:line="360" w:lineRule="auto"/>
        <w:ind w:firstLine="640" w:firstLineChars="200"/>
        <w:rPr>
          <w:rFonts w:eastAsia="仿宋_GB2312"/>
          <w:sz w:val="32"/>
        </w:rPr>
      </w:pPr>
      <w:r>
        <w:rPr>
          <w:rFonts w:hint="eastAsia" w:eastAsia="仿宋_GB2312"/>
          <w:sz w:val="32"/>
        </w:rPr>
        <w:t>8</w:t>
      </w:r>
      <w:r>
        <w:rPr>
          <w:rFonts w:eastAsia="仿宋_GB2312"/>
          <w:sz w:val="32"/>
        </w:rPr>
        <w:t>.</w:t>
      </w:r>
      <w:r>
        <w:rPr>
          <w:rFonts w:hint="eastAsia" w:eastAsia="仿宋_GB2312"/>
          <w:sz w:val="32"/>
        </w:rPr>
        <w:t>资料的汇总及归档工作（2021年5月19日—2021年5月20日）</w:t>
      </w:r>
    </w:p>
    <w:p>
      <w:pPr>
        <w:spacing w:line="360" w:lineRule="auto"/>
        <w:ind w:firstLine="640" w:firstLineChars="200"/>
        <w:rPr>
          <w:rFonts w:ascii="楷体_GB2312" w:hAnsi="楷体_GB2312" w:eastAsia="楷体_GB2312" w:cs="楷体_GB2312"/>
          <w:sz w:val="32"/>
          <w:szCs w:val="32"/>
        </w:rPr>
      </w:pPr>
      <w:r>
        <w:rPr>
          <w:rFonts w:hint="eastAsia" w:eastAsia="仿宋_GB2312"/>
          <w:sz w:val="32"/>
        </w:rPr>
        <w:t xml:space="preserve">评价工作结束后，及时将资料整理、分类、归档。 </w:t>
      </w:r>
      <w:r>
        <w:rPr>
          <w:rFonts w:hint="eastAsia" w:ascii="楷体_GB2312" w:hAnsi="楷体_GB2312" w:eastAsia="楷体_GB2312" w:cs="楷体_GB2312"/>
          <w:sz w:val="32"/>
          <w:szCs w:val="32"/>
        </w:rPr>
        <w:t xml:space="preserve"> </w:t>
      </w:r>
    </w:p>
    <w:p>
      <w:pPr>
        <w:pStyle w:val="2"/>
        <w:spacing w:line="360" w:lineRule="auto"/>
        <w:ind w:firstLine="640"/>
      </w:pPr>
      <w:bookmarkStart w:id="21" w:name="_Toc103776485"/>
      <w:r>
        <w:rPr>
          <w:rFonts w:hint="eastAsia"/>
        </w:rPr>
        <w:t>三、综合评价情况及评价结论</w:t>
      </w:r>
      <w:bookmarkEnd w:id="21"/>
    </w:p>
    <w:p>
      <w:pPr>
        <w:spacing w:line="360" w:lineRule="auto"/>
        <w:ind w:firstLine="640" w:firstLineChars="200"/>
        <w:rPr>
          <w:rFonts w:eastAsia="仿宋_GB2312"/>
          <w:sz w:val="32"/>
        </w:rPr>
      </w:pPr>
      <w:r>
        <w:rPr>
          <w:rFonts w:hint="eastAsia" w:eastAsia="仿宋_GB2312"/>
          <w:sz w:val="32"/>
        </w:rPr>
        <w:t>绩效评价工作组根据项目实际情况，经专家综合评价，北京市中药饮片炮制规范修订项目绩效评价得分</w:t>
      </w:r>
      <w:r>
        <w:rPr>
          <w:rFonts w:eastAsia="仿宋_GB2312"/>
          <w:sz w:val="32"/>
        </w:rPr>
        <w:t>90.02</w:t>
      </w:r>
      <w:r>
        <w:rPr>
          <w:rFonts w:hint="eastAsia" w:eastAsia="仿宋_GB2312"/>
          <w:sz w:val="32"/>
        </w:rPr>
        <w:t>分（详见附件2），项目绩效评价等级为“优”。</w:t>
      </w:r>
    </w:p>
    <w:p>
      <w:pPr>
        <w:spacing w:line="360" w:lineRule="auto"/>
        <w:ind w:firstLine="640" w:firstLineChars="200"/>
        <w:rPr>
          <w:rFonts w:eastAsia="仿宋_GB2312"/>
          <w:sz w:val="32"/>
        </w:rPr>
      </w:pPr>
      <w:r>
        <w:rPr>
          <w:rFonts w:hint="eastAsia" w:eastAsia="仿宋_GB2312"/>
          <w:sz w:val="32"/>
        </w:rPr>
        <w:t>其中，项目决策指标，满分10分，评价得分为</w:t>
      </w:r>
      <w:r>
        <w:rPr>
          <w:rFonts w:eastAsia="仿宋_GB2312"/>
          <w:sz w:val="32"/>
        </w:rPr>
        <w:t>7.54</w:t>
      </w:r>
      <w:r>
        <w:rPr>
          <w:rFonts w:hint="eastAsia" w:eastAsia="仿宋_GB2312"/>
          <w:sz w:val="32"/>
        </w:rPr>
        <w:t>分;项目过程指标，满分20分，评价得分为16.</w:t>
      </w:r>
      <w:r>
        <w:rPr>
          <w:rFonts w:eastAsia="仿宋_GB2312"/>
          <w:sz w:val="32"/>
        </w:rPr>
        <w:t>98</w:t>
      </w:r>
      <w:r>
        <w:rPr>
          <w:rFonts w:hint="eastAsia" w:eastAsia="仿宋_GB2312"/>
          <w:sz w:val="32"/>
        </w:rPr>
        <w:t>分;项目产出指标，满分40分，评价得分为</w:t>
      </w:r>
      <w:r>
        <w:rPr>
          <w:rFonts w:eastAsia="仿宋_GB2312"/>
          <w:sz w:val="32"/>
        </w:rPr>
        <w:t>39.70</w:t>
      </w:r>
      <w:r>
        <w:rPr>
          <w:rFonts w:hint="eastAsia" w:eastAsia="仿宋_GB2312"/>
          <w:sz w:val="32"/>
        </w:rPr>
        <w:t>分；项目效益指标，满分30分，评价得分为</w:t>
      </w:r>
      <w:r>
        <w:rPr>
          <w:rFonts w:eastAsia="仿宋_GB2312"/>
          <w:sz w:val="32"/>
        </w:rPr>
        <w:t>25.80</w:t>
      </w:r>
      <w:r>
        <w:rPr>
          <w:rFonts w:hint="eastAsia" w:eastAsia="仿宋_GB2312"/>
          <w:sz w:val="32"/>
        </w:rPr>
        <w:t>分。</w:t>
      </w:r>
    </w:p>
    <w:p>
      <w:pPr>
        <w:pStyle w:val="2"/>
        <w:spacing w:line="360" w:lineRule="auto"/>
        <w:ind w:firstLine="640"/>
        <w:rPr>
          <w:rFonts w:eastAsia="仿宋_GB2312"/>
        </w:rPr>
      </w:pPr>
      <w:bookmarkStart w:id="22" w:name="_Toc103776486"/>
      <w:r>
        <w:rPr>
          <w:rFonts w:hint="eastAsia"/>
        </w:rPr>
        <w:t>四、绩效评价指标分析</w:t>
      </w:r>
      <w:bookmarkEnd w:id="22"/>
    </w:p>
    <w:p>
      <w:pPr>
        <w:pStyle w:val="3"/>
        <w:spacing w:before="312" w:line="360" w:lineRule="auto"/>
        <w:ind w:firstLine="640"/>
      </w:pPr>
      <w:bookmarkStart w:id="23" w:name="_Toc103776487"/>
      <w:r>
        <w:rPr>
          <w:rFonts w:hint="eastAsia"/>
        </w:rPr>
        <w:t>（一）项目决策情况。</w:t>
      </w:r>
      <w:bookmarkEnd w:id="23"/>
    </w:p>
    <w:p>
      <w:pPr>
        <w:pStyle w:val="4"/>
        <w:spacing w:line="360" w:lineRule="auto"/>
        <w:ind w:firstLine="640"/>
      </w:pPr>
      <w:bookmarkStart w:id="24" w:name="_Toc103776488"/>
      <w:r>
        <w:rPr>
          <w:rFonts w:hint="eastAsia"/>
        </w:rPr>
        <w:t>1</w:t>
      </w:r>
      <w:r>
        <w:t>.</w:t>
      </w:r>
      <w:r>
        <w:rPr>
          <w:rFonts w:hint="eastAsia"/>
        </w:rPr>
        <w:t>项目立项</w:t>
      </w:r>
      <w:bookmarkEnd w:id="24"/>
    </w:p>
    <w:p>
      <w:pPr>
        <w:spacing w:line="360" w:lineRule="auto"/>
        <w:ind w:firstLine="640" w:firstLineChars="200"/>
        <w:rPr>
          <w:rFonts w:eastAsia="仿宋_GB2312"/>
          <w:sz w:val="32"/>
        </w:rPr>
      </w:pPr>
      <w:r>
        <w:rPr>
          <w:rFonts w:hint="eastAsia" w:eastAsia="仿宋_GB2312"/>
          <w:sz w:val="32"/>
        </w:rPr>
        <w:t>为贯彻落实国家药品监督管理局《中药饮片质量集中整治工作方案》有关要求，北京市中药饮片炮制规范修订项目在经过前期调研的基础上，我局依据《药品管理法》及《药品管理法实施条例》等法律法规规定，参照国家药品监督管理局发布的《省级中药饮片炮制规范修订的技术指导原则》，于2019年3月4日正式印发了《北京市中药饮片炮制规范修订工作实施方案》（京药监发〔2019〕3号），计划用3-5年的时间完成此次修订任务，按年度任务分次申请经费预算，同时也指出北京市药品检验研究院具体实施以下项目工作：负责质量研究工作的技术指导，对研究并经验证、检验合格的炮制规范质量标准草案及其试制样品进行复核检验，对同时提出的炮制用辅料标准草案及其辅料进行复核检验，对同时提出的对照用标准物质标准草案及对照用标准物质进行复核标化，出具复核意见、炮制规范质量标准草案、样品检验报告书等复核检验资料。</w:t>
      </w:r>
    </w:p>
    <w:p>
      <w:pPr>
        <w:spacing w:line="360" w:lineRule="auto"/>
        <w:ind w:firstLine="640" w:firstLineChars="200"/>
        <w:rPr>
          <w:rFonts w:eastAsia="仿宋_GB2312"/>
          <w:sz w:val="32"/>
        </w:rPr>
      </w:pPr>
      <w:r>
        <w:rPr>
          <w:rFonts w:hint="eastAsia" w:eastAsia="仿宋_GB2312"/>
          <w:sz w:val="32"/>
        </w:rPr>
        <w:t>北京市药品检验研究院作为北京市药品监督管理局所属正处级公益二类事业单位，主要职责如下：（1）承担市药监局委托的药品、化妆品等监督检验相关工作；（2）开展药品、化妆品、保健食品及其他资质范围内产品的检验检测和技术服务工作；（3）承担疫苗等生物制品批签发工作；（4）开展产品安全质量及检验检测新技术、新方法、新标准、新设备的相关研究；（5）开展相关质量标准、技术规范、技术要求、检验检测方法的制修订及技术复核工作；（6）开展相关学术交流、技术培训、技术咨询、技术开发、技术转让和技术服务工作；（7）承担检验用对照品、标准品、相关标准和器具的供应及对照品、标准品的标定工作；（8）承办市药监局交办的其他事项。由此可见，北京市药品检验研究院实施的项目与单位职责范围相符，属于履职所需。</w:t>
      </w:r>
    </w:p>
    <w:p>
      <w:pPr>
        <w:spacing w:line="360" w:lineRule="auto"/>
        <w:ind w:firstLine="640" w:firstLineChars="200"/>
        <w:rPr>
          <w:rFonts w:eastAsia="仿宋_GB2312"/>
          <w:sz w:val="32"/>
        </w:rPr>
      </w:pPr>
      <w:r>
        <w:rPr>
          <w:rFonts w:hint="eastAsia" w:eastAsia="仿宋_GB2312"/>
          <w:sz w:val="32"/>
        </w:rPr>
        <w:t>北京市药品检验研究院将2</w:t>
      </w:r>
      <w:r>
        <w:rPr>
          <w:rFonts w:eastAsia="仿宋_GB2312"/>
          <w:sz w:val="32"/>
        </w:rPr>
        <w:t>021</w:t>
      </w:r>
      <w:r>
        <w:rPr>
          <w:rFonts w:hint="eastAsia" w:eastAsia="仿宋_GB2312"/>
          <w:sz w:val="32"/>
        </w:rPr>
        <w:t>年的项目任务纳入到了本单位《2</w:t>
      </w:r>
      <w:r>
        <w:rPr>
          <w:rFonts w:eastAsia="仿宋_GB2312"/>
          <w:sz w:val="32"/>
        </w:rPr>
        <w:t>021</w:t>
      </w:r>
      <w:r>
        <w:rPr>
          <w:rFonts w:hint="eastAsia" w:eastAsia="仿宋_GB2312"/>
          <w:sz w:val="32"/>
        </w:rPr>
        <w:t>年检验检测重点工作分工方案》（京药检办〔20</w:t>
      </w:r>
      <w:r>
        <w:rPr>
          <w:rFonts w:eastAsia="仿宋_GB2312"/>
          <w:sz w:val="32"/>
        </w:rPr>
        <w:t>21</w:t>
      </w:r>
      <w:r>
        <w:rPr>
          <w:rFonts w:hint="eastAsia" w:eastAsia="仿宋_GB2312"/>
          <w:sz w:val="32"/>
        </w:rPr>
        <w:t>〕4号），指定牵头领导负责，指定主责部门和协办部门来具体实施。</w:t>
      </w:r>
    </w:p>
    <w:p>
      <w:pPr>
        <w:pStyle w:val="4"/>
        <w:spacing w:line="360" w:lineRule="auto"/>
        <w:ind w:firstLine="640"/>
      </w:pPr>
      <w:bookmarkStart w:id="25" w:name="_Toc103776489"/>
      <w:r>
        <w:rPr>
          <w:rFonts w:hint="eastAsia"/>
        </w:rPr>
        <w:t>2</w:t>
      </w:r>
      <w:r>
        <w:t>.</w:t>
      </w:r>
      <w:r>
        <w:rPr>
          <w:rFonts w:hint="eastAsia"/>
        </w:rPr>
        <w:t>绩效目标</w:t>
      </w:r>
      <w:bookmarkEnd w:id="25"/>
    </w:p>
    <w:p>
      <w:pPr>
        <w:spacing w:line="360" w:lineRule="auto"/>
        <w:ind w:firstLine="640" w:firstLineChars="200"/>
        <w:rPr>
          <w:rFonts w:eastAsia="仿宋_GB2312"/>
          <w:sz w:val="32"/>
        </w:rPr>
      </w:pPr>
      <w:r>
        <w:rPr>
          <w:rFonts w:hint="eastAsia" w:eastAsia="仿宋_GB2312"/>
          <w:sz w:val="32"/>
        </w:rPr>
        <w:t>北京市药品检验研究院设定2</w:t>
      </w:r>
      <w:r>
        <w:rPr>
          <w:rFonts w:eastAsia="仿宋_GB2312"/>
          <w:sz w:val="32"/>
        </w:rPr>
        <w:t>021</w:t>
      </w:r>
      <w:r>
        <w:rPr>
          <w:rFonts w:hint="eastAsia" w:eastAsia="仿宋_GB2312"/>
          <w:sz w:val="32"/>
        </w:rPr>
        <w:t>年项目绩效目标为：根据《北京市中药饮片炮制规范修订工作实施方案》，继续开展120个中药饮片品种的修订工作，完成北京市地方中药标准物质标定5个品种,完成北京市中药饮片炮制规范附录编修订工作及部分品种统稿工作。所设定的绩效指标与北京市药品检验研究院实际工作内容相关，预期产出和效果基本符合单位正常的业绩水平；同时工作组也发现未将绩效目标细化分解为具体的绩效指标，导致绩效指标明确性不足，而且5个基源复杂品种分子生物学技术研究工作未纳入到绩效目标内。</w:t>
      </w:r>
    </w:p>
    <w:p>
      <w:pPr>
        <w:pStyle w:val="4"/>
        <w:spacing w:line="360" w:lineRule="auto"/>
        <w:ind w:firstLine="640"/>
      </w:pPr>
      <w:bookmarkStart w:id="26" w:name="_Toc103776490"/>
      <w:r>
        <w:rPr>
          <w:rFonts w:hint="eastAsia"/>
        </w:rPr>
        <w:t>3</w:t>
      </w:r>
      <w:r>
        <w:t>.</w:t>
      </w:r>
      <w:r>
        <w:rPr>
          <w:rFonts w:hint="eastAsia"/>
        </w:rPr>
        <w:t>资金投入</w:t>
      </w:r>
      <w:bookmarkEnd w:id="26"/>
    </w:p>
    <w:p>
      <w:pPr>
        <w:spacing w:line="360" w:lineRule="auto"/>
        <w:ind w:firstLine="640" w:firstLineChars="200"/>
        <w:rPr>
          <w:rFonts w:eastAsia="仿宋_GB2312"/>
          <w:sz w:val="32"/>
        </w:rPr>
      </w:pPr>
      <w:r>
        <w:rPr>
          <w:rFonts w:hint="eastAsia" w:eastAsia="仿宋_GB2312"/>
          <w:sz w:val="32"/>
        </w:rPr>
        <w:t>北京市药品检验研究院为完成2</w:t>
      </w:r>
      <w:r>
        <w:rPr>
          <w:rFonts w:eastAsia="仿宋_GB2312"/>
          <w:sz w:val="32"/>
        </w:rPr>
        <w:t>021</w:t>
      </w:r>
      <w:r>
        <w:rPr>
          <w:rFonts w:hint="eastAsia" w:eastAsia="仿宋_GB2312"/>
          <w:sz w:val="32"/>
        </w:rPr>
        <w:t>年项目任务，经测算认为完成1</w:t>
      </w:r>
      <w:r>
        <w:rPr>
          <w:rFonts w:eastAsia="仿宋_GB2312"/>
          <w:sz w:val="32"/>
        </w:rPr>
        <w:t>20</w:t>
      </w:r>
      <w:r>
        <w:rPr>
          <w:rFonts w:hint="eastAsia" w:eastAsia="仿宋_GB2312"/>
          <w:sz w:val="32"/>
        </w:rPr>
        <w:t>个中药饮片品种的修订工作需要经费4</w:t>
      </w:r>
      <w:r>
        <w:rPr>
          <w:rFonts w:eastAsia="仿宋_GB2312"/>
          <w:sz w:val="32"/>
        </w:rPr>
        <w:t>32.00</w:t>
      </w:r>
      <w:r>
        <w:rPr>
          <w:rFonts w:hint="eastAsia" w:eastAsia="仿宋_GB2312"/>
          <w:sz w:val="32"/>
        </w:rPr>
        <w:t>万元，完成5个中药标准物质标定需要经费3</w:t>
      </w:r>
      <w:r>
        <w:rPr>
          <w:rFonts w:eastAsia="仿宋_GB2312"/>
          <w:sz w:val="32"/>
        </w:rPr>
        <w:t>5.00</w:t>
      </w:r>
      <w:r>
        <w:rPr>
          <w:rFonts w:hint="eastAsia" w:eastAsia="仿宋_GB2312"/>
          <w:sz w:val="32"/>
        </w:rPr>
        <w:t>万元，完成5个基源复杂品种分子生物学技术研究需要经费2</w:t>
      </w:r>
      <w:r>
        <w:rPr>
          <w:rFonts w:eastAsia="仿宋_GB2312"/>
          <w:sz w:val="32"/>
        </w:rPr>
        <w:t>9.00</w:t>
      </w:r>
      <w:r>
        <w:rPr>
          <w:rFonts w:hint="eastAsia" w:eastAsia="仿宋_GB2312"/>
          <w:sz w:val="32"/>
        </w:rPr>
        <w:t>万元，完成北京市中药饮片炮制规范凡例附录编修订和部分品种统稿工作需要经费4</w:t>
      </w:r>
      <w:r>
        <w:rPr>
          <w:rFonts w:eastAsia="仿宋_GB2312"/>
          <w:sz w:val="32"/>
        </w:rPr>
        <w:t>.00</w:t>
      </w:r>
      <w:r>
        <w:rPr>
          <w:rFonts w:hint="eastAsia" w:eastAsia="仿宋_GB2312"/>
          <w:sz w:val="32"/>
        </w:rPr>
        <w:t>万元，合计需投入资金5</w:t>
      </w:r>
      <w:r>
        <w:rPr>
          <w:rFonts w:eastAsia="仿宋_GB2312"/>
          <w:sz w:val="32"/>
        </w:rPr>
        <w:t>00</w:t>
      </w:r>
      <w:r>
        <w:rPr>
          <w:rFonts w:hint="eastAsia" w:eastAsia="仿宋_GB2312"/>
          <w:sz w:val="32"/>
        </w:rPr>
        <w:t>.</w:t>
      </w:r>
      <w:r>
        <w:rPr>
          <w:rFonts w:eastAsia="仿宋_GB2312"/>
          <w:sz w:val="32"/>
        </w:rPr>
        <w:t>00</w:t>
      </w:r>
      <w:r>
        <w:rPr>
          <w:rFonts w:hint="eastAsia" w:eastAsia="仿宋_GB2312"/>
          <w:sz w:val="32"/>
        </w:rPr>
        <w:t>万元。北京市药品检验研究院所需项目经费拟通过财政资金的支持来解决，在编制2</w:t>
      </w:r>
      <w:r>
        <w:rPr>
          <w:rFonts w:eastAsia="仿宋_GB2312"/>
          <w:sz w:val="32"/>
        </w:rPr>
        <w:t>021</w:t>
      </w:r>
      <w:r>
        <w:rPr>
          <w:rFonts w:hint="eastAsia" w:eastAsia="仿宋_GB2312"/>
          <w:sz w:val="32"/>
        </w:rPr>
        <w:t>年度预算时，向财政申报了该项目经费5</w:t>
      </w:r>
      <w:r>
        <w:rPr>
          <w:rFonts w:eastAsia="仿宋_GB2312"/>
          <w:sz w:val="32"/>
        </w:rPr>
        <w:t>00.00</w:t>
      </w:r>
      <w:r>
        <w:rPr>
          <w:rFonts w:hint="eastAsia" w:eastAsia="仿宋_GB2312"/>
          <w:sz w:val="32"/>
        </w:rPr>
        <w:t>万元，其中委托加工费2</w:t>
      </w:r>
      <w:r>
        <w:rPr>
          <w:rFonts w:eastAsia="仿宋_GB2312"/>
          <w:sz w:val="32"/>
        </w:rPr>
        <w:t>45.00</w:t>
      </w:r>
      <w:r>
        <w:rPr>
          <w:rFonts w:hint="eastAsia" w:eastAsia="仿宋_GB2312"/>
          <w:sz w:val="32"/>
        </w:rPr>
        <w:t>万元、专用材料费2</w:t>
      </w:r>
      <w:r>
        <w:rPr>
          <w:rFonts w:eastAsia="仿宋_GB2312"/>
          <w:sz w:val="32"/>
        </w:rPr>
        <w:t>51.00</w:t>
      </w:r>
      <w:r>
        <w:rPr>
          <w:rFonts w:hint="eastAsia" w:eastAsia="仿宋_GB2312"/>
          <w:sz w:val="32"/>
        </w:rPr>
        <w:t>万元、专家咨询费4</w:t>
      </w:r>
      <w:r>
        <w:rPr>
          <w:rFonts w:eastAsia="仿宋_GB2312"/>
          <w:sz w:val="32"/>
        </w:rPr>
        <w:t>.00</w:t>
      </w:r>
      <w:r>
        <w:rPr>
          <w:rFonts w:hint="eastAsia" w:eastAsia="仿宋_GB2312"/>
          <w:sz w:val="32"/>
        </w:rPr>
        <w:t>万元，于2</w:t>
      </w:r>
      <w:r>
        <w:rPr>
          <w:rFonts w:eastAsia="仿宋_GB2312"/>
          <w:sz w:val="32"/>
        </w:rPr>
        <w:t>021</w:t>
      </w:r>
      <w:r>
        <w:rPr>
          <w:rFonts w:hint="eastAsia" w:eastAsia="仿宋_GB2312"/>
          <w:sz w:val="32"/>
        </w:rPr>
        <w:t>年3月获得预算批复。</w:t>
      </w:r>
    </w:p>
    <w:p>
      <w:pPr>
        <w:pStyle w:val="3"/>
        <w:spacing w:before="312" w:line="360" w:lineRule="auto"/>
        <w:ind w:firstLine="640"/>
      </w:pPr>
      <w:bookmarkStart w:id="27" w:name="_Toc103776491"/>
      <w:r>
        <w:rPr>
          <w:rFonts w:hint="eastAsia"/>
        </w:rPr>
        <w:t>（二）项目过程情况。</w:t>
      </w:r>
      <w:bookmarkEnd w:id="27"/>
    </w:p>
    <w:p>
      <w:pPr>
        <w:pStyle w:val="4"/>
        <w:spacing w:line="360" w:lineRule="auto"/>
        <w:ind w:firstLine="640"/>
      </w:pPr>
      <w:bookmarkStart w:id="28" w:name="_Toc103776492"/>
      <w:r>
        <w:rPr>
          <w:rFonts w:hint="eastAsia"/>
        </w:rPr>
        <w:t>1</w:t>
      </w:r>
      <w:r>
        <w:t>.</w:t>
      </w:r>
      <w:r>
        <w:rPr>
          <w:rFonts w:hint="eastAsia"/>
        </w:rPr>
        <w:t>组织实施</w:t>
      </w:r>
      <w:bookmarkEnd w:id="28"/>
    </w:p>
    <w:p>
      <w:pPr>
        <w:spacing w:line="360" w:lineRule="auto"/>
        <w:ind w:firstLine="640" w:firstLineChars="200"/>
        <w:rPr>
          <w:rFonts w:eastAsia="仿宋_GB2312"/>
          <w:sz w:val="32"/>
        </w:rPr>
      </w:pPr>
      <w:r>
        <w:rPr>
          <w:rFonts w:hint="eastAsia" w:eastAsia="仿宋_GB2312"/>
          <w:sz w:val="32"/>
        </w:rPr>
        <w:t>为确保2021年度中药饮片炮制规范修订工作的顺利完成，北京市药品检验研究院制定了《中药饮片炮制规范修订工作（2021年度）实施方案》，成立了以中药室为主体的工作小组，其成员中有高级职称29人。在项目实施过程中参照本单位的实施方案和《北京市药品检验所采购类合同管理制度（试行）》《北京市药品检验所财务管理制度》《北京市药品检验所大额资金管理办法》《北京市药品检验所资金支出管理办法》等制度执行。</w:t>
      </w:r>
    </w:p>
    <w:p>
      <w:pPr>
        <w:pStyle w:val="4"/>
        <w:spacing w:line="360" w:lineRule="auto"/>
        <w:ind w:firstLine="640"/>
      </w:pPr>
      <w:bookmarkStart w:id="29" w:name="_Toc103776493"/>
      <w:r>
        <w:rPr>
          <w:rFonts w:hint="eastAsia"/>
        </w:rPr>
        <w:t>2</w:t>
      </w:r>
      <w:r>
        <w:t>.</w:t>
      </w:r>
      <w:r>
        <w:rPr>
          <w:rFonts w:hint="eastAsia"/>
        </w:rPr>
        <w:t>资金管理</w:t>
      </w:r>
      <w:bookmarkEnd w:id="29"/>
    </w:p>
    <w:p>
      <w:pPr>
        <w:spacing w:line="360" w:lineRule="auto"/>
        <w:ind w:firstLine="640" w:firstLineChars="200"/>
        <w:rPr>
          <w:rFonts w:eastAsia="仿宋_GB2312"/>
          <w:sz w:val="32"/>
        </w:rPr>
      </w:pPr>
      <w:r>
        <w:rPr>
          <w:rFonts w:hint="eastAsia" w:eastAsia="仿宋_GB2312"/>
          <w:sz w:val="32"/>
        </w:rPr>
        <w:t>项目经费5</w:t>
      </w:r>
      <w:r>
        <w:rPr>
          <w:rFonts w:eastAsia="仿宋_GB2312"/>
          <w:sz w:val="32"/>
        </w:rPr>
        <w:t>00.00</w:t>
      </w:r>
      <w:r>
        <w:rPr>
          <w:rFonts w:hint="eastAsia" w:eastAsia="仿宋_GB2312"/>
          <w:sz w:val="32"/>
        </w:rPr>
        <w:t>万元于2</w:t>
      </w:r>
      <w:r>
        <w:rPr>
          <w:rFonts w:eastAsia="仿宋_GB2312"/>
          <w:sz w:val="32"/>
        </w:rPr>
        <w:t>021</w:t>
      </w:r>
      <w:r>
        <w:rPr>
          <w:rFonts w:hint="eastAsia" w:eastAsia="仿宋_GB2312"/>
          <w:sz w:val="32"/>
        </w:rPr>
        <w:t>年3月到位，到位率1</w:t>
      </w:r>
      <w:r>
        <w:rPr>
          <w:rFonts w:eastAsia="仿宋_GB2312"/>
          <w:sz w:val="32"/>
        </w:rPr>
        <w:t>00</w:t>
      </w:r>
      <w:r>
        <w:rPr>
          <w:rFonts w:hint="eastAsia" w:eastAsia="仿宋_GB2312"/>
          <w:sz w:val="32"/>
        </w:rPr>
        <w:t>%，当年支出4</w:t>
      </w:r>
      <w:r>
        <w:rPr>
          <w:rFonts w:eastAsia="仿宋_GB2312"/>
          <w:sz w:val="32"/>
        </w:rPr>
        <w:t>96.18</w:t>
      </w:r>
      <w:r>
        <w:rPr>
          <w:rFonts w:hint="eastAsia" w:eastAsia="仿宋_GB2312"/>
          <w:sz w:val="32"/>
        </w:rPr>
        <w:t>万元，其中委托业务费</w:t>
      </w:r>
      <w:r>
        <w:rPr>
          <w:rFonts w:eastAsia="仿宋_GB2312"/>
          <w:sz w:val="32"/>
        </w:rPr>
        <w:t>245.00</w:t>
      </w:r>
      <w:r>
        <w:rPr>
          <w:rFonts w:hint="eastAsia" w:eastAsia="仿宋_GB2312"/>
          <w:sz w:val="32"/>
        </w:rPr>
        <w:t>万元、专家咨询费0</w:t>
      </w:r>
      <w:r>
        <w:rPr>
          <w:rFonts w:eastAsia="仿宋_GB2312"/>
          <w:sz w:val="32"/>
        </w:rPr>
        <w:t>.25</w:t>
      </w:r>
      <w:r>
        <w:rPr>
          <w:rFonts w:hint="eastAsia" w:eastAsia="仿宋_GB2312"/>
          <w:sz w:val="32"/>
        </w:rPr>
        <w:t>万元、专用材料费2</w:t>
      </w:r>
      <w:r>
        <w:rPr>
          <w:rFonts w:eastAsia="仿宋_GB2312"/>
          <w:sz w:val="32"/>
        </w:rPr>
        <w:t>50.93</w:t>
      </w:r>
      <w:r>
        <w:rPr>
          <w:rFonts w:hint="eastAsia" w:eastAsia="仿宋_GB2312"/>
          <w:sz w:val="32"/>
        </w:rPr>
        <w:t>万元，预算执行率9</w:t>
      </w:r>
      <w:r>
        <w:rPr>
          <w:rFonts w:eastAsia="仿宋_GB2312"/>
          <w:sz w:val="32"/>
        </w:rPr>
        <w:t>9.24</w:t>
      </w:r>
      <w:r>
        <w:rPr>
          <w:rFonts w:hint="eastAsia" w:eastAsia="仿宋_GB2312"/>
          <w:sz w:val="32"/>
        </w:rPr>
        <w:t>%，详见下表：</w:t>
      </w:r>
    </w:p>
    <w:tbl>
      <w:tblPr>
        <w:tblStyle w:val="13"/>
        <w:tblW w:w="8160" w:type="dxa"/>
        <w:tblInd w:w="0" w:type="dxa"/>
        <w:tblLayout w:type="autofit"/>
        <w:tblCellMar>
          <w:top w:w="0" w:type="dxa"/>
          <w:left w:w="108" w:type="dxa"/>
          <w:bottom w:w="0" w:type="dxa"/>
          <w:right w:w="108" w:type="dxa"/>
        </w:tblCellMar>
      </w:tblPr>
      <w:tblGrid>
        <w:gridCol w:w="1276"/>
        <w:gridCol w:w="1865"/>
        <w:gridCol w:w="1878"/>
        <w:gridCol w:w="1878"/>
        <w:gridCol w:w="1263"/>
      </w:tblGrid>
      <w:tr>
        <w:trPr>
          <w:trHeight w:val="350" w:hRule="atLeast"/>
        </w:trPr>
        <w:tc>
          <w:tcPr>
            <w:tcW w:w="8160" w:type="dxa"/>
            <w:gridSpan w:val="5"/>
            <w:tcBorders>
              <w:top w:val="nil"/>
              <w:left w:val="nil"/>
              <w:bottom w:val="nil"/>
              <w:right w:val="nil"/>
            </w:tcBorders>
            <w:shd w:val="clear" w:color="auto" w:fill="auto"/>
            <w:noWrap/>
            <w:vAlign w:val="bottom"/>
          </w:tcPr>
          <w:p>
            <w:pPr>
              <w:widowControl/>
              <w:spacing w:line="360" w:lineRule="auto"/>
              <w:jc w:val="center"/>
              <w:rPr>
                <w:rFonts w:ascii="宋体" w:hAnsi="宋体" w:cs="宋体"/>
                <w:color w:val="000000"/>
                <w:kern w:val="0"/>
                <w:sz w:val="28"/>
                <w:szCs w:val="28"/>
              </w:rPr>
            </w:pPr>
            <w:r>
              <w:rPr>
                <w:rFonts w:hint="eastAsia" w:ascii="宋体" w:hAnsi="宋体" w:cs="宋体"/>
                <w:color w:val="000000"/>
                <w:kern w:val="0"/>
                <w:sz w:val="28"/>
                <w:szCs w:val="28"/>
              </w:rPr>
              <w:t>北京市中药饮片炮制规范修订项目预算收支统计表</w:t>
            </w:r>
          </w:p>
        </w:tc>
      </w:tr>
      <w:tr>
        <w:trPr>
          <w:trHeight w:val="290" w:hRule="atLeast"/>
        </w:trPr>
        <w:tc>
          <w:tcPr>
            <w:tcW w:w="1276" w:type="dxa"/>
            <w:tcBorders>
              <w:top w:val="nil"/>
              <w:left w:val="nil"/>
              <w:bottom w:val="nil"/>
              <w:right w:val="nil"/>
            </w:tcBorders>
            <w:shd w:val="clear" w:color="auto" w:fill="auto"/>
            <w:noWrap/>
            <w:vAlign w:val="bottom"/>
          </w:tcPr>
          <w:p>
            <w:pPr>
              <w:widowControl/>
              <w:spacing w:line="360" w:lineRule="auto"/>
              <w:jc w:val="center"/>
              <w:rPr>
                <w:rFonts w:ascii="宋体" w:hAnsi="宋体" w:cs="宋体"/>
                <w:color w:val="000000"/>
                <w:kern w:val="0"/>
                <w:sz w:val="28"/>
                <w:szCs w:val="28"/>
              </w:rPr>
            </w:pPr>
          </w:p>
        </w:tc>
        <w:tc>
          <w:tcPr>
            <w:tcW w:w="1865" w:type="dxa"/>
            <w:tcBorders>
              <w:top w:val="nil"/>
              <w:left w:val="nil"/>
              <w:bottom w:val="nil"/>
              <w:right w:val="nil"/>
            </w:tcBorders>
            <w:shd w:val="clear" w:color="auto" w:fill="auto"/>
            <w:noWrap/>
            <w:vAlign w:val="bottom"/>
          </w:tcPr>
          <w:p>
            <w:pPr>
              <w:widowControl/>
              <w:spacing w:line="360" w:lineRule="auto"/>
              <w:jc w:val="left"/>
              <w:rPr>
                <w:rFonts w:eastAsia="Times New Roman"/>
                <w:kern w:val="0"/>
                <w:sz w:val="20"/>
                <w:szCs w:val="20"/>
              </w:rPr>
            </w:pPr>
          </w:p>
        </w:tc>
        <w:tc>
          <w:tcPr>
            <w:tcW w:w="1878" w:type="dxa"/>
            <w:tcBorders>
              <w:top w:val="nil"/>
              <w:left w:val="nil"/>
              <w:bottom w:val="nil"/>
              <w:right w:val="nil"/>
            </w:tcBorders>
            <w:shd w:val="clear" w:color="auto" w:fill="auto"/>
            <w:noWrap/>
            <w:vAlign w:val="bottom"/>
          </w:tcPr>
          <w:p>
            <w:pPr>
              <w:widowControl/>
              <w:spacing w:line="360" w:lineRule="auto"/>
              <w:jc w:val="left"/>
              <w:rPr>
                <w:rFonts w:eastAsia="Times New Roman"/>
                <w:kern w:val="0"/>
                <w:sz w:val="20"/>
                <w:szCs w:val="20"/>
              </w:rPr>
            </w:pPr>
          </w:p>
        </w:tc>
        <w:tc>
          <w:tcPr>
            <w:tcW w:w="1878" w:type="dxa"/>
            <w:tcBorders>
              <w:top w:val="nil"/>
              <w:left w:val="nil"/>
              <w:bottom w:val="nil"/>
              <w:right w:val="nil"/>
            </w:tcBorders>
            <w:shd w:val="clear" w:color="auto" w:fill="auto"/>
            <w:noWrap/>
            <w:vAlign w:val="bottom"/>
          </w:tcPr>
          <w:p>
            <w:pPr>
              <w:widowControl/>
              <w:spacing w:line="360" w:lineRule="auto"/>
              <w:jc w:val="left"/>
              <w:rPr>
                <w:rFonts w:eastAsia="Times New Roman"/>
                <w:kern w:val="0"/>
                <w:sz w:val="20"/>
                <w:szCs w:val="20"/>
              </w:rPr>
            </w:pPr>
          </w:p>
        </w:tc>
        <w:tc>
          <w:tcPr>
            <w:tcW w:w="1263" w:type="dxa"/>
            <w:tcBorders>
              <w:top w:val="nil"/>
              <w:left w:val="nil"/>
              <w:bottom w:val="nil"/>
              <w:right w:val="nil"/>
            </w:tcBorders>
            <w:shd w:val="clear" w:color="auto" w:fill="auto"/>
            <w:noWrap/>
            <w:vAlign w:val="bottom"/>
          </w:tcPr>
          <w:p>
            <w:pPr>
              <w:widowControl/>
              <w:spacing w:line="360" w:lineRule="auto"/>
              <w:jc w:val="left"/>
              <w:rPr>
                <w:rFonts w:ascii="宋体" w:hAnsi="宋体" w:cs="宋体"/>
                <w:color w:val="000000"/>
                <w:kern w:val="0"/>
                <w:sz w:val="22"/>
                <w:szCs w:val="22"/>
              </w:rPr>
            </w:pPr>
            <w:r>
              <w:rPr>
                <w:rFonts w:hint="eastAsia" w:ascii="宋体" w:hAnsi="宋体" w:cs="宋体"/>
                <w:color w:val="000000"/>
                <w:kern w:val="0"/>
                <w:sz w:val="22"/>
                <w:szCs w:val="22"/>
              </w:rPr>
              <w:t>金额：元</w:t>
            </w:r>
          </w:p>
        </w:tc>
      </w:tr>
      <w:tr>
        <w:trPr>
          <w:trHeight w:val="290" w:hRule="atLeast"/>
        </w:trPr>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2"/>
                <w:szCs w:val="22"/>
              </w:rPr>
            </w:pPr>
            <w:r>
              <w:rPr>
                <w:rFonts w:hint="eastAsia" w:ascii="宋体" w:hAnsi="宋体" w:cs="宋体"/>
                <w:color w:val="000000"/>
                <w:kern w:val="0"/>
                <w:sz w:val="22"/>
                <w:szCs w:val="22"/>
              </w:rPr>
              <w:t>类别</w:t>
            </w:r>
          </w:p>
        </w:tc>
        <w:tc>
          <w:tcPr>
            <w:tcW w:w="1865"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2"/>
                <w:szCs w:val="22"/>
              </w:rPr>
            </w:pPr>
            <w:r>
              <w:rPr>
                <w:rFonts w:hint="eastAsia" w:ascii="宋体" w:hAnsi="宋体" w:cs="宋体"/>
                <w:color w:val="000000"/>
                <w:kern w:val="0"/>
                <w:sz w:val="22"/>
                <w:szCs w:val="22"/>
              </w:rPr>
              <w:t>预算金额</w:t>
            </w:r>
          </w:p>
        </w:tc>
        <w:tc>
          <w:tcPr>
            <w:tcW w:w="1878"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2"/>
                <w:szCs w:val="22"/>
              </w:rPr>
            </w:pPr>
            <w:r>
              <w:rPr>
                <w:rFonts w:hint="eastAsia" w:ascii="宋体" w:hAnsi="宋体" w:cs="宋体"/>
                <w:color w:val="000000"/>
                <w:kern w:val="0"/>
                <w:sz w:val="22"/>
                <w:szCs w:val="22"/>
              </w:rPr>
              <w:t>到位金额</w:t>
            </w:r>
          </w:p>
        </w:tc>
        <w:tc>
          <w:tcPr>
            <w:tcW w:w="1878"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000000"/>
                <w:kern w:val="0"/>
                <w:sz w:val="22"/>
                <w:szCs w:val="22"/>
              </w:rPr>
            </w:pPr>
            <w:r>
              <w:rPr>
                <w:rFonts w:hint="eastAsia" w:ascii="宋体" w:hAnsi="宋体" w:cs="宋体"/>
                <w:color w:val="000000"/>
                <w:kern w:val="0"/>
                <w:sz w:val="22"/>
                <w:szCs w:val="22"/>
              </w:rPr>
              <w:t>支出金额</w:t>
            </w:r>
          </w:p>
        </w:tc>
        <w:tc>
          <w:tcPr>
            <w:tcW w:w="1263" w:type="dxa"/>
            <w:tcBorders>
              <w:top w:val="single" w:color="auto" w:sz="4" w:space="0"/>
              <w:left w:val="nil"/>
              <w:bottom w:val="single" w:color="auto" w:sz="4" w:space="0"/>
              <w:right w:val="single" w:color="auto" w:sz="4" w:space="0"/>
            </w:tcBorders>
            <w:shd w:val="clear" w:color="auto" w:fill="auto"/>
            <w:noWrap/>
            <w:vAlign w:val="bottom"/>
          </w:tcPr>
          <w:p>
            <w:pPr>
              <w:widowControl/>
              <w:spacing w:line="360" w:lineRule="auto"/>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r>
      <w:tr>
        <w:trPr>
          <w:trHeight w:val="290" w:hRule="atLeast"/>
        </w:trPr>
        <w:tc>
          <w:tcPr>
            <w:tcW w:w="1276" w:type="dxa"/>
            <w:tcBorders>
              <w:top w:val="nil"/>
              <w:left w:val="single" w:color="auto" w:sz="4" w:space="0"/>
              <w:bottom w:val="single" w:color="auto" w:sz="4" w:space="0"/>
              <w:right w:val="single" w:color="auto" w:sz="4" w:space="0"/>
            </w:tcBorders>
            <w:shd w:val="clear" w:color="auto" w:fill="auto"/>
            <w:noWrap/>
            <w:vAlign w:val="bottom"/>
          </w:tcPr>
          <w:p>
            <w:pPr>
              <w:widowControl/>
              <w:spacing w:line="360" w:lineRule="auto"/>
              <w:jc w:val="left"/>
              <w:rPr>
                <w:rFonts w:ascii="宋体" w:hAnsi="宋体" w:cs="宋体"/>
                <w:color w:val="000000"/>
                <w:kern w:val="0"/>
                <w:sz w:val="22"/>
                <w:szCs w:val="22"/>
              </w:rPr>
            </w:pPr>
            <w:r>
              <w:rPr>
                <w:rFonts w:hint="eastAsia" w:ascii="宋体" w:hAnsi="宋体" w:cs="宋体"/>
                <w:color w:val="000000"/>
                <w:kern w:val="0"/>
                <w:sz w:val="22"/>
                <w:szCs w:val="22"/>
              </w:rPr>
              <w:t>委托加工费</w:t>
            </w:r>
          </w:p>
        </w:tc>
        <w:tc>
          <w:tcPr>
            <w:tcW w:w="1865" w:type="dxa"/>
            <w:tcBorders>
              <w:top w:val="nil"/>
              <w:left w:val="nil"/>
              <w:bottom w:val="single" w:color="auto" w:sz="4" w:space="0"/>
              <w:right w:val="single" w:color="auto" w:sz="4" w:space="0"/>
            </w:tcBorders>
            <w:shd w:val="clear" w:color="auto" w:fill="auto"/>
            <w:noWrap/>
            <w:vAlign w:val="center"/>
          </w:tcPr>
          <w:p>
            <w:pPr>
              <w:widowControl/>
              <w:spacing w:line="360" w:lineRule="auto"/>
              <w:jc w:val="right"/>
              <w:rPr>
                <w:rFonts w:ascii="宋体" w:hAnsi="宋体" w:cs="宋体"/>
                <w:color w:val="000000"/>
                <w:kern w:val="0"/>
                <w:sz w:val="22"/>
                <w:szCs w:val="22"/>
              </w:rPr>
            </w:pPr>
            <w:r>
              <w:rPr>
                <w:rFonts w:hint="eastAsia" w:ascii="宋体" w:hAnsi="宋体" w:cs="宋体"/>
                <w:color w:val="000000"/>
                <w:kern w:val="0"/>
                <w:sz w:val="22"/>
                <w:szCs w:val="22"/>
              </w:rPr>
              <w:t>2,450,000.00</w:t>
            </w:r>
          </w:p>
        </w:tc>
        <w:tc>
          <w:tcPr>
            <w:tcW w:w="1878" w:type="dxa"/>
            <w:tcBorders>
              <w:top w:val="nil"/>
              <w:left w:val="nil"/>
              <w:bottom w:val="single" w:color="auto" w:sz="4" w:space="0"/>
              <w:right w:val="single" w:color="auto" w:sz="4" w:space="0"/>
            </w:tcBorders>
            <w:shd w:val="clear" w:color="auto" w:fill="auto"/>
            <w:noWrap/>
            <w:vAlign w:val="center"/>
          </w:tcPr>
          <w:p>
            <w:pPr>
              <w:widowControl/>
              <w:spacing w:line="360" w:lineRule="auto"/>
              <w:jc w:val="right"/>
              <w:rPr>
                <w:rFonts w:ascii="宋体" w:hAnsi="宋体" w:cs="宋体"/>
                <w:color w:val="000000"/>
                <w:kern w:val="0"/>
                <w:sz w:val="22"/>
                <w:szCs w:val="22"/>
              </w:rPr>
            </w:pPr>
            <w:r>
              <w:rPr>
                <w:rFonts w:hint="eastAsia" w:ascii="宋体" w:hAnsi="宋体" w:cs="宋体"/>
                <w:color w:val="000000"/>
                <w:kern w:val="0"/>
                <w:sz w:val="22"/>
                <w:szCs w:val="22"/>
              </w:rPr>
              <w:t>2,450,000.00</w:t>
            </w:r>
          </w:p>
        </w:tc>
        <w:tc>
          <w:tcPr>
            <w:tcW w:w="1878" w:type="dxa"/>
            <w:tcBorders>
              <w:top w:val="nil"/>
              <w:left w:val="nil"/>
              <w:bottom w:val="single" w:color="auto" w:sz="4" w:space="0"/>
              <w:right w:val="single" w:color="auto" w:sz="4" w:space="0"/>
            </w:tcBorders>
            <w:shd w:val="clear" w:color="auto" w:fill="auto"/>
            <w:noWrap/>
            <w:vAlign w:val="center"/>
          </w:tcPr>
          <w:p>
            <w:pPr>
              <w:widowControl/>
              <w:spacing w:line="360" w:lineRule="auto"/>
              <w:jc w:val="right"/>
              <w:rPr>
                <w:rFonts w:ascii="宋体" w:hAnsi="宋体" w:cs="宋体"/>
                <w:color w:val="000000"/>
                <w:kern w:val="0"/>
                <w:sz w:val="22"/>
                <w:szCs w:val="22"/>
              </w:rPr>
            </w:pPr>
            <w:r>
              <w:rPr>
                <w:rFonts w:hint="eastAsia" w:ascii="宋体" w:hAnsi="宋体" w:cs="宋体"/>
                <w:color w:val="000000"/>
                <w:kern w:val="0"/>
                <w:sz w:val="22"/>
                <w:szCs w:val="22"/>
              </w:rPr>
              <w:t>2,450,000.00</w:t>
            </w:r>
          </w:p>
        </w:tc>
        <w:tc>
          <w:tcPr>
            <w:tcW w:w="1263" w:type="dxa"/>
            <w:tcBorders>
              <w:top w:val="nil"/>
              <w:left w:val="nil"/>
              <w:bottom w:val="single" w:color="auto" w:sz="4" w:space="0"/>
              <w:right w:val="single" w:color="auto" w:sz="4" w:space="0"/>
            </w:tcBorders>
            <w:shd w:val="clear" w:color="auto" w:fill="auto"/>
            <w:noWrap/>
            <w:vAlign w:val="center"/>
          </w:tcPr>
          <w:p>
            <w:pPr>
              <w:widowControl/>
              <w:spacing w:line="360" w:lineRule="auto"/>
              <w:jc w:val="right"/>
              <w:rPr>
                <w:rFonts w:ascii="宋体" w:hAnsi="宋体" w:cs="宋体"/>
                <w:color w:val="000000"/>
                <w:kern w:val="0"/>
                <w:sz w:val="22"/>
                <w:szCs w:val="22"/>
              </w:rPr>
            </w:pPr>
            <w:r>
              <w:rPr>
                <w:rFonts w:hint="eastAsia" w:ascii="宋体" w:hAnsi="宋体" w:cs="宋体"/>
                <w:color w:val="000000"/>
                <w:kern w:val="0"/>
                <w:sz w:val="22"/>
                <w:szCs w:val="22"/>
              </w:rPr>
              <w:t>100.00%</w:t>
            </w:r>
          </w:p>
        </w:tc>
      </w:tr>
      <w:tr>
        <w:trPr>
          <w:trHeight w:val="290" w:hRule="atLeast"/>
        </w:trPr>
        <w:tc>
          <w:tcPr>
            <w:tcW w:w="1276" w:type="dxa"/>
            <w:tcBorders>
              <w:top w:val="nil"/>
              <w:left w:val="single" w:color="auto" w:sz="4" w:space="0"/>
              <w:bottom w:val="single" w:color="auto" w:sz="4" w:space="0"/>
              <w:right w:val="single" w:color="auto" w:sz="4" w:space="0"/>
            </w:tcBorders>
            <w:shd w:val="clear" w:color="auto" w:fill="auto"/>
            <w:noWrap/>
            <w:vAlign w:val="bottom"/>
          </w:tcPr>
          <w:p>
            <w:pPr>
              <w:widowControl/>
              <w:spacing w:line="360" w:lineRule="auto"/>
              <w:jc w:val="left"/>
              <w:rPr>
                <w:rFonts w:ascii="宋体" w:hAnsi="宋体" w:cs="宋体"/>
                <w:color w:val="000000"/>
                <w:kern w:val="0"/>
                <w:sz w:val="22"/>
                <w:szCs w:val="22"/>
              </w:rPr>
            </w:pPr>
            <w:r>
              <w:rPr>
                <w:rFonts w:hint="eastAsia" w:ascii="宋体" w:hAnsi="宋体" w:cs="宋体"/>
                <w:color w:val="000000"/>
                <w:kern w:val="0"/>
                <w:sz w:val="22"/>
                <w:szCs w:val="22"/>
              </w:rPr>
              <w:t>专用材料费</w:t>
            </w:r>
          </w:p>
        </w:tc>
        <w:tc>
          <w:tcPr>
            <w:tcW w:w="1865" w:type="dxa"/>
            <w:tcBorders>
              <w:top w:val="nil"/>
              <w:left w:val="nil"/>
              <w:bottom w:val="single" w:color="auto" w:sz="4" w:space="0"/>
              <w:right w:val="single" w:color="auto" w:sz="4" w:space="0"/>
            </w:tcBorders>
            <w:shd w:val="clear" w:color="auto" w:fill="auto"/>
            <w:noWrap/>
            <w:vAlign w:val="center"/>
          </w:tcPr>
          <w:p>
            <w:pPr>
              <w:widowControl/>
              <w:spacing w:line="360" w:lineRule="auto"/>
              <w:jc w:val="right"/>
              <w:rPr>
                <w:rFonts w:ascii="宋体" w:hAnsi="宋体" w:cs="宋体"/>
                <w:color w:val="000000"/>
                <w:kern w:val="0"/>
                <w:sz w:val="22"/>
                <w:szCs w:val="22"/>
              </w:rPr>
            </w:pPr>
            <w:r>
              <w:rPr>
                <w:rFonts w:hint="eastAsia" w:ascii="宋体" w:hAnsi="宋体" w:cs="宋体"/>
                <w:color w:val="000000"/>
                <w:kern w:val="0"/>
                <w:sz w:val="22"/>
                <w:szCs w:val="22"/>
              </w:rPr>
              <w:t>2,510,000.00</w:t>
            </w:r>
          </w:p>
        </w:tc>
        <w:tc>
          <w:tcPr>
            <w:tcW w:w="1878" w:type="dxa"/>
            <w:tcBorders>
              <w:top w:val="nil"/>
              <w:left w:val="nil"/>
              <w:bottom w:val="single" w:color="auto" w:sz="4" w:space="0"/>
              <w:right w:val="single" w:color="auto" w:sz="4" w:space="0"/>
            </w:tcBorders>
            <w:shd w:val="clear" w:color="auto" w:fill="auto"/>
            <w:noWrap/>
            <w:vAlign w:val="center"/>
          </w:tcPr>
          <w:p>
            <w:pPr>
              <w:widowControl/>
              <w:spacing w:line="360" w:lineRule="auto"/>
              <w:jc w:val="right"/>
              <w:rPr>
                <w:rFonts w:ascii="宋体" w:hAnsi="宋体" w:cs="宋体"/>
                <w:color w:val="000000"/>
                <w:kern w:val="0"/>
                <w:sz w:val="22"/>
                <w:szCs w:val="22"/>
              </w:rPr>
            </w:pPr>
            <w:r>
              <w:rPr>
                <w:rFonts w:hint="eastAsia" w:ascii="宋体" w:hAnsi="宋体" w:cs="宋体"/>
                <w:color w:val="000000"/>
                <w:kern w:val="0"/>
                <w:sz w:val="22"/>
                <w:szCs w:val="22"/>
              </w:rPr>
              <w:t>2,510,000.00</w:t>
            </w:r>
          </w:p>
        </w:tc>
        <w:tc>
          <w:tcPr>
            <w:tcW w:w="1878" w:type="dxa"/>
            <w:tcBorders>
              <w:top w:val="nil"/>
              <w:left w:val="nil"/>
              <w:bottom w:val="single" w:color="auto" w:sz="4" w:space="0"/>
              <w:right w:val="single" w:color="auto" w:sz="4" w:space="0"/>
            </w:tcBorders>
            <w:shd w:val="clear" w:color="auto" w:fill="auto"/>
            <w:noWrap/>
            <w:vAlign w:val="center"/>
          </w:tcPr>
          <w:p>
            <w:pPr>
              <w:widowControl/>
              <w:spacing w:line="360" w:lineRule="auto"/>
              <w:jc w:val="right"/>
              <w:rPr>
                <w:rFonts w:ascii="宋体" w:hAnsi="宋体" w:cs="宋体"/>
                <w:color w:val="000000"/>
                <w:kern w:val="0"/>
                <w:sz w:val="22"/>
                <w:szCs w:val="22"/>
              </w:rPr>
            </w:pPr>
            <w:r>
              <w:rPr>
                <w:rFonts w:hint="eastAsia" w:ascii="宋体" w:hAnsi="宋体" w:cs="宋体"/>
                <w:color w:val="000000"/>
                <w:kern w:val="0"/>
                <w:sz w:val="22"/>
                <w:szCs w:val="22"/>
              </w:rPr>
              <w:t>2,509,321.15</w:t>
            </w:r>
          </w:p>
        </w:tc>
        <w:tc>
          <w:tcPr>
            <w:tcW w:w="1263" w:type="dxa"/>
            <w:tcBorders>
              <w:top w:val="nil"/>
              <w:left w:val="nil"/>
              <w:bottom w:val="single" w:color="auto" w:sz="4" w:space="0"/>
              <w:right w:val="single" w:color="auto" w:sz="4" w:space="0"/>
            </w:tcBorders>
            <w:shd w:val="clear" w:color="auto" w:fill="auto"/>
            <w:noWrap/>
            <w:vAlign w:val="center"/>
          </w:tcPr>
          <w:p>
            <w:pPr>
              <w:widowControl/>
              <w:spacing w:line="360" w:lineRule="auto"/>
              <w:jc w:val="right"/>
              <w:rPr>
                <w:rFonts w:ascii="宋体" w:hAnsi="宋体" w:cs="宋体"/>
                <w:color w:val="000000"/>
                <w:kern w:val="0"/>
                <w:sz w:val="22"/>
                <w:szCs w:val="22"/>
              </w:rPr>
            </w:pPr>
            <w:r>
              <w:rPr>
                <w:rFonts w:hint="eastAsia" w:ascii="宋体" w:hAnsi="宋体" w:cs="宋体"/>
                <w:color w:val="000000"/>
                <w:kern w:val="0"/>
                <w:sz w:val="22"/>
                <w:szCs w:val="22"/>
              </w:rPr>
              <w:t>99.97%</w:t>
            </w:r>
          </w:p>
        </w:tc>
      </w:tr>
      <w:tr>
        <w:trPr>
          <w:trHeight w:val="290" w:hRule="atLeast"/>
        </w:trPr>
        <w:tc>
          <w:tcPr>
            <w:tcW w:w="1276" w:type="dxa"/>
            <w:tcBorders>
              <w:top w:val="nil"/>
              <w:left w:val="single" w:color="auto" w:sz="4" w:space="0"/>
              <w:bottom w:val="single" w:color="auto" w:sz="4" w:space="0"/>
              <w:right w:val="single" w:color="auto" w:sz="4" w:space="0"/>
            </w:tcBorders>
            <w:shd w:val="clear" w:color="auto" w:fill="auto"/>
            <w:noWrap/>
            <w:vAlign w:val="bottom"/>
          </w:tcPr>
          <w:p>
            <w:pPr>
              <w:widowControl/>
              <w:spacing w:line="360" w:lineRule="auto"/>
              <w:jc w:val="left"/>
              <w:rPr>
                <w:rFonts w:ascii="宋体" w:hAnsi="宋体" w:cs="宋体"/>
                <w:color w:val="000000"/>
                <w:kern w:val="0"/>
                <w:sz w:val="22"/>
                <w:szCs w:val="22"/>
              </w:rPr>
            </w:pPr>
            <w:r>
              <w:rPr>
                <w:rFonts w:hint="eastAsia" w:ascii="宋体" w:hAnsi="宋体" w:cs="宋体"/>
                <w:color w:val="000000"/>
                <w:kern w:val="0"/>
                <w:sz w:val="22"/>
                <w:szCs w:val="22"/>
              </w:rPr>
              <w:t>专家咨询费</w:t>
            </w:r>
          </w:p>
        </w:tc>
        <w:tc>
          <w:tcPr>
            <w:tcW w:w="1865" w:type="dxa"/>
            <w:tcBorders>
              <w:top w:val="nil"/>
              <w:left w:val="nil"/>
              <w:bottom w:val="single" w:color="auto" w:sz="4" w:space="0"/>
              <w:right w:val="single" w:color="auto" w:sz="4" w:space="0"/>
            </w:tcBorders>
            <w:shd w:val="clear" w:color="auto" w:fill="auto"/>
            <w:noWrap/>
            <w:vAlign w:val="center"/>
          </w:tcPr>
          <w:p>
            <w:pPr>
              <w:widowControl/>
              <w:spacing w:line="360" w:lineRule="auto"/>
              <w:jc w:val="right"/>
              <w:rPr>
                <w:rFonts w:ascii="宋体" w:hAnsi="宋体" w:cs="宋体"/>
                <w:color w:val="000000"/>
                <w:kern w:val="0"/>
                <w:sz w:val="22"/>
                <w:szCs w:val="22"/>
              </w:rPr>
            </w:pPr>
            <w:r>
              <w:rPr>
                <w:rFonts w:hint="eastAsia" w:ascii="宋体" w:hAnsi="宋体" w:cs="宋体"/>
                <w:color w:val="000000"/>
                <w:kern w:val="0"/>
                <w:sz w:val="22"/>
                <w:szCs w:val="22"/>
              </w:rPr>
              <w:t>40,000.00</w:t>
            </w:r>
          </w:p>
        </w:tc>
        <w:tc>
          <w:tcPr>
            <w:tcW w:w="1878" w:type="dxa"/>
            <w:tcBorders>
              <w:top w:val="nil"/>
              <w:left w:val="nil"/>
              <w:bottom w:val="single" w:color="auto" w:sz="4" w:space="0"/>
              <w:right w:val="single" w:color="auto" w:sz="4" w:space="0"/>
            </w:tcBorders>
            <w:shd w:val="clear" w:color="auto" w:fill="auto"/>
            <w:noWrap/>
            <w:vAlign w:val="center"/>
          </w:tcPr>
          <w:p>
            <w:pPr>
              <w:widowControl/>
              <w:spacing w:line="360" w:lineRule="auto"/>
              <w:jc w:val="right"/>
              <w:rPr>
                <w:rFonts w:ascii="宋体" w:hAnsi="宋体" w:cs="宋体"/>
                <w:color w:val="000000"/>
                <w:kern w:val="0"/>
                <w:sz w:val="22"/>
                <w:szCs w:val="22"/>
              </w:rPr>
            </w:pPr>
            <w:r>
              <w:rPr>
                <w:rFonts w:hint="eastAsia" w:ascii="宋体" w:hAnsi="宋体" w:cs="宋体"/>
                <w:color w:val="000000"/>
                <w:kern w:val="0"/>
                <w:sz w:val="22"/>
                <w:szCs w:val="22"/>
              </w:rPr>
              <w:t>40,000.00</w:t>
            </w:r>
          </w:p>
        </w:tc>
        <w:tc>
          <w:tcPr>
            <w:tcW w:w="1878" w:type="dxa"/>
            <w:tcBorders>
              <w:top w:val="nil"/>
              <w:left w:val="nil"/>
              <w:bottom w:val="single" w:color="auto" w:sz="4" w:space="0"/>
              <w:right w:val="single" w:color="auto" w:sz="4" w:space="0"/>
            </w:tcBorders>
            <w:shd w:val="clear" w:color="auto" w:fill="auto"/>
            <w:noWrap/>
            <w:vAlign w:val="center"/>
          </w:tcPr>
          <w:p>
            <w:pPr>
              <w:widowControl/>
              <w:spacing w:line="360" w:lineRule="auto"/>
              <w:jc w:val="right"/>
              <w:rPr>
                <w:rFonts w:ascii="宋体" w:hAnsi="宋体" w:cs="宋体"/>
                <w:color w:val="000000"/>
                <w:kern w:val="0"/>
                <w:sz w:val="22"/>
                <w:szCs w:val="22"/>
              </w:rPr>
            </w:pPr>
            <w:r>
              <w:rPr>
                <w:rFonts w:hint="eastAsia" w:ascii="宋体" w:hAnsi="宋体" w:cs="宋体"/>
                <w:color w:val="000000"/>
                <w:kern w:val="0"/>
                <w:sz w:val="22"/>
                <w:szCs w:val="22"/>
              </w:rPr>
              <w:t>2,500.00</w:t>
            </w:r>
          </w:p>
        </w:tc>
        <w:tc>
          <w:tcPr>
            <w:tcW w:w="1263" w:type="dxa"/>
            <w:tcBorders>
              <w:top w:val="nil"/>
              <w:left w:val="nil"/>
              <w:bottom w:val="single" w:color="auto" w:sz="4" w:space="0"/>
              <w:right w:val="single" w:color="auto" w:sz="4" w:space="0"/>
            </w:tcBorders>
            <w:shd w:val="clear" w:color="auto" w:fill="auto"/>
            <w:noWrap/>
            <w:vAlign w:val="center"/>
          </w:tcPr>
          <w:p>
            <w:pPr>
              <w:widowControl/>
              <w:spacing w:line="360" w:lineRule="auto"/>
              <w:jc w:val="right"/>
              <w:rPr>
                <w:rFonts w:ascii="宋体" w:hAnsi="宋体" w:cs="宋体"/>
                <w:color w:val="000000"/>
                <w:kern w:val="0"/>
                <w:sz w:val="22"/>
                <w:szCs w:val="22"/>
              </w:rPr>
            </w:pPr>
            <w:r>
              <w:rPr>
                <w:rFonts w:hint="eastAsia" w:ascii="宋体" w:hAnsi="宋体" w:cs="宋体"/>
                <w:color w:val="000000"/>
                <w:kern w:val="0"/>
                <w:sz w:val="22"/>
                <w:szCs w:val="22"/>
              </w:rPr>
              <w:t>6.25%</w:t>
            </w:r>
          </w:p>
        </w:tc>
      </w:tr>
      <w:tr>
        <w:trPr>
          <w:trHeight w:val="290" w:hRule="atLeast"/>
        </w:trPr>
        <w:tc>
          <w:tcPr>
            <w:tcW w:w="1276" w:type="dxa"/>
            <w:tcBorders>
              <w:top w:val="nil"/>
              <w:left w:val="single" w:color="auto" w:sz="4" w:space="0"/>
              <w:bottom w:val="single" w:color="auto" w:sz="4" w:space="0"/>
              <w:right w:val="single" w:color="auto" w:sz="4" w:space="0"/>
            </w:tcBorders>
            <w:shd w:val="clear" w:color="auto" w:fill="auto"/>
            <w:noWrap/>
            <w:vAlign w:val="bottom"/>
          </w:tcPr>
          <w:p>
            <w:pPr>
              <w:widowControl/>
              <w:spacing w:line="360" w:lineRule="auto"/>
              <w:jc w:val="center"/>
              <w:rPr>
                <w:rFonts w:ascii="宋体" w:hAnsi="宋体" w:cs="宋体"/>
                <w:b/>
                <w:bCs/>
                <w:color w:val="000000"/>
                <w:kern w:val="0"/>
                <w:sz w:val="22"/>
                <w:szCs w:val="22"/>
              </w:rPr>
            </w:pPr>
            <w:r>
              <w:rPr>
                <w:rFonts w:hint="eastAsia" w:ascii="宋体" w:hAnsi="宋体" w:cs="宋体"/>
                <w:b/>
                <w:bCs/>
                <w:color w:val="000000"/>
                <w:kern w:val="0"/>
                <w:sz w:val="22"/>
                <w:szCs w:val="22"/>
              </w:rPr>
              <w:t>合计</w:t>
            </w:r>
          </w:p>
        </w:tc>
        <w:tc>
          <w:tcPr>
            <w:tcW w:w="1865" w:type="dxa"/>
            <w:tcBorders>
              <w:top w:val="nil"/>
              <w:left w:val="nil"/>
              <w:bottom w:val="single" w:color="auto" w:sz="4" w:space="0"/>
              <w:right w:val="single" w:color="auto" w:sz="4" w:space="0"/>
            </w:tcBorders>
            <w:shd w:val="clear" w:color="auto" w:fill="auto"/>
            <w:noWrap/>
            <w:vAlign w:val="center"/>
          </w:tcPr>
          <w:p>
            <w:pPr>
              <w:widowControl/>
              <w:spacing w:line="360" w:lineRule="auto"/>
              <w:jc w:val="right"/>
              <w:rPr>
                <w:rFonts w:ascii="宋体" w:hAnsi="宋体" w:cs="宋体"/>
                <w:b/>
                <w:bCs/>
                <w:color w:val="000000"/>
                <w:kern w:val="0"/>
                <w:sz w:val="22"/>
                <w:szCs w:val="22"/>
              </w:rPr>
            </w:pPr>
            <w:r>
              <w:rPr>
                <w:rFonts w:hint="eastAsia" w:ascii="宋体" w:hAnsi="宋体" w:cs="宋体"/>
                <w:b/>
                <w:bCs/>
                <w:color w:val="000000"/>
                <w:kern w:val="0"/>
                <w:sz w:val="22"/>
                <w:szCs w:val="22"/>
              </w:rPr>
              <w:t xml:space="preserve">  5,000,000.00 </w:t>
            </w:r>
          </w:p>
        </w:tc>
        <w:tc>
          <w:tcPr>
            <w:tcW w:w="1878" w:type="dxa"/>
            <w:tcBorders>
              <w:top w:val="nil"/>
              <w:left w:val="nil"/>
              <w:bottom w:val="single" w:color="auto" w:sz="4" w:space="0"/>
              <w:right w:val="single" w:color="auto" w:sz="4" w:space="0"/>
            </w:tcBorders>
            <w:shd w:val="clear" w:color="auto" w:fill="auto"/>
            <w:noWrap/>
            <w:vAlign w:val="center"/>
          </w:tcPr>
          <w:p>
            <w:pPr>
              <w:widowControl/>
              <w:spacing w:line="360" w:lineRule="auto"/>
              <w:jc w:val="right"/>
              <w:rPr>
                <w:rFonts w:ascii="宋体" w:hAnsi="宋体" w:cs="宋体"/>
                <w:b/>
                <w:bCs/>
                <w:color w:val="000000"/>
                <w:kern w:val="0"/>
                <w:sz w:val="22"/>
                <w:szCs w:val="22"/>
              </w:rPr>
            </w:pPr>
            <w:r>
              <w:rPr>
                <w:rFonts w:hint="eastAsia" w:ascii="宋体" w:hAnsi="宋体" w:cs="宋体"/>
                <w:b/>
                <w:bCs/>
                <w:color w:val="000000"/>
                <w:kern w:val="0"/>
                <w:sz w:val="22"/>
                <w:szCs w:val="22"/>
              </w:rPr>
              <w:t xml:space="preserve">  5,000,000.00 </w:t>
            </w:r>
          </w:p>
        </w:tc>
        <w:tc>
          <w:tcPr>
            <w:tcW w:w="1878" w:type="dxa"/>
            <w:tcBorders>
              <w:top w:val="nil"/>
              <w:left w:val="nil"/>
              <w:bottom w:val="single" w:color="auto" w:sz="4" w:space="0"/>
              <w:right w:val="single" w:color="auto" w:sz="4" w:space="0"/>
            </w:tcBorders>
            <w:shd w:val="clear" w:color="auto" w:fill="auto"/>
            <w:noWrap/>
            <w:vAlign w:val="center"/>
          </w:tcPr>
          <w:p>
            <w:pPr>
              <w:widowControl/>
              <w:spacing w:line="360" w:lineRule="auto"/>
              <w:jc w:val="right"/>
              <w:rPr>
                <w:rFonts w:ascii="宋体" w:hAnsi="宋体" w:cs="宋体"/>
                <w:b/>
                <w:bCs/>
                <w:color w:val="000000"/>
                <w:kern w:val="0"/>
                <w:sz w:val="22"/>
                <w:szCs w:val="22"/>
              </w:rPr>
            </w:pPr>
            <w:r>
              <w:rPr>
                <w:rFonts w:hint="eastAsia" w:ascii="宋体" w:hAnsi="宋体" w:cs="宋体"/>
                <w:b/>
                <w:bCs/>
                <w:color w:val="000000"/>
                <w:kern w:val="0"/>
                <w:sz w:val="22"/>
                <w:szCs w:val="22"/>
              </w:rPr>
              <w:t xml:space="preserve">  4,961,821.15 </w:t>
            </w:r>
          </w:p>
        </w:tc>
        <w:tc>
          <w:tcPr>
            <w:tcW w:w="1263" w:type="dxa"/>
            <w:tcBorders>
              <w:top w:val="nil"/>
              <w:left w:val="nil"/>
              <w:bottom w:val="single" w:color="auto" w:sz="4" w:space="0"/>
              <w:right w:val="single" w:color="auto" w:sz="4" w:space="0"/>
            </w:tcBorders>
            <w:shd w:val="clear" w:color="auto" w:fill="auto"/>
            <w:noWrap/>
            <w:vAlign w:val="center"/>
          </w:tcPr>
          <w:p>
            <w:pPr>
              <w:widowControl/>
              <w:spacing w:line="360" w:lineRule="auto"/>
              <w:jc w:val="right"/>
              <w:rPr>
                <w:rFonts w:ascii="宋体" w:hAnsi="宋体" w:cs="宋体"/>
                <w:b/>
                <w:bCs/>
                <w:color w:val="000000"/>
                <w:kern w:val="0"/>
                <w:sz w:val="22"/>
                <w:szCs w:val="22"/>
              </w:rPr>
            </w:pPr>
            <w:r>
              <w:rPr>
                <w:rFonts w:hint="eastAsia" w:ascii="宋体" w:hAnsi="宋体" w:cs="宋体"/>
                <w:b/>
                <w:bCs/>
                <w:color w:val="000000"/>
                <w:kern w:val="0"/>
                <w:sz w:val="22"/>
                <w:szCs w:val="22"/>
              </w:rPr>
              <w:t>99.24%</w:t>
            </w:r>
          </w:p>
        </w:tc>
      </w:tr>
    </w:tbl>
    <w:p>
      <w:pPr>
        <w:spacing w:line="360" w:lineRule="auto"/>
        <w:rPr>
          <w:rFonts w:eastAsia="仿宋_GB2312"/>
          <w:sz w:val="32"/>
        </w:rPr>
      </w:pPr>
    </w:p>
    <w:p>
      <w:pPr>
        <w:spacing w:line="360" w:lineRule="auto"/>
        <w:ind w:firstLine="640" w:firstLineChars="200"/>
        <w:rPr>
          <w:rFonts w:eastAsia="仿宋_GB2312"/>
          <w:sz w:val="32"/>
        </w:rPr>
      </w:pPr>
      <w:r>
        <w:rPr>
          <w:rFonts w:hint="eastAsia" w:eastAsia="仿宋_GB2312"/>
          <w:sz w:val="32"/>
        </w:rPr>
        <w:t>项目资金使用过程中基本符合相关财务管理制度的规定，未发现存在截留、挤占、挪用、虚列支出等情况。</w:t>
      </w:r>
    </w:p>
    <w:p>
      <w:pPr>
        <w:pStyle w:val="3"/>
        <w:spacing w:before="312" w:line="360" w:lineRule="auto"/>
        <w:ind w:firstLine="640"/>
      </w:pPr>
      <w:bookmarkStart w:id="30" w:name="_Toc103776494"/>
      <w:r>
        <w:rPr>
          <w:rFonts w:hint="eastAsia"/>
        </w:rPr>
        <w:t>（三）项目产出情况。</w:t>
      </w:r>
      <w:bookmarkEnd w:id="30"/>
    </w:p>
    <w:p>
      <w:pPr>
        <w:spacing w:line="360" w:lineRule="auto"/>
        <w:ind w:firstLine="640" w:firstLineChars="200"/>
        <w:rPr>
          <w:rFonts w:eastAsia="仿宋_GB2312"/>
          <w:sz w:val="32"/>
        </w:rPr>
      </w:pPr>
      <w:r>
        <w:rPr>
          <w:rFonts w:hint="eastAsia" w:eastAsia="仿宋_GB2312"/>
          <w:sz w:val="32"/>
        </w:rPr>
        <w:t>北京市药品检验研究院在2</w:t>
      </w:r>
      <w:r>
        <w:rPr>
          <w:rFonts w:eastAsia="仿宋_GB2312"/>
          <w:sz w:val="32"/>
        </w:rPr>
        <w:t>021</w:t>
      </w:r>
      <w:r>
        <w:rPr>
          <w:rFonts w:hint="eastAsia" w:eastAsia="仿宋_GB2312"/>
          <w:sz w:val="32"/>
        </w:rPr>
        <w:t>年完成了120个中药饮片品种的标准研究及修订工作和5个品种北京市地方中药标准物质标定工作及5个基源复杂品种分子生物学技术研究工作，达到有关质量要求，而且节约成本3</w:t>
      </w:r>
      <w:r>
        <w:rPr>
          <w:rFonts w:eastAsia="仿宋_GB2312"/>
          <w:sz w:val="32"/>
        </w:rPr>
        <w:t>.82</w:t>
      </w:r>
      <w:r>
        <w:rPr>
          <w:rFonts w:hint="eastAsia" w:eastAsia="仿宋_GB2312"/>
          <w:sz w:val="32"/>
        </w:rPr>
        <w:t>万元，其中专用材料费节约0</w:t>
      </w:r>
      <w:r>
        <w:rPr>
          <w:rFonts w:eastAsia="仿宋_GB2312"/>
          <w:sz w:val="32"/>
        </w:rPr>
        <w:t>.07</w:t>
      </w:r>
      <w:r>
        <w:rPr>
          <w:rFonts w:hint="eastAsia" w:eastAsia="仿宋_GB2312"/>
          <w:sz w:val="32"/>
        </w:rPr>
        <w:t>万元、专家咨询费节约3</w:t>
      </w:r>
      <w:r>
        <w:rPr>
          <w:rFonts w:eastAsia="仿宋_GB2312"/>
          <w:sz w:val="32"/>
        </w:rPr>
        <w:t>.75</w:t>
      </w:r>
      <w:r>
        <w:rPr>
          <w:rFonts w:hint="eastAsia" w:eastAsia="仿宋_GB2312"/>
          <w:sz w:val="32"/>
        </w:rPr>
        <w:t>万元。</w:t>
      </w:r>
    </w:p>
    <w:p>
      <w:pPr>
        <w:pStyle w:val="3"/>
        <w:spacing w:before="312" w:line="360" w:lineRule="auto"/>
        <w:ind w:firstLine="640"/>
      </w:pPr>
      <w:bookmarkStart w:id="31" w:name="_Toc103776495"/>
      <w:r>
        <w:rPr>
          <w:rFonts w:hint="eastAsia"/>
        </w:rPr>
        <w:t>（四）项目效益情况。</w:t>
      </w:r>
      <w:bookmarkEnd w:id="31"/>
    </w:p>
    <w:p>
      <w:pPr>
        <w:spacing w:line="360" w:lineRule="auto"/>
        <w:ind w:firstLine="640" w:firstLineChars="200"/>
        <w:rPr>
          <w:rFonts w:eastAsia="仿宋_GB2312"/>
          <w:sz w:val="32"/>
        </w:rPr>
      </w:pPr>
      <w:r>
        <w:rPr>
          <w:rFonts w:hint="eastAsia" w:eastAsia="仿宋_GB2312"/>
          <w:sz w:val="32"/>
        </w:rPr>
        <w:t>北京市药品检验研究院组织实施的北京市中药饮片炮制规范修订工作（2021年度），形成120个品种的研究资料及质量标准草案，整理、完善和提高了北京市中药饮片质量标准，基本明确了120个品种中药饮片的现状和存在的主要问题，增强了中药饮片标准的科学性和适用性，在一定程度上提高了北京市中药饮片质量的控制能力，为临床用药安全提供了更加有力的保障，主要体现在以下方面：一是重点品种和特色品种的标准得到了完善和提高，解决了现行标准的短板；二是以满足中医临床需求为出发点新增了品种，保障了患者用药；三是培养了北京市中药饮片主要生产企业的技术队伍，提高了企业研究和质控的技术水平。</w:t>
      </w:r>
    </w:p>
    <w:p>
      <w:pPr>
        <w:spacing w:line="360" w:lineRule="auto"/>
        <w:ind w:firstLine="640" w:firstLineChars="200"/>
        <w:rPr>
          <w:rFonts w:eastAsia="仿宋_GB2312"/>
          <w:sz w:val="32"/>
        </w:rPr>
      </w:pPr>
      <w:r>
        <w:rPr>
          <w:rFonts w:hint="eastAsia" w:eastAsia="仿宋_GB2312"/>
          <w:sz w:val="32"/>
        </w:rPr>
        <w:t>综上可见，通过该项目的实施在一定程度上有利于完善北京市中药饮片质量标准，增强中药饮片标准的科学性和适用性，具有一定的社会效益；同时能够发挥北京市地方中药饮片特色与优势，有助于提高北京市中药饮片的质量，保障人民身体健康，在一定程度上促进饮片产业可持续发展，产生的影响具有可持续性。</w:t>
      </w:r>
    </w:p>
    <w:p>
      <w:pPr>
        <w:spacing w:line="360" w:lineRule="auto"/>
        <w:ind w:firstLine="640" w:firstLineChars="200"/>
        <w:rPr>
          <w:rFonts w:eastAsia="仿宋_GB2312"/>
          <w:sz w:val="32"/>
        </w:rPr>
      </w:pPr>
      <w:r>
        <w:rPr>
          <w:rFonts w:hint="eastAsia" w:eastAsia="仿宋_GB2312"/>
          <w:sz w:val="32"/>
        </w:rPr>
        <w:t>北京市药品检验研究院向我局提交的项目实施成果受到了我局药品注册管理处高度评价，认为其实现了既定目标，达到了预期效益。</w:t>
      </w:r>
    </w:p>
    <w:p>
      <w:pPr>
        <w:pStyle w:val="2"/>
        <w:spacing w:line="360" w:lineRule="auto"/>
        <w:ind w:firstLine="640"/>
      </w:pPr>
      <w:bookmarkStart w:id="32" w:name="_Toc103776496"/>
      <w:r>
        <w:rPr>
          <w:rFonts w:hint="eastAsia"/>
        </w:rPr>
        <w:t>五、主要经验及做法、存在的问题及原因分析</w:t>
      </w:r>
      <w:bookmarkEnd w:id="32"/>
    </w:p>
    <w:p>
      <w:pPr>
        <w:pStyle w:val="3"/>
        <w:spacing w:before="312" w:line="360" w:lineRule="auto"/>
        <w:ind w:firstLine="640"/>
      </w:pPr>
      <w:bookmarkStart w:id="33" w:name="_Toc103776497"/>
      <w:r>
        <w:rPr>
          <w:rFonts w:hint="eastAsia"/>
        </w:rPr>
        <w:t>（一）主要经验和做法</w:t>
      </w:r>
      <w:bookmarkEnd w:id="33"/>
    </w:p>
    <w:p>
      <w:pPr>
        <w:spacing w:line="360" w:lineRule="auto"/>
        <w:ind w:firstLine="640" w:firstLineChars="200"/>
        <w:rPr>
          <w:rFonts w:eastAsia="仿宋_GB2312"/>
          <w:sz w:val="32"/>
        </w:rPr>
      </w:pPr>
      <w:r>
        <w:rPr>
          <w:rFonts w:hint="eastAsia" w:eastAsia="仿宋_GB2312"/>
          <w:sz w:val="32"/>
        </w:rPr>
        <w:t>为确保项目有序开展，保障工作质量，北京市药品检验研究院遵照“科学规划、全面提高、整体推进、分步实施”的总体工作思路，确定以品种遴选、研究验证单位遴选、研究工作过程组织和指导、标准复核、标准公示为次序开展工作，并且绘制了流程图，清晰反映了项目全过程，北京市药品检验研究院还在实践不断完善工作机制，确保工作取得成效。</w:t>
      </w:r>
    </w:p>
    <w:p>
      <w:pPr>
        <w:spacing w:line="360" w:lineRule="auto"/>
        <w:ind w:firstLine="640" w:firstLineChars="200"/>
        <w:rPr>
          <w:rFonts w:eastAsia="仿宋_GB2312"/>
          <w:sz w:val="32"/>
        </w:rPr>
      </w:pPr>
      <w:r>
        <w:rPr>
          <w:rFonts w:hint="eastAsia" w:eastAsia="仿宋_GB2312"/>
          <w:sz w:val="32"/>
        </w:rPr>
        <w:t>北京市药品检验研究院为保障项目有组织开展，成立了以中药室为主体的工作小组，中药室有高级职称29人，占比接近35%，具有很好的人才储备。</w:t>
      </w:r>
    </w:p>
    <w:p>
      <w:pPr>
        <w:pStyle w:val="3"/>
        <w:spacing w:before="312" w:line="360" w:lineRule="auto"/>
        <w:ind w:firstLine="640"/>
      </w:pPr>
      <w:bookmarkStart w:id="34" w:name="_Toc103776498"/>
      <w:r>
        <w:rPr>
          <w:rFonts w:hint="eastAsia"/>
        </w:rPr>
        <w:t>（二）存在的问题及原因分析</w:t>
      </w:r>
      <w:bookmarkEnd w:id="34"/>
    </w:p>
    <w:p>
      <w:pPr>
        <w:pStyle w:val="4"/>
        <w:spacing w:line="360" w:lineRule="auto"/>
        <w:ind w:firstLine="640"/>
      </w:pPr>
      <w:bookmarkStart w:id="35" w:name="_Toc103776499"/>
      <w:r>
        <w:rPr>
          <w:rFonts w:hint="eastAsia"/>
        </w:rPr>
        <w:t>1</w:t>
      </w:r>
      <w:r>
        <w:t>.</w:t>
      </w:r>
      <w:r>
        <w:rPr>
          <w:rFonts w:hint="eastAsia"/>
        </w:rPr>
        <w:t>决策方面</w:t>
      </w:r>
      <w:bookmarkEnd w:id="35"/>
    </w:p>
    <w:p>
      <w:pPr>
        <w:spacing w:line="360" w:lineRule="auto"/>
        <w:ind w:firstLine="640" w:firstLineChars="200"/>
        <w:rPr>
          <w:rFonts w:eastAsia="仿宋_GB2312"/>
          <w:sz w:val="32"/>
        </w:rPr>
      </w:pPr>
      <w:r>
        <w:rPr>
          <w:rFonts w:hint="eastAsia" w:eastAsia="仿宋_GB2312"/>
          <w:sz w:val="32"/>
        </w:rPr>
        <w:t>（1）缺少针对修订工作整体的规划或计划，虽然《北京市中药饮片炮制规范修订工作实施方案》中有关于“用3到5年的时间，全面提升北京市中药饮片标准水平，制定科学、合理的中药材、中药饮片质量标准，在2022年底前颁布实施新版《北京市中药饮片炮制规范》”的描述，但未见年度任务分解计划，故项目的计划性呈现不足。</w:t>
      </w:r>
    </w:p>
    <w:p>
      <w:pPr>
        <w:spacing w:line="360" w:lineRule="auto"/>
        <w:ind w:firstLine="640" w:firstLineChars="200"/>
        <w:rPr>
          <w:rFonts w:eastAsia="仿宋_GB2312"/>
          <w:sz w:val="32"/>
        </w:rPr>
      </w:pPr>
      <w:r>
        <w:rPr>
          <w:rFonts w:hint="eastAsia" w:eastAsia="仿宋_GB2312"/>
          <w:sz w:val="32"/>
        </w:rPr>
        <w:t>（</w:t>
      </w:r>
      <w:r>
        <w:rPr>
          <w:rFonts w:eastAsia="仿宋_GB2312"/>
          <w:sz w:val="32"/>
        </w:rPr>
        <w:t>2</w:t>
      </w:r>
      <w:r>
        <w:rPr>
          <w:rFonts w:hint="eastAsia" w:eastAsia="仿宋_GB2312"/>
          <w:sz w:val="32"/>
        </w:rPr>
        <w:t>）预算编制细化不足，依据不够</w:t>
      </w:r>
      <w:r>
        <w:rPr>
          <w:rFonts w:hint="eastAsia" w:eastAsia="仿宋_GB2312"/>
          <w:sz w:val="32"/>
          <w:lang w:val="en-US" w:eastAsia="zh-Hans"/>
        </w:rPr>
        <w:t>充</w:t>
      </w:r>
      <w:bookmarkStart w:id="45" w:name="_GoBack"/>
      <w:bookmarkEnd w:id="45"/>
      <w:r>
        <w:rPr>
          <w:rFonts w:hint="eastAsia" w:eastAsia="仿宋_GB2312"/>
          <w:sz w:val="32"/>
        </w:rPr>
        <w:t>分。预算按照委托业务费、材料费和咨询费三项经济科目支出，在申报中显示为120个中药饮片品种的修订工作，按平均每个品种3.60万元测算，5个中药标准物质标定，按平均每个品种7.00万元测算，5个基源复杂品种分子生物学技术研究，按平均每个品种5.80万元测算，与支出经济分类不一致，缺少相关说明。同时，个别明细项标准依据不尽清晰，如产地考察2.95万元，因未明确考察地点，导致差旅费标准的确定依据不清晰；再如稳定性研究2.3</w:t>
      </w:r>
      <w:r>
        <w:rPr>
          <w:rFonts w:eastAsia="仿宋_GB2312"/>
          <w:sz w:val="32"/>
        </w:rPr>
        <w:t>0</w:t>
      </w:r>
      <w:r>
        <w:rPr>
          <w:rFonts w:hint="eastAsia" w:eastAsia="仿宋_GB2312"/>
          <w:sz w:val="32"/>
        </w:rPr>
        <w:t>万缺少测算依据。确定产出数量依据不够充分，2021年进行120个中药饮片品种的修订和北京市中药标准物质标定5个品种的数量决策依据体现不充分。对前两年的项目实施基础和产出的总结不够充分，难以判断整体工作的完成度。</w:t>
      </w:r>
    </w:p>
    <w:p>
      <w:pPr>
        <w:spacing w:line="360" w:lineRule="auto"/>
        <w:ind w:firstLine="640" w:firstLineChars="200"/>
        <w:rPr>
          <w:rFonts w:eastAsia="仿宋_GB2312"/>
          <w:sz w:val="32"/>
        </w:rPr>
      </w:pPr>
      <w:r>
        <w:rPr>
          <w:rFonts w:hint="eastAsia" w:eastAsia="仿宋_GB2312"/>
          <w:sz w:val="32"/>
        </w:rPr>
        <w:t>（</w:t>
      </w:r>
      <w:r>
        <w:rPr>
          <w:rFonts w:eastAsia="仿宋_GB2312"/>
          <w:sz w:val="32"/>
        </w:rPr>
        <w:t>3</w:t>
      </w:r>
      <w:r>
        <w:rPr>
          <w:rFonts w:hint="eastAsia" w:eastAsia="仿宋_GB2312"/>
          <w:sz w:val="32"/>
        </w:rPr>
        <w:t>）绩效目标填制不规范。从填报绩效目标看,缺少对具体产出数量的质量标准及要求，缺少对项目取得的社会效益及可持续指标的确定，没有对满意度对象进行确定，无法根据详细的绩效指标来衡量本项目的实施情况。项目申报书包含5个基源复杂品种分子生物学技术研究工作，但设定年度的绩效目标中未包含此项内容。</w:t>
      </w:r>
    </w:p>
    <w:p>
      <w:pPr>
        <w:pStyle w:val="4"/>
        <w:spacing w:line="360" w:lineRule="auto"/>
        <w:ind w:firstLine="640"/>
      </w:pPr>
      <w:bookmarkStart w:id="36" w:name="_Toc103776500"/>
      <w:r>
        <w:rPr>
          <w:rFonts w:hint="eastAsia"/>
        </w:rPr>
        <w:t>2</w:t>
      </w:r>
      <w:r>
        <w:t>.</w:t>
      </w:r>
      <w:r>
        <w:rPr>
          <w:rFonts w:hint="eastAsia"/>
        </w:rPr>
        <w:t>过程方面</w:t>
      </w:r>
      <w:bookmarkEnd w:id="36"/>
    </w:p>
    <w:p>
      <w:pPr>
        <w:spacing w:line="360" w:lineRule="auto"/>
        <w:ind w:firstLine="640" w:firstLineChars="200"/>
        <w:rPr>
          <w:rFonts w:eastAsia="仿宋_GB2312"/>
          <w:sz w:val="32"/>
        </w:rPr>
      </w:pPr>
      <w:r>
        <w:rPr>
          <w:rFonts w:hint="eastAsia" w:eastAsia="仿宋_GB2312"/>
          <w:sz w:val="32"/>
        </w:rPr>
        <w:t>（1）实施方案不够完善，比较偏重于预算，对于项目的实施基础、工作小组内外部专家团队具体人员及职责分工、组织实施方式和进度安排、成本控制措施、过程监督措施、组织保障和制度保障及风险防控措施等方面的内容比较欠缺。2021年的工作任务是“持续做好品种遴选、研究工作过程组织和指导、品种标准草案复核、品种标准公示等工作”，未见对该过程相关责任主体的要求和程序之间的衔接关系。</w:t>
      </w:r>
    </w:p>
    <w:p>
      <w:pPr>
        <w:spacing w:line="360" w:lineRule="auto"/>
        <w:ind w:firstLine="640" w:firstLineChars="200"/>
        <w:rPr>
          <w:rFonts w:eastAsia="仿宋_GB2312"/>
          <w:sz w:val="32"/>
        </w:rPr>
      </w:pPr>
      <w:r>
        <w:rPr>
          <w:rFonts w:hint="eastAsia" w:eastAsia="仿宋_GB2312"/>
          <w:sz w:val="32"/>
        </w:rPr>
        <w:t>（</w:t>
      </w:r>
      <w:r>
        <w:rPr>
          <w:rFonts w:eastAsia="仿宋_GB2312"/>
          <w:sz w:val="32"/>
        </w:rPr>
        <w:t>2</w:t>
      </w:r>
      <w:r>
        <w:rPr>
          <w:rFonts w:hint="eastAsia" w:eastAsia="仿宋_GB2312"/>
          <w:sz w:val="32"/>
        </w:rPr>
        <w:t>）制度不够健全，单位重要的支出管理包含在财务管理制度之中不够合理，应该制定专门的支出管理制度，而且缺少预算管理制度、专项资金管理制度、项目管理制度、采购管理制度、材料和低值易耗品管理办法等。合同管理制度修订不够及时，合同管理制度的依据还是按照《中华人民共和国合同法》，但是该法已经在2021年初民法典颁布实施后作废，但是项目单位没有及时修订。</w:t>
      </w:r>
    </w:p>
    <w:p>
      <w:pPr>
        <w:spacing w:line="360" w:lineRule="auto"/>
        <w:ind w:firstLine="640" w:firstLineChars="200"/>
        <w:rPr>
          <w:rFonts w:eastAsia="仿宋_GB2312"/>
          <w:sz w:val="32"/>
        </w:rPr>
      </w:pPr>
      <w:r>
        <w:rPr>
          <w:rFonts w:hint="eastAsia" w:eastAsia="仿宋_GB2312"/>
          <w:sz w:val="32"/>
        </w:rPr>
        <w:t>（</w:t>
      </w:r>
      <w:r>
        <w:rPr>
          <w:rFonts w:eastAsia="仿宋_GB2312"/>
          <w:sz w:val="32"/>
        </w:rPr>
        <w:t>3</w:t>
      </w:r>
      <w:r>
        <w:rPr>
          <w:rFonts w:hint="eastAsia" w:eastAsia="仿宋_GB2312"/>
          <w:sz w:val="32"/>
        </w:rPr>
        <w:t xml:space="preserve">）项目管理不够规范，工作过程相关内容反映资料不够充分，缺少本单位在项目实施过程中的监督管控和抽查等记录资料，项目管理人员没有完全对项目实施过程中的资料进行收集，建立项目档案。 </w:t>
      </w:r>
    </w:p>
    <w:p>
      <w:pPr>
        <w:spacing w:line="360" w:lineRule="auto"/>
        <w:ind w:firstLine="640" w:firstLineChars="200"/>
        <w:rPr>
          <w:rFonts w:eastAsia="仿宋_GB2312"/>
          <w:sz w:val="32"/>
        </w:rPr>
      </w:pPr>
      <w:r>
        <w:rPr>
          <w:rFonts w:hint="eastAsia" w:eastAsia="仿宋_GB2312"/>
          <w:sz w:val="32"/>
        </w:rPr>
        <w:t>（</w:t>
      </w:r>
      <w:r>
        <w:rPr>
          <w:rFonts w:eastAsia="仿宋_GB2312"/>
          <w:sz w:val="32"/>
        </w:rPr>
        <w:t>4</w:t>
      </w:r>
      <w:r>
        <w:rPr>
          <w:rFonts w:hint="eastAsia" w:eastAsia="仿宋_GB2312"/>
          <w:sz w:val="32"/>
        </w:rPr>
        <w:t>）合同管理不够规范。从合同签订时间看，部分订货合同签订时间为2020年12月和 2021年1月，早于预算批复时间；还有部分支出请款日期早于合同签订日期，如与北京中研同仁堂医药研发有限公司于2021年6月29日签订合同，而报销单显示请款日期2021年6月27日。合同制定及执行还存在一定的不足，合同条款采用了一次性付款方式不够合理，如2021年6月29日与北京康美制药有限公司签订技术服务合同，委托开展14个中药饮片炮制规范修订的研究起草和生产验证工作，约定总价款25.20万元于协议签订并收到发票后15个工作日内支付。此外均没有履行验收后付款的手续。</w:t>
      </w:r>
    </w:p>
    <w:p>
      <w:pPr>
        <w:spacing w:line="360" w:lineRule="auto"/>
        <w:ind w:firstLine="640" w:firstLineChars="200"/>
        <w:rPr>
          <w:rFonts w:eastAsia="仿宋_GB2312"/>
          <w:sz w:val="32"/>
        </w:rPr>
      </w:pPr>
      <w:r>
        <w:rPr>
          <w:rFonts w:hint="eastAsia" w:eastAsia="仿宋_GB2312"/>
          <w:sz w:val="32"/>
        </w:rPr>
        <w:t>（</w:t>
      </w:r>
      <w:r>
        <w:rPr>
          <w:rFonts w:eastAsia="仿宋_GB2312"/>
          <w:sz w:val="32"/>
        </w:rPr>
        <w:t>5</w:t>
      </w:r>
      <w:r>
        <w:rPr>
          <w:rFonts w:hint="eastAsia" w:eastAsia="仿宋_GB2312"/>
          <w:sz w:val="32"/>
        </w:rPr>
        <w:t>）采购管理不够规范，分子鉴定和标定物研究及材料采购的合同方较多，服务商选择的流程资料不够完整，如2021年12月第0607凭证，支付试剂等材料款</w:t>
      </w:r>
      <w:r>
        <w:rPr>
          <w:rFonts w:eastAsia="仿宋_GB2312"/>
          <w:sz w:val="32"/>
        </w:rPr>
        <w:t>25.99</w:t>
      </w:r>
      <w:r>
        <w:rPr>
          <w:rFonts w:hint="eastAsia" w:eastAsia="仿宋_GB2312"/>
          <w:sz w:val="32"/>
        </w:rPr>
        <w:t>万元，提供了向院党委申请《关于与国药集团化学试剂北京有限公司签订购买有关试剂等耗材合同的请示》及北京北亿源科技有限公司报价单，未见其他两家报价资料。</w:t>
      </w:r>
    </w:p>
    <w:p>
      <w:pPr>
        <w:pStyle w:val="4"/>
        <w:spacing w:line="360" w:lineRule="auto"/>
        <w:ind w:firstLine="640"/>
      </w:pPr>
      <w:bookmarkStart w:id="37" w:name="_Toc103776501"/>
      <w:r>
        <w:rPr>
          <w:rFonts w:hint="eastAsia"/>
        </w:rPr>
        <w:t>3</w:t>
      </w:r>
      <w:r>
        <w:t>.</w:t>
      </w:r>
      <w:r>
        <w:rPr>
          <w:rFonts w:hint="eastAsia"/>
        </w:rPr>
        <w:t>产出方面</w:t>
      </w:r>
      <w:bookmarkEnd w:id="37"/>
    </w:p>
    <w:p>
      <w:pPr>
        <w:spacing w:line="360" w:lineRule="auto"/>
        <w:ind w:firstLine="640" w:firstLineChars="200"/>
        <w:rPr>
          <w:rFonts w:eastAsia="仿宋_GB2312"/>
          <w:sz w:val="32"/>
        </w:rPr>
      </w:pPr>
      <w:r>
        <w:rPr>
          <w:rFonts w:hint="eastAsia" w:eastAsia="仿宋_GB2312"/>
          <w:sz w:val="32"/>
        </w:rPr>
        <w:t>产出呈现不够充分。因为方案对于具体的验收流程和要求没有确定，从合同看，合同规定验收后付款，但是验收标准是什么没有说清楚，所以产出的成果体现不够充分。</w:t>
      </w:r>
    </w:p>
    <w:p>
      <w:pPr>
        <w:pStyle w:val="4"/>
        <w:spacing w:line="360" w:lineRule="auto"/>
        <w:ind w:firstLine="640"/>
      </w:pPr>
      <w:bookmarkStart w:id="38" w:name="_Toc103776502"/>
      <w:r>
        <w:rPr>
          <w:rFonts w:hint="eastAsia"/>
        </w:rPr>
        <w:t>4</w:t>
      </w:r>
      <w:r>
        <w:t>.</w:t>
      </w:r>
      <w:r>
        <w:rPr>
          <w:rFonts w:hint="eastAsia"/>
        </w:rPr>
        <w:t>效益方面</w:t>
      </w:r>
      <w:bookmarkEnd w:id="38"/>
    </w:p>
    <w:p>
      <w:pPr>
        <w:spacing w:line="360" w:lineRule="auto"/>
        <w:ind w:firstLine="640" w:firstLineChars="200"/>
        <w:rPr>
          <w:rFonts w:eastAsia="仿宋_GB2312"/>
          <w:sz w:val="32"/>
        </w:rPr>
      </w:pPr>
      <w:r>
        <w:rPr>
          <w:rFonts w:hint="eastAsia" w:eastAsia="仿宋_GB2312"/>
          <w:sz w:val="32"/>
        </w:rPr>
        <w:t>效益体现不够充分。满意度调查不充分，缺少针对参与企业的调查。从项目绩效看，因为该规范还没有形成最后的规范条款，所以该项目取得的社会效益还未能充分体现。</w:t>
      </w:r>
    </w:p>
    <w:p>
      <w:pPr>
        <w:pStyle w:val="2"/>
        <w:spacing w:line="360" w:lineRule="auto"/>
        <w:ind w:firstLine="640"/>
      </w:pPr>
      <w:bookmarkStart w:id="39" w:name="_Toc103776503"/>
      <w:r>
        <w:rPr>
          <w:rFonts w:hint="eastAsia"/>
        </w:rPr>
        <w:t>六、有关建议</w:t>
      </w:r>
      <w:bookmarkEnd w:id="39"/>
    </w:p>
    <w:p>
      <w:pPr>
        <w:pStyle w:val="3"/>
        <w:spacing w:before="312" w:line="360" w:lineRule="auto"/>
        <w:ind w:firstLine="640"/>
      </w:pPr>
      <w:bookmarkStart w:id="40" w:name="_Toc103776504"/>
      <w:r>
        <w:rPr>
          <w:rFonts w:hint="eastAsia"/>
        </w:rPr>
        <w:t>（一）决策方面</w:t>
      </w:r>
      <w:bookmarkEnd w:id="40"/>
    </w:p>
    <w:p>
      <w:pPr>
        <w:spacing w:line="360" w:lineRule="auto"/>
        <w:ind w:firstLine="640" w:firstLineChars="200"/>
        <w:rPr>
          <w:rFonts w:eastAsia="仿宋_GB2312"/>
          <w:sz w:val="32"/>
        </w:rPr>
      </w:pPr>
      <w:r>
        <w:rPr>
          <w:rFonts w:hint="eastAsia" w:eastAsia="仿宋_GB2312"/>
          <w:sz w:val="32"/>
        </w:rPr>
        <w:t>1. 对于实施周期较长的项目，应加强项目的计划性，建立年度任务分解计划，提高决策的科学性。</w:t>
      </w:r>
    </w:p>
    <w:p>
      <w:pPr>
        <w:spacing w:line="360" w:lineRule="auto"/>
        <w:ind w:firstLine="640" w:firstLineChars="200"/>
        <w:rPr>
          <w:rFonts w:eastAsia="仿宋_GB2312"/>
          <w:sz w:val="32"/>
        </w:rPr>
      </w:pPr>
      <w:r>
        <w:rPr>
          <w:rFonts w:eastAsia="仿宋_GB2312"/>
          <w:sz w:val="32"/>
        </w:rPr>
        <w:t>2</w:t>
      </w:r>
      <w:r>
        <w:rPr>
          <w:rFonts w:hint="eastAsia" w:eastAsia="仿宋_GB2312"/>
          <w:sz w:val="32"/>
        </w:rPr>
        <w:t>.细化预算的编制，增强预算编制的合理性，明确编制测算的依据和标准，提高预算编制的精细化与准确性。将需要按照财政预算编制的口径逐一明确。</w:t>
      </w:r>
    </w:p>
    <w:p>
      <w:pPr>
        <w:spacing w:line="360" w:lineRule="auto"/>
        <w:ind w:firstLine="640" w:firstLineChars="200"/>
        <w:rPr>
          <w:rFonts w:eastAsia="仿宋_GB2312"/>
          <w:sz w:val="32"/>
        </w:rPr>
      </w:pPr>
      <w:r>
        <w:rPr>
          <w:rFonts w:eastAsia="仿宋_GB2312"/>
          <w:sz w:val="32"/>
        </w:rPr>
        <w:t>3</w:t>
      </w:r>
      <w:r>
        <w:rPr>
          <w:rFonts w:hint="eastAsia" w:eastAsia="仿宋_GB2312"/>
          <w:sz w:val="32"/>
        </w:rPr>
        <w:t>.详细填写绩效目标申报表，保证目标的明确性、完整性、合理性、细化量化及可考量性，提高绩效目标的导向作用。按照工作内容和预算编制及实施方案要求，按照一致性原则确定项目的产出，包括产出的数量及指标值，质量要求及指标值，对于成本的控制要求、进度要求等；确定项目的效益指标，明确项目可以发挥的社会效益，项目的可持续影响等指标；确定项目的受益群体及他们的满意度值。</w:t>
      </w:r>
    </w:p>
    <w:p>
      <w:pPr>
        <w:pStyle w:val="3"/>
        <w:spacing w:before="312" w:line="360" w:lineRule="auto"/>
        <w:ind w:firstLine="640"/>
      </w:pPr>
      <w:bookmarkStart w:id="41" w:name="_Toc103776505"/>
      <w:r>
        <w:rPr>
          <w:rFonts w:hint="eastAsia"/>
        </w:rPr>
        <w:t>（二）过程方面</w:t>
      </w:r>
      <w:bookmarkEnd w:id="41"/>
    </w:p>
    <w:p>
      <w:pPr>
        <w:spacing w:line="360" w:lineRule="auto"/>
        <w:ind w:firstLine="640" w:firstLineChars="200"/>
        <w:rPr>
          <w:rFonts w:eastAsia="仿宋_GB2312"/>
          <w:sz w:val="32"/>
        </w:rPr>
      </w:pPr>
      <w:r>
        <w:rPr>
          <w:rFonts w:eastAsia="仿宋_GB2312"/>
          <w:sz w:val="32"/>
        </w:rPr>
        <w:t>1.</w:t>
      </w:r>
      <w:r>
        <w:rPr>
          <w:rFonts w:hint="eastAsia" w:eastAsia="仿宋_GB2312"/>
          <w:sz w:val="32"/>
        </w:rPr>
        <w:t>完善项目实施方案，于项目实施前合理设计并制定项目实施方案，重视主体责任的落实，增强项目实施方案的有效性与可操作性，提高实施方案的指导性和约束性。实施方案应该具体明确，充实项目的实施基础、组织实施方式和进度安排、采购方案、验收方案、组织和制度保障和风险防控及应急预案措施等方面，增强指导意义和实操性。如果项目业务流程专业性较强，需要制定工作方案作为实施方案的补充。</w:t>
      </w:r>
    </w:p>
    <w:p>
      <w:pPr>
        <w:spacing w:line="360" w:lineRule="auto"/>
        <w:ind w:firstLine="640" w:firstLineChars="200"/>
        <w:rPr>
          <w:rFonts w:eastAsia="仿宋_GB2312"/>
          <w:sz w:val="32"/>
        </w:rPr>
      </w:pPr>
      <w:r>
        <w:rPr>
          <w:rFonts w:hint="eastAsia" w:eastAsia="仿宋_GB2312"/>
          <w:sz w:val="32"/>
        </w:rPr>
        <w:t>2</w:t>
      </w:r>
      <w:r>
        <w:rPr>
          <w:rFonts w:eastAsia="仿宋_GB2312"/>
          <w:sz w:val="32"/>
        </w:rPr>
        <w:t>.</w:t>
      </w:r>
      <w:r>
        <w:rPr>
          <w:rFonts w:hint="eastAsia" w:eastAsia="仿宋_GB2312"/>
          <w:sz w:val="32"/>
        </w:rPr>
        <w:t>建立健全规章制度，对于财务需要和业务需要的制度应该单独制定，建立预算管理制度、专项资金管理制度、项目管理制度、采购管理制度、材料和低值易耗品管理办法，及时修订内控手册、合同管理制度，为项目提供完善的制度保障。</w:t>
      </w:r>
    </w:p>
    <w:p>
      <w:pPr>
        <w:spacing w:line="360" w:lineRule="auto"/>
        <w:ind w:firstLine="640" w:firstLineChars="200"/>
        <w:rPr>
          <w:rFonts w:eastAsia="仿宋_GB2312"/>
          <w:sz w:val="32"/>
        </w:rPr>
      </w:pPr>
      <w:r>
        <w:rPr>
          <w:rFonts w:hint="eastAsia" w:eastAsia="仿宋_GB2312"/>
          <w:sz w:val="32"/>
        </w:rPr>
        <w:t>3</w:t>
      </w:r>
      <w:r>
        <w:rPr>
          <w:rFonts w:eastAsia="仿宋_GB2312"/>
          <w:sz w:val="32"/>
        </w:rPr>
        <w:t>.</w:t>
      </w:r>
      <w:r>
        <w:rPr>
          <w:rFonts w:hint="eastAsia"/>
        </w:rPr>
        <w:t xml:space="preserve"> </w:t>
      </w:r>
      <w:r>
        <w:rPr>
          <w:rFonts w:hint="eastAsia" w:eastAsia="仿宋_GB2312"/>
          <w:sz w:val="32"/>
        </w:rPr>
        <w:t>加强项目的过程管理，包括采购的规范程度及采购流程资料的收集管理、合同签订及执行的规范管理。完善本单位履职的监督管控和检查等记录的留痕资料。按照预算管理要求，加大对预算执行全过程的监督管理力度，加强对项目实施的过程监督与验收，确保财政专项资金的规范和有效，保障项目实施质量。</w:t>
      </w:r>
    </w:p>
    <w:p>
      <w:pPr>
        <w:spacing w:line="360" w:lineRule="auto"/>
        <w:ind w:firstLine="640" w:firstLineChars="200"/>
        <w:rPr>
          <w:rFonts w:eastAsia="仿宋_GB2312"/>
          <w:sz w:val="32"/>
        </w:rPr>
      </w:pPr>
      <w:r>
        <w:rPr>
          <w:rFonts w:hint="eastAsia" w:eastAsia="仿宋_GB2312"/>
          <w:sz w:val="32"/>
        </w:rPr>
        <w:t>4</w:t>
      </w:r>
      <w:r>
        <w:rPr>
          <w:rFonts w:eastAsia="仿宋_GB2312"/>
          <w:sz w:val="32"/>
        </w:rPr>
        <w:t>.</w:t>
      </w:r>
      <w:r>
        <w:rPr>
          <w:rFonts w:hint="eastAsia"/>
        </w:rPr>
        <w:t xml:space="preserve"> </w:t>
      </w:r>
      <w:r>
        <w:rPr>
          <w:rFonts w:hint="eastAsia" w:eastAsia="仿宋_GB2312"/>
          <w:sz w:val="32"/>
        </w:rPr>
        <w:t>加强合同管理，提高合同签订的规范性与严谨性，合同要素应齐全，明确资金付款与验收挂钩，以规避合同执行中的资金使用风险，维护单位利益。</w:t>
      </w:r>
    </w:p>
    <w:p>
      <w:pPr>
        <w:spacing w:line="360" w:lineRule="auto"/>
        <w:ind w:firstLine="640" w:firstLineChars="200"/>
        <w:rPr>
          <w:rFonts w:eastAsia="仿宋_GB2312"/>
          <w:sz w:val="32"/>
        </w:rPr>
      </w:pPr>
      <w:r>
        <w:rPr>
          <w:rFonts w:hint="eastAsia" w:eastAsia="仿宋_GB2312"/>
          <w:sz w:val="32"/>
        </w:rPr>
        <w:t>5</w:t>
      </w:r>
      <w:r>
        <w:rPr>
          <w:rFonts w:eastAsia="仿宋_GB2312"/>
          <w:sz w:val="32"/>
        </w:rPr>
        <w:t>.</w:t>
      </w:r>
      <w:r>
        <w:rPr>
          <w:rFonts w:hint="eastAsia"/>
        </w:rPr>
        <w:t xml:space="preserve"> </w:t>
      </w:r>
      <w:r>
        <w:rPr>
          <w:rFonts w:hint="eastAsia" w:eastAsia="仿宋_GB2312"/>
          <w:sz w:val="32"/>
        </w:rPr>
        <w:t>加强采购管理，严格执行上级及单位内部有关政府采购的制度，及时收集并归集采购资料，以体现采购的公平、公开、公正及成本效益原则。按照项目单位特点，建立材料采购及入库管理制度，明确存货及低值易耗品的划分，规范出入库管理，明确已入库未使用的材料情况。</w:t>
      </w:r>
    </w:p>
    <w:p>
      <w:pPr>
        <w:pStyle w:val="3"/>
        <w:spacing w:before="312" w:line="360" w:lineRule="auto"/>
        <w:ind w:firstLine="640"/>
      </w:pPr>
      <w:bookmarkStart w:id="42" w:name="_Toc103776506"/>
      <w:r>
        <w:rPr>
          <w:rFonts w:hint="eastAsia"/>
        </w:rPr>
        <w:t>（三）产出方面</w:t>
      </w:r>
      <w:bookmarkEnd w:id="42"/>
    </w:p>
    <w:p>
      <w:pPr>
        <w:spacing w:line="360" w:lineRule="auto"/>
        <w:ind w:firstLine="640" w:firstLineChars="200"/>
        <w:rPr>
          <w:rFonts w:eastAsia="仿宋_GB2312"/>
          <w:sz w:val="32"/>
        </w:rPr>
      </w:pPr>
      <w:r>
        <w:rPr>
          <w:rFonts w:hint="eastAsia" w:eastAsia="仿宋_GB2312"/>
          <w:sz w:val="32"/>
        </w:rPr>
        <w:t>重视项目的绩效成果管理，加强项目绩效实现资料的归集和展示，明确产出成果的最终形式，对该项目最终取得的绩效进行跟踪。对项目效果相关数据进行分析，通过与历史数据进行对比体现财政资金投入效果，以充分体现项目的公共性。</w:t>
      </w:r>
    </w:p>
    <w:p>
      <w:pPr>
        <w:pStyle w:val="3"/>
        <w:spacing w:before="312" w:line="360" w:lineRule="auto"/>
        <w:ind w:firstLine="640"/>
      </w:pPr>
      <w:bookmarkStart w:id="43" w:name="_Toc103776507"/>
      <w:r>
        <w:rPr>
          <w:rFonts w:hint="eastAsia"/>
        </w:rPr>
        <w:t>（四）效益方面</w:t>
      </w:r>
      <w:bookmarkEnd w:id="43"/>
    </w:p>
    <w:p>
      <w:pPr>
        <w:spacing w:line="360" w:lineRule="auto"/>
        <w:ind w:firstLine="640" w:firstLineChars="200"/>
        <w:rPr>
          <w:rFonts w:eastAsia="仿宋_GB2312"/>
          <w:sz w:val="32"/>
        </w:rPr>
      </w:pPr>
      <w:r>
        <w:rPr>
          <w:rFonts w:hint="eastAsia" w:eastAsia="仿宋_GB2312"/>
          <w:sz w:val="32"/>
        </w:rPr>
        <w:t>建议充实完善能反映实施效果的资料，服务对象满意度资料中除了上级管理部门的评价，还可以补充企业及其培训人员的满意度情况，持续解决项目组织实施过程中存在的问题，增强项目的社会效益。</w:t>
      </w:r>
    </w:p>
    <w:p>
      <w:pPr>
        <w:pStyle w:val="2"/>
        <w:spacing w:line="360" w:lineRule="auto"/>
        <w:ind w:firstLine="640"/>
      </w:pPr>
      <w:bookmarkStart w:id="44" w:name="_Toc103776508"/>
      <w:r>
        <w:rPr>
          <w:rFonts w:hint="eastAsia"/>
        </w:rPr>
        <w:t>七、其他需要说明的问题</w:t>
      </w:r>
      <w:bookmarkEnd w:id="44"/>
    </w:p>
    <w:p>
      <w:pPr>
        <w:spacing w:line="360" w:lineRule="auto"/>
        <w:ind w:firstLine="640" w:firstLineChars="200"/>
        <w:rPr>
          <w:rFonts w:eastAsia="仿宋_GB2312"/>
          <w:sz w:val="32"/>
        </w:rPr>
      </w:pPr>
      <w:r>
        <w:rPr>
          <w:rFonts w:hint="eastAsia" w:eastAsia="仿宋_GB2312"/>
          <w:sz w:val="32"/>
        </w:rPr>
        <w:t>无。</w:t>
      </w:r>
    </w:p>
    <w:p>
      <w:pPr>
        <w:ind w:firstLine="640" w:firstLineChars="200"/>
        <w:rPr>
          <w:rFonts w:eastAsia="仿宋_GB2312"/>
          <w:sz w:val="32"/>
        </w:rPr>
      </w:pPr>
    </w:p>
    <w:p>
      <w:pPr>
        <w:ind w:firstLine="640" w:firstLineChars="200"/>
        <w:rPr>
          <w:rFonts w:eastAsia="仿宋_GB2312"/>
          <w:sz w:val="32"/>
        </w:rPr>
      </w:pPr>
      <w:r>
        <w:rPr>
          <w:rFonts w:hint="eastAsia" w:eastAsia="仿宋_GB2312"/>
          <w:sz w:val="32"/>
        </w:rPr>
        <w:t>附件：1</w:t>
      </w:r>
      <w:r>
        <w:rPr>
          <w:rFonts w:eastAsia="仿宋_GB2312"/>
          <w:sz w:val="32"/>
        </w:rPr>
        <w:t>.</w:t>
      </w:r>
      <w:r>
        <w:rPr>
          <w:rFonts w:hint="eastAsia" w:eastAsia="仿宋_GB2312"/>
          <w:sz w:val="32"/>
        </w:rPr>
        <w:t>北京市中药饮片炮制规范修订项目支出绩效评价评分表</w:t>
      </w:r>
    </w:p>
    <w:p>
      <w:pPr>
        <w:spacing w:line="360" w:lineRule="auto"/>
        <w:ind w:firstLine="1600" w:firstLineChars="500"/>
        <w:rPr>
          <w:rFonts w:eastAsia="仿宋_GB2312"/>
          <w:sz w:val="32"/>
        </w:rPr>
      </w:pPr>
      <w:r>
        <w:rPr>
          <w:rFonts w:hint="eastAsia" w:eastAsia="仿宋_GB2312"/>
          <w:sz w:val="32"/>
        </w:rPr>
        <w:t>2</w:t>
      </w:r>
      <w:r>
        <w:rPr>
          <w:rFonts w:eastAsia="仿宋_GB2312"/>
          <w:sz w:val="32"/>
        </w:rPr>
        <w:t>.</w:t>
      </w:r>
      <w:r>
        <w:rPr>
          <w:rFonts w:hint="eastAsia"/>
        </w:rPr>
        <w:t xml:space="preserve"> </w:t>
      </w:r>
      <w:r>
        <w:rPr>
          <w:rFonts w:hint="eastAsia" w:eastAsia="仿宋_GB2312"/>
          <w:sz w:val="32"/>
        </w:rPr>
        <w:t>北京市财政支出项目绩效评价专家意见汇总书</w:t>
      </w:r>
    </w:p>
    <w:p>
      <w:pPr>
        <w:spacing w:line="600" w:lineRule="exact"/>
        <w:ind w:firstLine="640" w:firstLineChars="200"/>
        <w:rPr>
          <w:rFonts w:eastAsia="仿宋_GB2312"/>
          <w:sz w:val="32"/>
        </w:rPr>
      </w:pPr>
    </w:p>
    <w:p>
      <w:pPr>
        <w:spacing w:line="600" w:lineRule="exact"/>
        <w:ind w:firstLine="640" w:firstLineChars="200"/>
        <w:rPr>
          <w:rFonts w:eastAsia="仿宋_GB2312"/>
          <w:sz w:val="32"/>
        </w:rPr>
      </w:pPr>
    </w:p>
    <w:p>
      <w:pPr>
        <w:spacing w:line="600" w:lineRule="exact"/>
        <w:ind w:firstLine="640" w:firstLineChars="200"/>
        <w:rPr>
          <w:rFonts w:eastAsia="仿宋_GB2312"/>
          <w:sz w:val="32"/>
        </w:rPr>
      </w:pPr>
    </w:p>
    <w:p>
      <w:pPr>
        <w:spacing w:line="600" w:lineRule="exact"/>
        <w:ind w:firstLine="640" w:firstLineChars="200"/>
        <w:rPr>
          <w:rFonts w:eastAsia="仿宋_GB2312"/>
          <w:sz w:val="32"/>
        </w:rPr>
      </w:pPr>
    </w:p>
    <w:p>
      <w:pPr>
        <w:spacing w:line="600" w:lineRule="exact"/>
        <w:ind w:firstLine="640" w:firstLineChars="200"/>
        <w:rPr>
          <w:rFonts w:eastAsia="仿宋_GB2312"/>
          <w:sz w:val="32"/>
        </w:rPr>
      </w:pPr>
    </w:p>
    <w:p>
      <w:pPr>
        <w:spacing w:line="600" w:lineRule="exact"/>
        <w:ind w:firstLine="640" w:firstLineChars="200"/>
        <w:rPr>
          <w:rFonts w:eastAsia="仿宋_GB2312"/>
          <w:sz w:val="32"/>
        </w:rPr>
      </w:pPr>
    </w:p>
    <w:p>
      <w:pPr>
        <w:spacing w:line="600" w:lineRule="exact"/>
        <w:ind w:firstLine="640" w:firstLineChars="200"/>
        <w:jc w:val="right"/>
        <w:rPr>
          <w:rFonts w:eastAsia="仿宋_GB2312"/>
          <w:sz w:val="32"/>
        </w:rPr>
      </w:pPr>
      <w:r>
        <w:rPr>
          <w:rFonts w:hint="eastAsia" w:eastAsia="仿宋_GB2312"/>
          <w:sz w:val="32"/>
        </w:rPr>
        <w:t>北京市药品监督管理局</w:t>
      </w:r>
    </w:p>
    <w:p>
      <w:pPr>
        <w:spacing w:line="600" w:lineRule="exact"/>
        <w:ind w:firstLine="5440" w:firstLineChars="1700"/>
        <w:rPr>
          <w:rFonts w:eastAsia="仿宋_GB2312"/>
          <w:sz w:val="32"/>
        </w:rPr>
      </w:pPr>
      <w:r>
        <w:rPr>
          <w:rFonts w:hint="eastAsia" w:eastAsia="仿宋_GB2312"/>
          <w:sz w:val="32"/>
        </w:rPr>
        <w:t>2</w:t>
      </w:r>
      <w:r>
        <w:rPr>
          <w:rFonts w:eastAsia="仿宋_GB2312"/>
          <w:sz w:val="32"/>
        </w:rPr>
        <w:t>022</w:t>
      </w:r>
      <w:r>
        <w:rPr>
          <w:rFonts w:hint="eastAsia" w:eastAsia="仿宋_GB2312"/>
          <w:sz w:val="32"/>
        </w:rPr>
        <w:t>年5月1</w:t>
      </w:r>
      <w:r>
        <w:rPr>
          <w:rFonts w:eastAsia="仿宋_GB2312"/>
          <w:sz w:val="32"/>
        </w:rPr>
        <w:t>7</w:t>
      </w:r>
      <w:r>
        <w:rPr>
          <w:rFonts w:hint="eastAsia" w:eastAsia="仿宋_GB2312"/>
          <w:sz w:val="32"/>
        </w:rPr>
        <w:t>日</w:t>
      </w:r>
    </w:p>
    <w:p>
      <w:pPr>
        <w:spacing w:line="600" w:lineRule="exact"/>
        <w:rPr>
          <w:rFonts w:eastAsia="仿宋_GB2312"/>
          <w:sz w:val="32"/>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黑体">
    <w:altName w:val="汉仪中黑KW"/>
    <w:panose1 w:val="02010609060101010101"/>
    <w:charset w:val="86"/>
    <w:family w:val="modern"/>
    <w:pitch w:val="default"/>
    <w:sig w:usb0="00000000" w:usb1="00000000" w:usb2="00000016" w:usb3="00000000" w:csb0="00040001" w:csb1="00000000"/>
  </w:font>
  <w:font w:name="楷体">
    <w:altName w:val="汉仪楷体KW"/>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10" w:usb3="00000000" w:csb0="00040000" w:csb1="00000000"/>
  </w:font>
  <w:font w:name="Calibri Light">
    <w:altName w:val="Helvetica Neue"/>
    <w:panose1 w:val="020F0302020204030204"/>
    <w:charset w:val="00"/>
    <w:family w:val="swiss"/>
    <w:pitch w:val="default"/>
    <w:sig w:usb0="00000000" w:usb1="00000000" w:usb2="00000009" w:usb3="00000000" w:csb0="000001FF" w:csb1="00000000"/>
  </w:font>
  <w:font w:name="方正小标宋简体">
    <w:altName w:val="汉仪书宋二KW"/>
    <w:panose1 w:val="00000000000000000000"/>
    <w:charset w:val="86"/>
    <w:family w:val="auto"/>
    <w:pitch w:val="default"/>
    <w:sig w:usb0="00000000" w:usb1="00000000" w:usb2="00000000" w:usb3="00000000" w:csb0="00040000" w:csb1="00000000"/>
  </w:font>
  <w:font w:name="楷体_GB2312">
    <w:altName w:val="汉仪楷体简"/>
    <w:panose1 w:val="00000000000000000000"/>
    <w:charset w:val="86"/>
    <w:family w:val="modern"/>
    <w:pitch w:val="default"/>
    <w:sig w:usb0="00000000" w:usb1="00000000" w:usb2="00000010" w:usb3="00000000" w:csb0="00040000" w:csb1="00000000"/>
  </w:font>
  <w:font w:name="冬青黑体简体中文">
    <w:panose1 w:val="020B0300000000000000"/>
    <w:charset w:val="86"/>
    <w:family w:val="auto"/>
    <w:pitch w:val="default"/>
    <w:sig w:usb0="A00002BF" w:usb1="1ACF7CFA" w:usb2="00000016" w:usb3="00000000" w:csb0="00060007"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汉仪楷体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76404402"/>
    </w:sdtPr>
    <w:sdtContent>
      <w:p>
        <w:pPr>
          <w:pStyle w:val="6"/>
          <w:jc w:val="right"/>
        </w:pPr>
        <w:r>
          <w:fldChar w:fldCharType="begin"/>
        </w:r>
        <w:r>
          <w:instrText xml:space="preserve">PAGE   \* MERGEFORMAT</w:instrText>
        </w:r>
        <w:r>
          <w:fldChar w:fldCharType="separate"/>
        </w:r>
        <w:r>
          <w:rPr>
            <w:lang w:val="zh-CN"/>
          </w:rPr>
          <w:t>2</w:t>
        </w:r>
        <w: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F77F09F4"/>
    <w:rsid w:val="0000000F"/>
    <w:rsid w:val="00023814"/>
    <w:rsid w:val="000328C9"/>
    <w:rsid w:val="000343C7"/>
    <w:rsid w:val="000424D4"/>
    <w:rsid w:val="00052E94"/>
    <w:rsid w:val="00053E47"/>
    <w:rsid w:val="00055DE8"/>
    <w:rsid w:val="00063590"/>
    <w:rsid w:val="00065377"/>
    <w:rsid w:val="0009107A"/>
    <w:rsid w:val="00095A71"/>
    <w:rsid w:val="000B0E2F"/>
    <w:rsid w:val="000B469A"/>
    <w:rsid w:val="000D2CD4"/>
    <w:rsid w:val="000E4427"/>
    <w:rsid w:val="000E6B07"/>
    <w:rsid w:val="000F0646"/>
    <w:rsid w:val="00114BD7"/>
    <w:rsid w:val="00137F8A"/>
    <w:rsid w:val="00143DEA"/>
    <w:rsid w:val="00155827"/>
    <w:rsid w:val="00157005"/>
    <w:rsid w:val="00186E19"/>
    <w:rsid w:val="00190ED8"/>
    <w:rsid w:val="001949E7"/>
    <w:rsid w:val="001B2173"/>
    <w:rsid w:val="001B4B5A"/>
    <w:rsid w:val="001B791D"/>
    <w:rsid w:val="001D04AA"/>
    <w:rsid w:val="001E74FB"/>
    <w:rsid w:val="002015C0"/>
    <w:rsid w:val="00220711"/>
    <w:rsid w:val="00230381"/>
    <w:rsid w:val="00233658"/>
    <w:rsid w:val="00265426"/>
    <w:rsid w:val="00275012"/>
    <w:rsid w:val="00290BA3"/>
    <w:rsid w:val="00291910"/>
    <w:rsid w:val="00293ABA"/>
    <w:rsid w:val="002A30B5"/>
    <w:rsid w:val="002B4E59"/>
    <w:rsid w:val="002E001C"/>
    <w:rsid w:val="002F1DA7"/>
    <w:rsid w:val="00315707"/>
    <w:rsid w:val="00343F32"/>
    <w:rsid w:val="003526A5"/>
    <w:rsid w:val="00373DCB"/>
    <w:rsid w:val="003932BF"/>
    <w:rsid w:val="003E728B"/>
    <w:rsid w:val="003F083F"/>
    <w:rsid w:val="003F3834"/>
    <w:rsid w:val="00404C7F"/>
    <w:rsid w:val="0044487F"/>
    <w:rsid w:val="0047118A"/>
    <w:rsid w:val="0047433D"/>
    <w:rsid w:val="00487EE7"/>
    <w:rsid w:val="0049374E"/>
    <w:rsid w:val="004963D7"/>
    <w:rsid w:val="004A289C"/>
    <w:rsid w:val="004A3E11"/>
    <w:rsid w:val="004B6732"/>
    <w:rsid w:val="004C2FC7"/>
    <w:rsid w:val="004D40D6"/>
    <w:rsid w:val="004D656D"/>
    <w:rsid w:val="004E33B4"/>
    <w:rsid w:val="004E4353"/>
    <w:rsid w:val="004E6CFB"/>
    <w:rsid w:val="00514089"/>
    <w:rsid w:val="00520971"/>
    <w:rsid w:val="00521D38"/>
    <w:rsid w:val="00523422"/>
    <w:rsid w:val="00561A79"/>
    <w:rsid w:val="00562C37"/>
    <w:rsid w:val="005746CC"/>
    <w:rsid w:val="005769B8"/>
    <w:rsid w:val="00583A10"/>
    <w:rsid w:val="005A5E92"/>
    <w:rsid w:val="005C62B3"/>
    <w:rsid w:val="005D6498"/>
    <w:rsid w:val="005E4A5D"/>
    <w:rsid w:val="005F0291"/>
    <w:rsid w:val="005F1176"/>
    <w:rsid w:val="00601C7C"/>
    <w:rsid w:val="00610EEC"/>
    <w:rsid w:val="00615F34"/>
    <w:rsid w:val="00617859"/>
    <w:rsid w:val="006268DD"/>
    <w:rsid w:val="00642A2F"/>
    <w:rsid w:val="0065243F"/>
    <w:rsid w:val="006703A4"/>
    <w:rsid w:val="006725F6"/>
    <w:rsid w:val="006835EF"/>
    <w:rsid w:val="00687ABB"/>
    <w:rsid w:val="00695071"/>
    <w:rsid w:val="006A5559"/>
    <w:rsid w:val="006B6A3A"/>
    <w:rsid w:val="006D77B7"/>
    <w:rsid w:val="006E4C7A"/>
    <w:rsid w:val="007046A2"/>
    <w:rsid w:val="00704AF3"/>
    <w:rsid w:val="00753343"/>
    <w:rsid w:val="00757E2C"/>
    <w:rsid w:val="00757FE9"/>
    <w:rsid w:val="00791245"/>
    <w:rsid w:val="00791F7C"/>
    <w:rsid w:val="007A74B1"/>
    <w:rsid w:val="007A78B8"/>
    <w:rsid w:val="007E44D3"/>
    <w:rsid w:val="007E6D8B"/>
    <w:rsid w:val="0080005C"/>
    <w:rsid w:val="008037B8"/>
    <w:rsid w:val="008229EB"/>
    <w:rsid w:val="008425F5"/>
    <w:rsid w:val="0089139A"/>
    <w:rsid w:val="008976A6"/>
    <w:rsid w:val="008B0084"/>
    <w:rsid w:val="008C174F"/>
    <w:rsid w:val="008C1E67"/>
    <w:rsid w:val="008D2FB9"/>
    <w:rsid w:val="008E40FB"/>
    <w:rsid w:val="008F2677"/>
    <w:rsid w:val="00913141"/>
    <w:rsid w:val="0092734F"/>
    <w:rsid w:val="00934CD6"/>
    <w:rsid w:val="00953960"/>
    <w:rsid w:val="00965171"/>
    <w:rsid w:val="0096578F"/>
    <w:rsid w:val="009759F8"/>
    <w:rsid w:val="00977175"/>
    <w:rsid w:val="009A4F18"/>
    <w:rsid w:val="009C3BDB"/>
    <w:rsid w:val="009D3434"/>
    <w:rsid w:val="009E32B8"/>
    <w:rsid w:val="00A12D9C"/>
    <w:rsid w:val="00A24A22"/>
    <w:rsid w:val="00A358D0"/>
    <w:rsid w:val="00A4057C"/>
    <w:rsid w:val="00A423B0"/>
    <w:rsid w:val="00A47B59"/>
    <w:rsid w:val="00A630C0"/>
    <w:rsid w:val="00A81D90"/>
    <w:rsid w:val="00A9008D"/>
    <w:rsid w:val="00A979FA"/>
    <w:rsid w:val="00AA65B2"/>
    <w:rsid w:val="00AB42B3"/>
    <w:rsid w:val="00AB44E7"/>
    <w:rsid w:val="00AD0C47"/>
    <w:rsid w:val="00AD7282"/>
    <w:rsid w:val="00B14070"/>
    <w:rsid w:val="00B16589"/>
    <w:rsid w:val="00B22EDA"/>
    <w:rsid w:val="00B42920"/>
    <w:rsid w:val="00B60109"/>
    <w:rsid w:val="00B60704"/>
    <w:rsid w:val="00B707E0"/>
    <w:rsid w:val="00B94C6B"/>
    <w:rsid w:val="00BA1A6B"/>
    <w:rsid w:val="00BA5F4D"/>
    <w:rsid w:val="00C01346"/>
    <w:rsid w:val="00C04CBF"/>
    <w:rsid w:val="00C2462E"/>
    <w:rsid w:val="00C434E6"/>
    <w:rsid w:val="00C66009"/>
    <w:rsid w:val="00C7432F"/>
    <w:rsid w:val="00CA4794"/>
    <w:rsid w:val="00CB10E1"/>
    <w:rsid w:val="00CB5AE4"/>
    <w:rsid w:val="00CC5353"/>
    <w:rsid w:val="00CD7E6A"/>
    <w:rsid w:val="00CF0523"/>
    <w:rsid w:val="00CF213F"/>
    <w:rsid w:val="00CF4312"/>
    <w:rsid w:val="00D234F8"/>
    <w:rsid w:val="00D31C9E"/>
    <w:rsid w:val="00D471D3"/>
    <w:rsid w:val="00D61CE4"/>
    <w:rsid w:val="00D70B33"/>
    <w:rsid w:val="00D83A6B"/>
    <w:rsid w:val="00D9082C"/>
    <w:rsid w:val="00DA31DD"/>
    <w:rsid w:val="00DB4F03"/>
    <w:rsid w:val="00DD01B4"/>
    <w:rsid w:val="00DD4065"/>
    <w:rsid w:val="00DD6FB3"/>
    <w:rsid w:val="00DD7E31"/>
    <w:rsid w:val="00DF65AF"/>
    <w:rsid w:val="00E0166D"/>
    <w:rsid w:val="00E03E3E"/>
    <w:rsid w:val="00E1589F"/>
    <w:rsid w:val="00E326F9"/>
    <w:rsid w:val="00E37F2A"/>
    <w:rsid w:val="00E4068E"/>
    <w:rsid w:val="00E51B5F"/>
    <w:rsid w:val="00E54E97"/>
    <w:rsid w:val="00E5713D"/>
    <w:rsid w:val="00E61AF9"/>
    <w:rsid w:val="00E7478E"/>
    <w:rsid w:val="00E841EC"/>
    <w:rsid w:val="00E9307B"/>
    <w:rsid w:val="00E951A4"/>
    <w:rsid w:val="00EB5F92"/>
    <w:rsid w:val="00ED7B68"/>
    <w:rsid w:val="00EE12D1"/>
    <w:rsid w:val="00F07F9F"/>
    <w:rsid w:val="00F11B84"/>
    <w:rsid w:val="00F20C2B"/>
    <w:rsid w:val="00F268E8"/>
    <w:rsid w:val="00F31A08"/>
    <w:rsid w:val="00F45D2F"/>
    <w:rsid w:val="00F72988"/>
    <w:rsid w:val="00F81450"/>
    <w:rsid w:val="00F870DC"/>
    <w:rsid w:val="00F94216"/>
    <w:rsid w:val="00FD3792"/>
    <w:rsid w:val="00FD6DD7"/>
    <w:rsid w:val="00FF5C19"/>
    <w:rsid w:val="37173543"/>
    <w:rsid w:val="3FF76880"/>
    <w:rsid w:val="7AB7FF50"/>
    <w:rsid w:val="7BFEB0DB"/>
    <w:rsid w:val="7F5F0542"/>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spacing w:line="578" w:lineRule="auto"/>
      <w:ind w:firstLine="200" w:firstLineChars="200"/>
      <w:outlineLvl w:val="0"/>
    </w:pPr>
    <w:rPr>
      <w:rFonts w:eastAsia="黑体"/>
      <w:bCs/>
      <w:kern w:val="44"/>
      <w:sz w:val="32"/>
      <w:szCs w:val="44"/>
    </w:rPr>
  </w:style>
  <w:style w:type="paragraph" w:styleId="3">
    <w:name w:val="heading 2"/>
    <w:basedOn w:val="1"/>
    <w:next w:val="1"/>
    <w:qFormat/>
    <w:uiPriority w:val="0"/>
    <w:pPr>
      <w:keepNext/>
      <w:keepLines/>
      <w:spacing w:line="600" w:lineRule="exact"/>
      <w:ind w:firstLine="200" w:firstLineChars="200"/>
      <w:outlineLvl w:val="1"/>
    </w:pPr>
    <w:rPr>
      <w:rFonts w:eastAsia="楷体"/>
      <w:sz w:val="32"/>
    </w:rPr>
  </w:style>
  <w:style w:type="paragraph" w:styleId="4">
    <w:name w:val="heading 3"/>
    <w:basedOn w:val="1"/>
    <w:next w:val="1"/>
    <w:link w:val="16"/>
    <w:unhideWhenUsed/>
    <w:qFormat/>
    <w:uiPriority w:val="0"/>
    <w:pPr>
      <w:keepNext/>
      <w:keepLines/>
      <w:spacing w:before="260" w:after="260" w:line="415" w:lineRule="auto"/>
      <w:ind w:firstLine="200" w:firstLineChars="200"/>
      <w:outlineLvl w:val="2"/>
    </w:pPr>
    <w:rPr>
      <w:rFonts w:eastAsia="仿宋_GB2312"/>
      <w:bCs/>
      <w:sz w:val="32"/>
      <w:szCs w:val="32"/>
    </w:rPr>
  </w:style>
  <w:style w:type="character" w:default="1" w:styleId="11">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5">
    <w:name w:val="toc 3"/>
    <w:basedOn w:val="1"/>
    <w:next w:val="1"/>
    <w:qFormat/>
    <w:uiPriority w:val="39"/>
    <w:pPr>
      <w:ind w:left="840" w:leftChars="400"/>
    </w:pPr>
  </w:style>
  <w:style w:type="paragraph" w:styleId="6">
    <w:name w:val="footer"/>
    <w:basedOn w:val="1"/>
    <w:link w:val="17"/>
    <w:qFormat/>
    <w:uiPriority w:val="99"/>
    <w:pPr>
      <w:tabs>
        <w:tab w:val="center" w:pos="4153"/>
        <w:tab w:val="right" w:pos="8306"/>
      </w:tabs>
      <w:snapToGrid w:val="0"/>
      <w:jc w:val="left"/>
    </w:pPr>
    <w:rPr>
      <w:sz w:val="18"/>
      <w:szCs w:val="20"/>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39"/>
  </w:style>
  <w:style w:type="paragraph" w:styleId="9">
    <w:name w:val="Subtitle"/>
    <w:basedOn w:val="1"/>
    <w:next w:val="1"/>
    <w:link w:val="18"/>
    <w:qFormat/>
    <w:uiPriority w:val="0"/>
    <w:pPr>
      <w:ind w:firstLine="200" w:firstLineChars="200"/>
      <w:jc w:val="left"/>
      <w:outlineLvl w:val="2"/>
    </w:pPr>
    <w:rPr>
      <w:rFonts w:ascii="Cambria" w:hAnsi="Cambria" w:eastAsia="黑体" w:cstheme="minorBidi"/>
      <w:bCs/>
      <w:kern w:val="28"/>
      <w:sz w:val="28"/>
      <w:szCs w:val="32"/>
    </w:rPr>
  </w:style>
  <w:style w:type="paragraph" w:styleId="10">
    <w:name w:val="toc 2"/>
    <w:basedOn w:val="1"/>
    <w:next w:val="1"/>
    <w:qFormat/>
    <w:uiPriority w:val="39"/>
    <w:pPr>
      <w:ind w:left="420" w:leftChars="200"/>
    </w:p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paragraph" w:customStyle="1" w:styleId="14">
    <w:name w:val="列出段落1"/>
    <w:basedOn w:val="1"/>
    <w:qFormat/>
    <w:uiPriority w:val="34"/>
    <w:pPr>
      <w:ind w:firstLine="420" w:firstLineChars="200"/>
    </w:pPr>
    <w:rPr>
      <w:rFonts w:ascii="Calibri" w:hAnsi="Calibri" w:cs="黑体"/>
      <w:szCs w:val="22"/>
    </w:rPr>
  </w:style>
  <w:style w:type="character" w:customStyle="1" w:styleId="15">
    <w:name w:val="标题 1 字符"/>
    <w:basedOn w:val="11"/>
    <w:link w:val="2"/>
    <w:qFormat/>
    <w:uiPriority w:val="0"/>
    <w:rPr>
      <w:rFonts w:ascii="Times New Roman" w:hAnsi="Times New Roman" w:eastAsia="黑体" w:cs="Times New Roman"/>
      <w:bCs/>
      <w:kern w:val="44"/>
      <w:sz w:val="32"/>
      <w:szCs w:val="44"/>
    </w:rPr>
  </w:style>
  <w:style w:type="character" w:customStyle="1" w:styleId="16">
    <w:name w:val="标题 3 字符"/>
    <w:basedOn w:val="11"/>
    <w:link w:val="4"/>
    <w:qFormat/>
    <w:uiPriority w:val="0"/>
    <w:rPr>
      <w:rFonts w:ascii="Times New Roman" w:hAnsi="Times New Roman" w:eastAsia="仿宋_GB2312" w:cs="Times New Roman"/>
      <w:bCs/>
      <w:kern w:val="2"/>
      <w:sz w:val="32"/>
      <w:szCs w:val="32"/>
    </w:rPr>
  </w:style>
  <w:style w:type="character" w:customStyle="1" w:styleId="17">
    <w:name w:val="页脚 字符"/>
    <w:basedOn w:val="11"/>
    <w:link w:val="6"/>
    <w:qFormat/>
    <w:uiPriority w:val="99"/>
    <w:rPr>
      <w:rFonts w:ascii="Times New Roman" w:hAnsi="Times New Roman" w:eastAsia="宋体" w:cs="Times New Roman"/>
      <w:kern w:val="2"/>
      <w:sz w:val="18"/>
    </w:rPr>
  </w:style>
  <w:style w:type="character" w:customStyle="1" w:styleId="18">
    <w:name w:val="副标题 字符"/>
    <w:link w:val="9"/>
    <w:qFormat/>
    <w:locked/>
    <w:uiPriority w:val="0"/>
    <w:rPr>
      <w:rFonts w:ascii="Cambria" w:hAnsi="Cambria" w:eastAsia="黑体"/>
      <w:bCs/>
      <w:kern w:val="28"/>
      <w:sz w:val="28"/>
      <w:szCs w:val="32"/>
    </w:rPr>
  </w:style>
  <w:style w:type="character" w:customStyle="1" w:styleId="19">
    <w:name w:val="副标题 字符1"/>
    <w:basedOn w:val="11"/>
    <w:qFormat/>
    <w:uiPriority w:val="0"/>
    <w:rPr>
      <w:b/>
      <w:bCs/>
      <w:kern w:val="28"/>
      <w:sz w:val="32"/>
      <w:szCs w:val="32"/>
    </w:rPr>
  </w:style>
  <w:style w:type="paragraph" w:customStyle="1" w:styleId="20">
    <w:name w:val="TOC Heading"/>
    <w:basedOn w:val="2"/>
    <w:next w:val="1"/>
    <w:unhideWhenUsed/>
    <w:qFormat/>
    <w:uiPriority w:val="39"/>
    <w:pPr>
      <w:widowControl/>
      <w:spacing w:before="240" w:line="259" w:lineRule="auto"/>
      <w:ind w:firstLine="0" w:firstLineChars="0"/>
      <w:jc w:val="left"/>
      <w:outlineLvl w:val="9"/>
    </w:pPr>
    <w:rPr>
      <w:rFonts w:asciiTheme="majorHAnsi" w:hAnsiTheme="majorHAnsi" w:eastAsiaTheme="majorEastAsia" w:cstheme="majorBidi"/>
      <w:bCs w:val="0"/>
      <w:color w:val="2E75B6" w:themeColor="accent1" w:themeShade="BF"/>
      <w:kern w:val="0"/>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1966</Words>
  <Characters>11212</Characters>
  <Lines>93</Lines>
  <Paragraphs>26</Paragraphs>
  <TotalTime>0</TotalTime>
  <ScaleCrop>false</ScaleCrop>
  <LinksUpToDate>false</LinksUpToDate>
  <CharactersWithSpaces>13152</CharactersWithSpaces>
  <Application>WPS Office_3.7.0.5929_F1E327BC-269C-435d-A152-05C5408002CA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2022-04-12T11:20:00Z</dcterms:created>
  <dc:creator>user</dc:creator>
  <cp:lastModifiedBy>macbook</cp:lastModifiedBy>
  <dcterms:modified xsi:type="dcterms:W3CDTF">2022-05-18T15:57:56Z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2052-3.7.0.5929</vt:lpwstr>
  </property>
</Properties>
</file>