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409" w:rsidRDefault="00EB7409" w:rsidP="00EB7409">
      <w:pPr>
        <w:spacing w:line="580" w:lineRule="exact"/>
        <w:ind w:left="560"/>
        <w:rPr>
          <w:rFonts w:ascii="黑体" w:eastAsia="黑体"/>
          <w:sz w:val="28"/>
          <w:szCs w:val="28"/>
        </w:rPr>
      </w:pPr>
      <w:r>
        <w:rPr>
          <w:rFonts w:ascii="黑体" w:eastAsia="黑体" w:hint="eastAsia"/>
          <w:sz w:val="28"/>
          <w:szCs w:val="28"/>
        </w:rPr>
        <w:t xml:space="preserve">      </w:t>
      </w:r>
    </w:p>
    <w:p w:rsidR="00EB7409" w:rsidRDefault="00EB7409" w:rsidP="00EB7409">
      <w:pPr>
        <w:spacing w:line="580" w:lineRule="exact"/>
        <w:ind w:left="560"/>
        <w:rPr>
          <w:rFonts w:ascii="黑体" w:eastAsia="黑体"/>
          <w:sz w:val="28"/>
          <w:szCs w:val="28"/>
        </w:rPr>
      </w:pPr>
      <w:r>
        <w:rPr>
          <w:rFonts w:ascii="黑体" w:eastAsia="黑体" w:hint="eastAsia"/>
          <w:sz w:val="28"/>
          <w:szCs w:val="28"/>
        </w:rPr>
        <w:t xml:space="preserve">       </w:t>
      </w:r>
      <w:r w:rsidR="008C0617">
        <w:rPr>
          <w:rFonts w:ascii="黑体" w:eastAsia="黑体" w:hint="eastAsia"/>
          <w:sz w:val="28"/>
          <w:szCs w:val="28"/>
        </w:rPr>
        <w:t xml:space="preserve">   </w:t>
      </w:r>
      <w:r>
        <w:rPr>
          <w:rFonts w:ascii="黑体" w:eastAsia="黑体" w:hint="eastAsia"/>
          <w:sz w:val="28"/>
          <w:szCs w:val="28"/>
        </w:rPr>
        <w:t xml:space="preserve"> </w:t>
      </w:r>
      <w:r w:rsidRPr="00E03354">
        <w:rPr>
          <w:rFonts w:ascii="黑体" w:eastAsia="黑体" w:hint="eastAsia"/>
          <w:sz w:val="28"/>
          <w:szCs w:val="28"/>
        </w:rPr>
        <w:t>中共北京控股集团有限公司委员会党校2021年度</w:t>
      </w:r>
      <w:r>
        <w:rPr>
          <w:rFonts w:ascii="黑体" w:eastAsia="黑体" w:hint="eastAsia"/>
          <w:sz w:val="28"/>
          <w:szCs w:val="28"/>
        </w:rPr>
        <w:t>部门整体绩效评价报告</w:t>
      </w:r>
    </w:p>
    <w:p w:rsidR="007738EB" w:rsidRDefault="007738EB"/>
    <w:p w:rsidR="00EB7409" w:rsidRPr="00EB7409" w:rsidRDefault="00EB7409" w:rsidP="00EB7409">
      <w:pPr>
        <w:spacing w:line="580" w:lineRule="exact"/>
        <w:ind w:firstLineChars="200" w:firstLine="560"/>
        <w:rPr>
          <w:rFonts w:ascii="仿宋_GB2312" w:eastAsia="仿宋_GB2312" w:hAnsi="仿宋_GB2312" w:cs="仿宋_GB2312"/>
          <w:color w:val="000000"/>
          <w:kern w:val="0"/>
          <w:sz w:val="28"/>
          <w:szCs w:val="28"/>
        </w:rPr>
      </w:pPr>
      <w:r w:rsidRPr="00EB7409">
        <w:rPr>
          <w:rFonts w:ascii="黑体" w:eastAsia="黑体" w:hAnsi="黑体" w:cs="宋体" w:hint="eastAsia"/>
          <w:color w:val="000000"/>
          <w:kern w:val="0"/>
          <w:sz w:val="28"/>
          <w:szCs w:val="28"/>
        </w:rPr>
        <w:t>（</w:t>
      </w:r>
      <w:r w:rsidRPr="00EB7409">
        <w:rPr>
          <w:rFonts w:ascii="仿宋_GB2312" w:eastAsia="仿宋_GB2312" w:hAnsi="仿宋_GB2312" w:cs="仿宋_GB2312" w:hint="eastAsia"/>
          <w:color w:val="000000"/>
          <w:kern w:val="0"/>
          <w:sz w:val="28"/>
          <w:szCs w:val="28"/>
        </w:rPr>
        <w:t>一）部门概况</w:t>
      </w:r>
    </w:p>
    <w:p w:rsidR="00EB7409" w:rsidRPr="00EB7409" w:rsidRDefault="00EB7409" w:rsidP="00EB7409">
      <w:pPr>
        <w:spacing w:line="580" w:lineRule="exact"/>
        <w:ind w:firstLineChars="200" w:firstLine="56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1.机构设置及职责工作任务情况</w:t>
      </w:r>
    </w:p>
    <w:p w:rsidR="00EB7409" w:rsidRPr="00EB7409" w:rsidRDefault="00EB7409" w:rsidP="00EB7409">
      <w:pPr>
        <w:ind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w:t>
      </w:r>
      <w:r w:rsidRPr="00EB7409">
        <w:rPr>
          <w:rFonts w:ascii="仿宋_GB2312" w:eastAsia="仿宋_GB2312" w:hint="eastAsia"/>
          <w:sz w:val="28"/>
          <w:szCs w:val="28"/>
        </w:rPr>
        <w:t>内设综合办公室、教务部、培训部、党建研究室、财务部、后勤管理部6个机构。本部门下属1个预算单位，为中共北京控股集团有限公司委员会党校本级。</w:t>
      </w:r>
    </w:p>
    <w:p w:rsidR="00EB7409" w:rsidRPr="00EB7409" w:rsidRDefault="00EB7409" w:rsidP="00EB7409">
      <w:pPr>
        <w:ind w:firstLineChars="200" w:firstLine="560"/>
        <w:rPr>
          <w:rFonts w:ascii="仿宋_GB2312" w:eastAsia="仿宋_GB2312" w:hAnsi="仿宋_GB2312" w:cs="仿宋_GB2312"/>
          <w:color w:val="000000"/>
          <w:kern w:val="0"/>
          <w:sz w:val="28"/>
          <w:szCs w:val="28"/>
        </w:rPr>
      </w:pPr>
      <w:r w:rsidRPr="00EB7409">
        <w:rPr>
          <w:rFonts w:ascii="仿宋_GB2312" w:eastAsia="仿宋_GB2312" w:hint="eastAsia"/>
          <w:sz w:val="28"/>
          <w:szCs w:val="28"/>
        </w:rPr>
        <w:t>本部门是北京控股集团有限公司党委直接领导下培养企业领导人员和教育党员的学校，是集团党委开展理论宣传和理论研究的重要基地，是集团党委的重要部门。本部门的主要任务是承担北控集团公司内各类党员干部培训、管理人员专项培训、专业人员继续教育培训以及相关学历教育等教学任务。</w:t>
      </w:r>
    </w:p>
    <w:p w:rsidR="00EB7409" w:rsidRPr="00EB7409" w:rsidRDefault="00EB7409" w:rsidP="00EB7409">
      <w:pPr>
        <w:spacing w:line="580" w:lineRule="exact"/>
        <w:ind w:firstLineChars="200" w:firstLine="56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2.部门整体绩效目标设立情况。</w:t>
      </w:r>
    </w:p>
    <w:p w:rsidR="00EB7409" w:rsidRPr="00EB7409" w:rsidRDefault="00EB7409" w:rsidP="00EB7409">
      <w:pPr>
        <w:ind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本部门整体绩效目标为全面完成集团要求的各项培训任务。</w:t>
      </w:r>
    </w:p>
    <w:p w:rsidR="00EB7409" w:rsidRPr="00EB7409" w:rsidRDefault="00EB7409" w:rsidP="00EB7409">
      <w:pPr>
        <w:ind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本部门本年度无项目支出，无项目支出绩效。</w:t>
      </w:r>
    </w:p>
    <w:p w:rsidR="00EB7409" w:rsidRPr="00EB7409" w:rsidRDefault="00EB7409" w:rsidP="00EB7409">
      <w:pPr>
        <w:spacing w:line="580" w:lineRule="exact"/>
        <w:ind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（二）当年预算执行情况</w:t>
      </w:r>
    </w:p>
    <w:p w:rsidR="00EB7409" w:rsidRPr="00EB7409" w:rsidRDefault="00EB7409" w:rsidP="00EB7409">
      <w:pPr>
        <w:spacing w:line="580" w:lineRule="exact"/>
        <w:ind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lastRenderedPageBreak/>
        <w:t>2021年全年预算数</w:t>
      </w:r>
      <w:r w:rsidRPr="00EB7409">
        <w:rPr>
          <w:rFonts w:ascii="仿宋_GB2312" w:eastAsia="仿宋_GB2312" w:hAnsi="仿宋_GB2312" w:cs="仿宋_GB2312" w:hint="eastAsia"/>
          <w:kern w:val="0"/>
          <w:sz w:val="28"/>
          <w:szCs w:val="28"/>
        </w:rPr>
        <w:t>1685.86</w:t>
      </w:r>
      <w:r w:rsidRPr="00EB7409">
        <w:rPr>
          <w:rFonts w:ascii="仿宋_GB2312" w:eastAsia="仿宋_GB2312" w:hAnsi="仿宋_GB2312" w:cs="仿宋_GB2312" w:hint="eastAsia"/>
          <w:color w:val="000000"/>
          <w:kern w:val="0"/>
          <w:sz w:val="28"/>
          <w:szCs w:val="28"/>
        </w:rPr>
        <w:t>万元，其中，基本支出预算数</w:t>
      </w:r>
      <w:r w:rsidRPr="00EB7409">
        <w:rPr>
          <w:rFonts w:ascii="仿宋_GB2312" w:eastAsia="仿宋_GB2312" w:hAnsi="仿宋_GB2312" w:cs="仿宋_GB2312" w:hint="eastAsia"/>
          <w:kern w:val="0"/>
          <w:sz w:val="28"/>
          <w:szCs w:val="28"/>
        </w:rPr>
        <w:t>1234.18</w:t>
      </w:r>
      <w:r w:rsidRPr="00EB7409">
        <w:rPr>
          <w:rFonts w:ascii="仿宋_GB2312" w:eastAsia="仿宋_GB2312" w:hAnsi="仿宋_GB2312" w:cs="仿宋_GB2312" w:hint="eastAsia"/>
          <w:color w:val="000000"/>
          <w:kern w:val="0"/>
          <w:sz w:val="28"/>
          <w:szCs w:val="28"/>
        </w:rPr>
        <w:t>万元，项目支出预算数</w:t>
      </w:r>
      <w:r w:rsidRPr="00EB7409">
        <w:rPr>
          <w:rFonts w:ascii="仿宋_GB2312" w:eastAsia="仿宋_GB2312" w:hAnsi="仿宋_GB2312" w:cs="仿宋_GB2312" w:hint="eastAsia"/>
          <w:kern w:val="0"/>
          <w:sz w:val="28"/>
          <w:szCs w:val="28"/>
        </w:rPr>
        <w:t>0</w:t>
      </w:r>
      <w:r w:rsidRPr="00EB7409">
        <w:rPr>
          <w:rFonts w:ascii="仿宋_GB2312" w:eastAsia="仿宋_GB2312" w:hAnsi="仿宋_GB2312" w:cs="仿宋_GB2312" w:hint="eastAsia"/>
          <w:color w:val="000000"/>
          <w:kern w:val="0"/>
          <w:sz w:val="28"/>
          <w:szCs w:val="28"/>
        </w:rPr>
        <w:t>万元，其他支出预算数</w:t>
      </w:r>
      <w:r w:rsidRPr="00EB7409">
        <w:rPr>
          <w:rFonts w:ascii="仿宋_GB2312" w:eastAsia="仿宋_GB2312" w:hAnsi="仿宋_GB2312" w:cs="仿宋_GB2312" w:hint="eastAsia"/>
          <w:kern w:val="0"/>
          <w:sz w:val="28"/>
          <w:szCs w:val="28"/>
        </w:rPr>
        <w:t>451.69</w:t>
      </w:r>
      <w:r w:rsidRPr="00EB7409">
        <w:rPr>
          <w:rFonts w:ascii="仿宋_GB2312" w:eastAsia="仿宋_GB2312" w:hAnsi="仿宋_GB2312" w:cs="仿宋_GB2312" w:hint="eastAsia"/>
          <w:color w:val="000000"/>
          <w:kern w:val="0"/>
          <w:sz w:val="28"/>
          <w:szCs w:val="28"/>
        </w:rPr>
        <w:t>万元。资金总体支出</w:t>
      </w:r>
      <w:r w:rsidRPr="00EB7409">
        <w:rPr>
          <w:rFonts w:ascii="仿宋_GB2312" w:eastAsia="仿宋_GB2312" w:hAnsi="仿宋_GB2312" w:cs="仿宋_GB2312" w:hint="eastAsia"/>
          <w:kern w:val="0"/>
          <w:sz w:val="28"/>
          <w:szCs w:val="28"/>
        </w:rPr>
        <w:t>1085.45</w:t>
      </w:r>
      <w:r w:rsidRPr="00EB7409">
        <w:rPr>
          <w:rFonts w:ascii="仿宋_GB2312" w:eastAsia="仿宋_GB2312" w:hAnsi="仿宋_GB2312" w:cs="仿宋_GB2312" w:hint="eastAsia"/>
          <w:color w:val="000000"/>
          <w:kern w:val="0"/>
          <w:sz w:val="28"/>
          <w:szCs w:val="28"/>
        </w:rPr>
        <w:t>万元，其中，基本支出</w:t>
      </w:r>
      <w:r w:rsidRPr="00EB7409">
        <w:rPr>
          <w:rFonts w:ascii="仿宋_GB2312" w:eastAsia="仿宋_GB2312" w:hAnsi="仿宋_GB2312" w:cs="仿宋_GB2312" w:hint="eastAsia"/>
          <w:kern w:val="0"/>
          <w:sz w:val="28"/>
          <w:szCs w:val="28"/>
        </w:rPr>
        <w:t>865.00</w:t>
      </w:r>
      <w:r w:rsidRPr="00EB7409">
        <w:rPr>
          <w:rFonts w:ascii="仿宋_GB2312" w:eastAsia="仿宋_GB2312" w:hAnsi="仿宋_GB2312" w:cs="仿宋_GB2312" w:hint="eastAsia"/>
          <w:color w:val="000000"/>
          <w:kern w:val="0"/>
          <w:sz w:val="28"/>
          <w:szCs w:val="28"/>
        </w:rPr>
        <w:t>万元，项目支出</w:t>
      </w:r>
      <w:r w:rsidRPr="00EB7409">
        <w:rPr>
          <w:rFonts w:ascii="仿宋_GB2312" w:eastAsia="仿宋_GB2312" w:hAnsi="仿宋_GB2312" w:cs="仿宋_GB2312" w:hint="eastAsia"/>
          <w:kern w:val="0"/>
          <w:sz w:val="28"/>
          <w:szCs w:val="28"/>
        </w:rPr>
        <w:t>0</w:t>
      </w:r>
      <w:r w:rsidRPr="00EB7409">
        <w:rPr>
          <w:rFonts w:ascii="仿宋_GB2312" w:eastAsia="仿宋_GB2312" w:hAnsi="仿宋_GB2312" w:cs="仿宋_GB2312" w:hint="eastAsia"/>
          <w:color w:val="000000"/>
          <w:kern w:val="0"/>
          <w:sz w:val="28"/>
          <w:szCs w:val="28"/>
        </w:rPr>
        <w:t>万元，其他支出</w:t>
      </w:r>
      <w:r w:rsidRPr="00EB7409">
        <w:rPr>
          <w:rFonts w:ascii="仿宋_GB2312" w:eastAsia="仿宋_GB2312" w:hAnsi="仿宋_GB2312" w:cs="仿宋_GB2312" w:hint="eastAsia"/>
          <w:kern w:val="0"/>
          <w:sz w:val="28"/>
          <w:szCs w:val="28"/>
        </w:rPr>
        <w:t>220.45</w:t>
      </w:r>
      <w:r w:rsidRPr="00EB7409">
        <w:rPr>
          <w:rFonts w:ascii="仿宋_GB2312" w:eastAsia="仿宋_GB2312" w:hAnsi="仿宋_GB2312" w:cs="仿宋_GB2312" w:hint="eastAsia"/>
          <w:color w:val="000000"/>
          <w:kern w:val="0"/>
          <w:sz w:val="28"/>
          <w:szCs w:val="28"/>
        </w:rPr>
        <w:t>万元。预算执行率为</w:t>
      </w:r>
      <w:r w:rsidRPr="00EB7409">
        <w:rPr>
          <w:rFonts w:ascii="仿宋_GB2312" w:eastAsia="仿宋_GB2312" w:hAnsi="仿宋_GB2312" w:cs="仿宋_GB2312" w:hint="eastAsia"/>
          <w:kern w:val="0"/>
          <w:sz w:val="28"/>
          <w:szCs w:val="28"/>
        </w:rPr>
        <w:t>64.39%</w:t>
      </w:r>
      <w:r w:rsidRPr="00EB7409">
        <w:rPr>
          <w:rFonts w:ascii="仿宋_GB2312" w:eastAsia="仿宋_GB2312" w:hAnsi="仿宋_GB2312" w:cs="仿宋_GB2312" w:hint="eastAsia"/>
          <w:color w:val="000000"/>
          <w:kern w:val="0"/>
          <w:sz w:val="28"/>
          <w:szCs w:val="28"/>
        </w:rPr>
        <w:t>。</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（三）整体绩效目标实现情况</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1.产出完成情况分析</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（1）产出数量</w:t>
      </w:r>
    </w:p>
    <w:p w:rsidR="00EB7409" w:rsidRPr="00EB7409" w:rsidRDefault="00EB7409" w:rsidP="00EB7409">
      <w:pPr>
        <w:spacing w:line="580" w:lineRule="exact"/>
        <w:ind w:leftChars="50" w:left="105" w:firstLineChars="150" w:firstLine="315"/>
        <w:rPr>
          <w:rFonts w:ascii="仿宋_GB2312" w:eastAsia="仿宋_GB2312" w:hAnsi="仿宋_GB2312" w:cs="仿宋_GB2312"/>
          <w:color w:val="000000"/>
          <w:kern w:val="0"/>
          <w:sz w:val="28"/>
          <w:szCs w:val="28"/>
        </w:rPr>
      </w:pPr>
      <w:r w:rsidRPr="00EB7409">
        <w:rPr>
          <w:rFonts w:hint="eastAsia"/>
        </w:rPr>
        <w:t xml:space="preserve">      </w:t>
      </w:r>
      <w:r w:rsidRPr="00EB7409">
        <w:rPr>
          <w:rFonts w:ascii="仿宋_GB2312" w:eastAsia="仿宋_GB2312" w:hAnsi="仿宋_GB2312" w:cs="仿宋_GB2312" w:hint="eastAsia"/>
          <w:color w:val="000000"/>
          <w:kern w:val="0"/>
          <w:sz w:val="28"/>
          <w:szCs w:val="28"/>
        </w:rPr>
        <w:t>本部门继续进行师资体系、教材体系、课程体系、管理体系建设，完成培训班26个，全年培训计划完成率152.94%，计划完成率</w:t>
      </w:r>
      <w:proofErr w:type="gramStart"/>
      <w:r w:rsidRPr="00EB7409">
        <w:rPr>
          <w:rFonts w:ascii="仿宋_GB2312" w:eastAsia="仿宋_GB2312" w:hAnsi="仿宋_GB2312" w:cs="仿宋_GB2312" w:hint="eastAsia"/>
          <w:color w:val="000000"/>
          <w:kern w:val="0"/>
          <w:sz w:val="28"/>
          <w:szCs w:val="28"/>
        </w:rPr>
        <w:t>较目标</w:t>
      </w:r>
      <w:proofErr w:type="gramEnd"/>
      <w:r w:rsidRPr="00EB7409">
        <w:rPr>
          <w:rFonts w:ascii="仿宋_GB2312" w:eastAsia="仿宋_GB2312" w:hAnsi="仿宋_GB2312" w:cs="仿宋_GB2312" w:hint="eastAsia"/>
          <w:color w:val="000000"/>
          <w:kern w:val="0"/>
          <w:sz w:val="28"/>
          <w:szCs w:val="28"/>
        </w:rPr>
        <w:t>增加，原因是：部分被培训单位临时要求增开计划外培训班。</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（2）产出质量</w:t>
      </w:r>
    </w:p>
    <w:p w:rsidR="00EB7409" w:rsidRPr="00EB7409" w:rsidRDefault="00EB7409" w:rsidP="00EB7409">
      <w:pPr>
        <w:spacing w:line="580" w:lineRule="exact"/>
        <w:ind w:leftChars="50" w:left="105" w:firstLineChars="350" w:firstLine="98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本部门学员培训满意度</w:t>
      </w:r>
      <w:r w:rsidRPr="00EB7409">
        <w:rPr>
          <w:rFonts w:ascii="宋体" w:hAnsi="宋体" w:cs="宋体" w:hint="eastAsia"/>
          <w:color w:val="000000"/>
          <w:kern w:val="0"/>
          <w:sz w:val="28"/>
          <w:szCs w:val="28"/>
        </w:rPr>
        <w:t>≧</w:t>
      </w:r>
      <w:r w:rsidRPr="00EB7409">
        <w:rPr>
          <w:rFonts w:ascii="仿宋_GB2312" w:eastAsia="仿宋_GB2312" w:hAnsi="仿宋_GB2312" w:cs="仿宋_GB2312" w:hint="eastAsia"/>
          <w:color w:val="000000"/>
          <w:kern w:val="0"/>
          <w:sz w:val="28"/>
          <w:szCs w:val="28"/>
        </w:rPr>
        <w:t>95%，学员对培训方式及效果较为认可。</w:t>
      </w:r>
    </w:p>
    <w:p w:rsidR="00EB7409" w:rsidRPr="00EB7409" w:rsidRDefault="00EB7409" w:rsidP="00EB7409">
      <w:pPr>
        <w:spacing w:line="580" w:lineRule="exact"/>
        <w:ind w:leftChars="50" w:left="105" w:firstLineChars="150" w:firstLine="420"/>
      </w:pPr>
      <w:r w:rsidRPr="00EB7409">
        <w:rPr>
          <w:rFonts w:ascii="仿宋_GB2312" w:eastAsia="仿宋_GB2312" w:hAnsi="仿宋_GB2312" w:cs="仿宋_GB2312" w:hint="eastAsia"/>
          <w:color w:val="000000"/>
          <w:kern w:val="0"/>
          <w:sz w:val="28"/>
          <w:szCs w:val="28"/>
        </w:rPr>
        <w:t>（3）产出进度</w:t>
      </w:r>
    </w:p>
    <w:p w:rsidR="00EB7409" w:rsidRPr="00EB7409" w:rsidRDefault="00EB7409" w:rsidP="00EB7409">
      <w:pPr>
        <w:spacing w:line="580" w:lineRule="exact"/>
        <w:ind w:firstLineChars="400" w:firstLine="11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本部门按照培训计划按时完成培训工作。</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 xml:space="preserve">（4）产出成本 </w:t>
      </w:r>
    </w:p>
    <w:p w:rsidR="00EB7409" w:rsidRPr="00EB7409" w:rsidRDefault="00EB7409" w:rsidP="00EB7409">
      <w:pPr>
        <w:spacing w:line="580" w:lineRule="exact"/>
        <w:ind w:firstLineChars="400" w:firstLine="11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 xml:space="preserve">本部门提高自有教师授课能力，加强本校师资力量，减少外请教师酬金支出,严格控制培训成本。                                    </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lastRenderedPageBreak/>
        <w:t>2.效果实现情况分析</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（1）经济效益</w:t>
      </w:r>
    </w:p>
    <w:p w:rsidR="00EB7409" w:rsidRPr="00EB7409" w:rsidRDefault="00EB7409" w:rsidP="00EB7409">
      <w:pPr>
        <w:spacing w:line="580" w:lineRule="exact"/>
        <w:ind w:leftChars="50" w:left="105" w:firstLineChars="350" w:firstLine="98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本部门举办各项培训班，实现培训收入，缴纳相关税金。</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（2）社会效益</w:t>
      </w:r>
    </w:p>
    <w:p w:rsidR="00EB7409" w:rsidRPr="00EB7409" w:rsidRDefault="00EB7409" w:rsidP="00EB7409">
      <w:pPr>
        <w:spacing w:line="580" w:lineRule="exact"/>
        <w:ind w:firstLineChars="400" w:firstLine="11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本部门通过开展各项培训工作，增强集团党员干部的政治素质、管理水平、工作能力。</w:t>
      </w:r>
    </w:p>
    <w:p w:rsidR="00EB7409" w:rsidRPr="00EB7409" w:rsidRDefault="00EB7409" w:rsidP="00EB7409">
      <w:pPr>
        <w:spacing w:line="580" w:lineRule="exact"/>
        <w:ind w:leftChars="50" w:left="105" w:firstLineChars="150" w:firstLine="420"/>
      </w:pPr>
      <w:r w:rsidRPr="00EB7409">
        <w:rPr>
          <w:rFonts w:ascii="仿宋_GB2312" w:eastAsia="仿宋_GB2312" w:hAnsi="仿宋_GB2312" w:cs="仿宋_GB2312" w:hint="eastAsia"/>
          <w:color w:val="000000"/>
          <w:kern w:val="0"/>
          <w:sz w:val="28"/>
          <w:szCs w:val="28"/>
        </w:rPr>
        <w:t>（3）环境效益:</w:t>
      </w:r>
    </w:p>
    <w:p w:rsidR="00EB7409" w:rsidRPr="00EB7409" w:rsidRDefault="00EB7409" w:rsidP="00EB7409">
      <w:pPr>
        <w:spacing w:line="580" w:lineRule="exact"/>
        <w:ind w:firstLineChars="400" w:firstLine="11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本部门控制各项能源消耗，节能减排。</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（4）可持续性影响</w:t>
      </w:r>
    </w:p>
    <w:p w:rsidR="00EB7409" w:rsidRPr="00EB7409" w:rsidRDefault="00EB7409" w:rsidP="00EB7409">
      <w:pPr>
        <w:spacing w:line="580" w:lineRule="exact"/>
        <w:ind w:leftChars="50" w:left="105" w:firstLineChars="350" w:firstLine="735"/>
        <w:rPr>
          <w:rFonts w:ascii="仿宋_GB2312" w:eastAsia="仿宋_GB2312" w:hAnsi="仿宋_GB2312" w:cs="仿宋_GB2312"/>
          <w:color w:val="000000"/>
          <w:kern w:val="0"/>
          <w:sz w:val="28"/>
          <w:szCs w:val="28"/>
        </w:rPr>
      </w:pPr>
      <w:r w:rsidRPr="00EB7409">
        <w:rPr>
          <w:rFonts w:hint="eastAsia"/>
        </w:rPr>
        <w:t xml:space="preserve">  </w:t>
      </w:r>
      <w:r w:rsidRPr="00EB7409">
        <w:rPr>
          <w:rFonts w:ascii="仿宋_GB2312" w:eastAsia="仿宋_GB2312" w:hAnsi="仿宋_GB2312" w:cs="仿宋_GB2312" w:hint="eastAsia"/>
          <w:color w:val="000000"/>
          <w:kern w:val="0"/>
          <w:sz w:val="28"/>
          <w:szCs w:val="28"/>
        </w:rPr>
        <w:t>本部门长效建立财务管理、资金管理、内控管理、绩效管理等各项制度体系，提升工作效率，保证部门可持续性发展。</w:t>
      </w:r>
    </w:p>
    <w:p w:rsidR="00EB7409" w:rsidRPr="00EB7409" w:rsidRDefault="00EB7409" w:rsidP="00EB7409">
      <w:pPr>
        <w:spacing w:line="580" w:lineRule="exact"/>
        <w:ind w:leftChars="50" w:left="105" w:firstLineChars="150" w:firstLine="420"/>
      </w:pPr>
      <w:r w:rsidRPr="00EB7409">
        <w:rPr>
          <w:rFonts w:ascii="仿宋_GB2312" w:eastAsia="仿宋_GB2312" w:hAnsi="仿宋_GB2312" w:cs="仿宋_GB2312" w:hint="eastAsia"/>
          <w:color w:val="000000"/>
          <w:kern w:val="0"/>
          <w:sz w:val="28"/>
          <w:szCs w:val="28"/>
        </w:rPr>
        <w:t>（5）服务对象满意度</w:t>
      </w:r>
      <w:r w:rsidRPr="00EB7409">
        <w:rPr>
          <w:rFonts w:hint="eastAsia"/>
        </w:rPr>
        <w:t xml:space="preserve"> </w:t>
      </w:r>
    </w:p>
    <w:p w:rsidR="00EB7409" w:rsidRPr="00EB7409" w:rsidRDefault="00EB7409" w:rsidP="00EB7409">
      <w:pPr>
        <w:spacing w:line="580" w:lineRule="exact"/>
        <w:ind w:leftChars="50" w:left="105" w:firstLineChars="350" w:firstLine="98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本部门学员培训满意率≥95%，学员对培训效果较为满意。</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（四）预算管理情况分析</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1.财务管理</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lastRenderedPageBreak/>
        <w:t>（1）财务管理制度健全性</w:t>
      </w:r>
    </w:p>
    <w:p w:rsidR="00EB7409" w:rsidRPr="00EB7409" w:rsidRDefault="00EB7409" w:rsidP="00EB7409">
      <w:pPr>
        <w:spacing w:line="580" w:lineRule="exact"/>
        <w:ind w:leftChars="50" w:left="105" w:firstLineChars="250" w:firstLine="70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为强化内部控制，严格执行内部控制制度，加强岗位分离，明确权责，对内部流程进行梳理、查找在流程中存在的风险点，控制经营风险和财务风险。岗位权责方面，设置专人稽核，对各业务类型按照各自审批权限严格审批；在合同管理方面，严格执行合同审批签订流程，对合作方的资质、合同价格标准、合同付款方法、时间、发票项目、签订流程逐一审核；在发票管理方面，财务部积极主动培训财务人员和重点</w:t>
      </w:r>
      <w:proofErr w:type="gramStart"/>
      <w:r w:rsidRPr="00EB7409">
        <w:rPr>
          <w:rFonts w:ascii="仿宋_GB2312" w:eastAsia="仿宋_GB2312" w:hAnsi="仿宋_GB2312" w:cs="仿宋_GB2312" w:hint="eastAsia"/>
          <w:color w:val="000000"/>
          <w:kern w:val="0"/>
          <w:sz w:val="28"/>
          <w:szCs w:val="28"/>
        </w:rPr>
        <w:t>报账员真假</w:t>
      </w:r>
      <w:proofErr w:type="gramEnd"/>
      <w:r w:rsidRPr="00EB7409">
        <w:rPr>
          <w:rFonts w:ascii="仿宋_GB2312" w:eastAsia="仿宋_GB2312" w:hAnsi="仿宋_GB2312" w:cs="仿宋_GB2312" w:hint="eastAsia"/>
          <w:color w:val="000000"/>
          <w:kern w:val="0"/>
          <w:sz w:val="28"/>
          <w:szCs w:val="28"/>
        </w:rPr>
        <w:t>发票鉴别知识，采用网络核查、高倍放大镜鉴别、紫光灯照射的多种方式杜绝假发票。</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（2）资金使用合</w:t>
      </w:r>
      <w:proofErr w:type="gramStart"/>
      <w:r w:rsidRPr="00EB7409">
        <w:rPr>
          <w:rFonts w:ascii="仿宋_GB2312" w:eastAsia="仿宋_GB2312" w:hAnsi="仿宋_GB2312" w:cs="仿宋_GB2312" w:hint="eastAsia"/>
          <w:color w:val="000000"/>
          <w:kern w:val="0"/>
          <w:sz w:val="28"/>
          <w:szCs w:val="28"/>
        </w:rPr>
        <w:t>规</w:t>
      </w:r>
      <w:proofErr w:type="gramEnd"/>
      <w:r w:rsidRPr="00EB7409">
        <w:rPr>
          <w:rFonts w:ascii="仿宋_GB2312" w:eastAsia="仿宋_GB2312" w:hAnsi="仿宋_GB2312" w:cs="仿宋_GB2312" w:hint="eastAsia"/>
          <w:color w:val="000000"/>
          <w:kern w:val="0"/>
          <w:sz w:val="28"/>
          <w:szCs w:val="28"/>
        </w:rPr>
        <w:t>性和安全性</w:t>
      </w:r>
    </w:p>
    <w:p w:rsidR="00EB7409" w:rsidRPr="00EB7409" w:rsidRDefault="00EB7409" w:rsidP="00EB7409">
      <w:pPr>
        <w:spacing w:line="580" w:lineRule="exact"/>
        <w:ind w:leftChars="50" w:left="105" w:firstLineChars="250" w:firstLine="70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本部门为加强资金管理，防范风险，在现金管理方面，减少现金支付，最大限度的规避了现金管理风险。在资金审批方面，严格执行内控手册，在人员紧张的情况下做到岗位分离，印章分离，</w:t>
      </w:r>
      <w:proofErr w:type="gramStart"/>
      <w:r w:rsidRPr="00EB7409">
        <w:rPr>
          <w:rFonts w:ascii="仿宋_GB2312" w:eastAsia="仿宋_GB2312" w:hAnsi="仿宋_GB2312" w:cs="仿宋_GB2312" w:hint="eastAsia"/>
          <w:color w:val="000000"/>
          <w:kern w:val="0"/>
          <w:sz w:val="28"/>
          <w:szCs w:val="28"/>
        </w:rPr>
        <w:t>网银权限</w:t>
      </w:r>
      <w:proofErr w:type="gramEnd"/>
      <w:r w:rsidRPr="00EB7409">
        <w:rPr>
          <w:rFonts w:ascii="仿宋_GB2312" w:eastAsia="仿宋_GB2312" w:hAnsi="仿宋_GB2312" w:cs="仿宋_GB2312" w:hint="eastAsia"/>
          <w:color w:val="000000"/>
          <w:kern w:val="0"/>
          <w:sz w:val="28"/>
          <w:szCs w:val="28"/>
        </w:rPr>
        <w:t>分离，各岗位相互牵制互为审核，很好的控制了资金风险。</w:t>
      </w:r>
    </w:p>
    <w:p w:rsidR="00EB7409" w:rsidRPr="00EB7409" w:rsidRDefault="00EB7409" w:rsidP="00EB7409">
      <w:pPr>
        <w:spacing w:line="580" w:lineRule="exact"/>
        <w:ind w:leftChars="50" w:left="105" w:firstLineChars="150" w:firstLine="42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（3）会计基础信息完善性</w:t>
      </w:r>
    </w:p>
    <w:p w:rsidR="00EB7409" w:rsidRPr="00EB7409" w:rsidRDefault="00EB7409" w:rsidP="00EB7409">
      <w:pPr>
        <w:ind w:firstLineChars="200" w:firstLine="560"/>
      </w:pPr>
      <w:r w:rsidRPr="00EB7409">
        <w:rPr>
          <w:rFonts w:ascii="仿宋_GB2312" w:eastAsia="仿宋_GB2312" w:hAnsi="仿宋_GB2312" w:cs="仿宋_GB2312" w:hint="eastAsia"/>
          <w:color w:val="000000"/>
          <w:kern w:val="0"/>
          <w:sz w:val="28"/>
          <w:szCs w:val="28"/>
        </w:rPr>
        <w:t>本部门健全财务部门组织结构,明确各岗位责任制,按照《会计法》《政府会计制度》的有关规定,健全内部财务管理制度,加强财务队伍的自身建设, 提高会计人员的综合素质，做好财务工作的宣传,发挥良好的会计监督与服务职能，加强对会计凭证的审核与监督，从源头上保证会计信息真实、准确、完整。</w:t>
      </w:r>
      <w:r w:rsidRPr="00EB7409">
        <w:rPr>
          <w:rFonts w:hint="eastAsia"/>
        </w:rPr>
        <w:t xml:space="preserve"> </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lastRenderedPageBreak/>
        <w:t>2.资产管理</w:t>
      </w:r>
    </w:p>
    <w:p w:rsidR="00EB7409" w:rsidRPr="00EB7409" w:rsidRDefault="00EB7409" w:rsidP="00EB7409">
      <w:pPr>
        <w:spacing w:line="580" w:lineRule="exact"/>
        <w:ind w:leftChars="50" w:left="105"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本部门规范资产配置使用和处置管理，梳理现行资产管理流程，根据工作实际，制定了资产管理相关制度。部门职工在工作过程中严格遵守规章制度，有效地实施了内部监督和控制，加强了对本部门财产物资的监督和管理，杜绝了各种漏洞的发生。本部门资产利用效率较高，房屋、车辆、教学办公设备和家具都得到充分使用，不存在资产闲置浪费现象，对反复维修并达到使用期限不能满足教学需要的设备及时退库，没有损失流失等问题。</w:t>
      </w:r>
    </w:p>
    <w:p w:rsidR="00EB7409" w:rsidRPr="00EB7409" w:rsidRDefault="00EB7409" w:rsidP="00EB7409">
      <w:pPr>
        <w:spacing w:line="580" w:lineRule="exact"/>
        <w:ind w:leftChars="50" w:left="105" w:firstLineChars="150" w:firstLine="420"/>
      </w:pPr>
      <w:r w:rsidRPr="00EB7409">
        <w:rPr>
          <w:rFonts w:ascii="仿宋_GB2312" w:eastAsia="仿宋_GB2312" w:hAnsi="仿宋_GB2312" w:cs="仿宋_GB2312" w:hint="eastAsia"/>
          <w:sz w:val="28"/>
          <w:szCs w:val="28"/>
        </w:rPr>
        <w:t>3.绩效管理</w:t>
      </w:r>
      <w:r w:rsidRPr="00EB7409">
        <w:rPr>
          <w:rFonts w:hint="eastAsia"/>
        </w:rPr>
        <w:t xml:space="preserve"> </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本部门所制定的年度绩效目标，领导班子提出明确要求：一是全员高度重视，认真完成每个环节，确保绩效目标的落实；二是健全相关制度，所有工作要有章可循；三是责任到人，绩效工作完成情况和考核挂钩，严格管理，以确保绩效目标的实现。</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4.结转结余率</w:t>
      </w:r>
    </w:p>
    <w:p w:rsidR="00EB7409" w:rsidRPr="00EB7409" w:rsidRDefault="00EB7409" w:rsidP="00EB7409">
      <w:pPr>
        <w:ind w:firstLineChars="200" w:firstLine="560"/>
      </w:pPr>
      <w:r w:rsidRPr="00EB7409">
        <w:rPr>
          <w:rFonts w:ascii="仿宋_GB2312" w:eastAsia="仿宋_GB2312" w:hAnsi="仿宋_GB2312" w:cs="仿宋_GB2312" w:hint="eastAsia"/>
          <w:sz w:val="28"/>
          <w:szCs w:val="28"/>
        </w:rPr>
        <w:t>本部门结转结余率-3.61%，本年度结转结余总额-60.85万元，其中：基本支出结转14.07万元,</w:t>
      </w:r>
      <w:r w:rsidRPr="00EB7409">
        <w:rPr>
          <w:rFonts w:hint="eastAsia"/>
        </w:rPr>
        <w:t xml:space="preserve"> </w:t>
      </w:r>
      <w:r w:rsidRPr="00EB7409">
        <w:rPr>
          <w:rFonts w:ascii="仿宋_GB2312" w:eastAsia="仿宋_GB2312" w:hAnsi="仿宋_GB2312" w:cs="仿宋_GB2312" w:hint="eastAsia"/>
          <w:sz w:val="28"/>
          <w:szCs w:val="28"/>
        </w:rPr>
        <w:t>为财政授权支付未下达额度指标数，具体内容为追加非统发人员经费;</w:t>
      </w:r>
      <w:r w:rsidRPr="00EB7409">
        <w:rPr>
          <w:rFonts w:hint="eastAsia"/>
        </w:rPr>
        <w:t xml:space="preserve"> </w:t>
      </w:r>
      <w:r w:rsidRPr="00EB7409">
        <w:rPr>
          <w:rFonts w:ascii="仿宋_GB2312" w:eastAsia="仿宋_GB2312" w:hAnsi="仿宋_GB2312" w:cs="仿宋_GB2312" w:hint="eastAsia"/>
          <w:sz w:val="28"/>
          <w:szCs w:val="28"/>
        </w:rPr>
        <w:t>经营结余-74.92万元，经营结余为负数，原因是：一方面，培训市场竞争激烈，生源萎缩，另一方面，由于本年度新冠肺炎疫情影响，线上培训较多,培训收益率较低。</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5.部门预决算差异率</w:t>
      </w:r>
    </w:p>
    <w:p w:rsidR="00EB7409" w:rsidRPr="00EB7409" w:rsidRDefault="00EB7409" w:rsidP="00EB7409">
      <w:pPr>
        <w:spacing w:line="580" w:lineRule="exact"/>
        <w:ind w:leftChars="50" w:left="105" w:firstLineChars="200" w:firstLine="56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lastRenderedPageBreak/>
        <w:t>本部门预决算差异</w:t>
      </w:r>
      <w:r w:rsidRPr="00C73CAF">
        <w:rPr>
          <w:rFonts w:ascii="仿宋_GB2312" w:eastAsia="仿宋_GB2312" w:hAnsi="仿宋_GB2312" w:cs="仿宋_GB2312" w:hint="eastAsia"/>
          <w:sz w:val="28"/>
          <w:szCs w:val="28"/>
        </w:rPr>
        <w:t>率-</w:t>
      </w:r>
      <w:r w:rsidR="00E15BFB" w:rsidRPr="00C73CAF">
        <w:rPr>
          <w:rFonts w:ascii="仿宋_GB2312" w:eastAsia="仿宋_GB2312" w:hAnsi="仿宋_GB2312" w:cs="仿宋_GB2312" w:hint="eastAsia"/>
          <w:sz w:val="28"/>
          <w:szCs w:val="28"/>
        </w:rPr>
        <w:t>39.22</w:t>
      </w:r>
      <w:r w:rsidRPr="00C73CAF">
        <w:rPr>
          <w:rFonts w:ascii="仿宋_GB2312" w:eastAsia="仿宋_GB2312" w:hAnsi="仿宋_GB2312" w:cs="仿宋_GB2312" w:hint="eastAsia"/>
          <w:sz w:val="28"/>
          <w:szCs w:val="28"/>
        </w:rPr>
        <w:t>%</w:t>
      </w:r>
      <w:r w:rsidRPr="00EB7409">
        <w:rPr>
          <w:rFonts w:ascii="仿宋_GB2312" w:eastAsia="仿宋_GB2312" w:hAnsi="仿宋_GB2312" w:cs="仿宋_GB2312" w:hint="eastAsia"/>
          <w:sz w:val="28"/>
          <w:szCs w:val="28"/>
        </w:rPr>
        <w:t>，预决算差异率较大，原因是：</w:t>
      </w:r>
      <w:r w:rsidR="00A16674" w:rsidRPr="00A16674">
        <w:rPr>
          <w:rFonts w:ascii="仿宋_GB2312" w:eastAsia="仿宋_GB2312" w:hAnsi="仿宋_GB2312" w:cs="仿宋_GB2312" w:hint="eastAsia"/>
          <w:sz w:val="28"/>
          <w:szCs w:val="28"/>
        </w:rPr>
        <w:t>一方面，市场竞争激烈，生源萎缩，另一方面，由于本年度新冠肺炎疫情影响，培训办学减少</w:t>
      </w:r>
      <w:r w:rsidR="00AC1830">
        <w:rPr>
          <w:rFonts w:ascii="仿宋_GB2312" w:eastAsia="仿宋_GB2312" w:hAnsi="仿宋_GB2312" w:cs="仿宋_GB2312" w:hint="eastAsia"/>
          <w:sz w:val="28"/>
          <w:szCs w:val="28"/>
        </w:rPr>
        <w:t>（其中</w:t>
      </w:r>
      <w:r w:rsidR="00AC1830" w:rsidRPr="00AC1830">
        <w:rPr>
          <w:rFonts w:ascii="仿宋_GB2312" w:eastAsia="仿宋_GB2312" w:hAnsi="仿宋_GB2312" w:cs="仿宋_GB2312" w:hint="eastAsia"/>
          <w:sz w:val="28"/>
          <w:szCs w:val="28"/>
        </w:rPr>
        <w:t>，线上培训较多,培训收益率较低</w:t>
      </w:r>
      <w:r w:rsidR="00AC1830">
        <w:rPr>
          <w:rFonts w:ascii="仿宋_GB2312" w:eastAsia="仿宋_GB2312" w:hAnsi="仿宋_GB2312" w:cs="仿宋_GB2312" w:hint="eastAsia"/>
          <w:sz w:val="28"/>
          <w:szCs w:val="28"/>
        </w:rPr>
        <w:t>）</w:t>
      </w:r>
      <w:r w:rsidR="00A16674" w:rsidRPr="00A16674">
        <w:rPr>
          <w:rFonts w:ascii="仿宋_GB2312" w:eastAsia="仿宋_GB2312" w:hAnsi="仿宋_GB2312" w:cs="仿宋_GB2312" w:hint="eastAsia"/>
          <w:sz w:val="28"/>
          <w:szCs w:val="28"/>
        </w:rPr>
        <w:t>，二者共同导致经营</w:t>
      </w:r>
      <w:r w:rsidR="00A16674">
        <w:rPr>
          <w:rFonts w:ascii="仿宋_GB2312" w:eastAsia="仿宋_GB2312" w:hAnsi="仿宋_GB2312" w:cs="仿宋_GB2312" w:hint="eastAsia"/>
          <w:sz w:val="28"/>
          <w:szCs w:val="28"/>
        </w:rPr>
        <w:t>收支</w:t>
      </w:r>
      <w:r w:rsidR="00A16674" w:rsidRPr="00A16674">
        <w:rPr>
          <w:rFonts w:ascii="仿宋_GB2312" w:eastAsia="仿宋_GB2312" w:hAnsi="仿宋_GB2312" w:cs="仿宋_GB2312" w:hint="eastAsia"/>
          <w:sz w:val="28"/>
          <w:szCs w:val="28"/>
        </w:rPr>
        <w:t>较年初预算</w:t>
      </w:r>
      <w:r w:rsidR="00A16674">
        <w:rPr>
          <w:rFonts w:ascii="仿宋_GB2312" w:eastAsia="仿宋_GB2312" w:hAnsi="仿宋_GB2312" w:cs="仿宋_GB2312" w:hint="eastAsia"/>
          <w:sz w:val="28"/>
          <w:szCs w:val="28"/>
        </w:rPr>
        <w:t>大幅</w:t>
      </w:r>
      <w:r w:rsidR="00A16674" w:rsidRPr="00A16674">
        <w:rPr>
          <w:rFonts w:ascii="仿宋_GB2312" w:eastAsia="仿宋_GB2312" w:hAnsi="仿宋_GB2312" w:cs="仿宋_GB2312" w:hint="eastAsia"/>
          <w:sz w:val="28"/>
          <w:szCs w:val="28"/>
        </w:rPr>
        <w:t>减少</w:t>
      </w:r>
      <w:r w:rsidRPr="00EB7409">
        <w:rPr>
          <w:rFonts w:ascii="仿宋_GB2312" w:eastAsia="仿宋_GB2312" w:hAnsi="仿宋_GB2312" w:cs="仿宋_GB2312" w:hint="eastAsia"/>
          <w:sz w:val="28"/>
          <w:szCs w:val="28"/>
        </w:rPr>
        <w:t>。</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（五）总体评价结论</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1.评价得分情况</w:t>
      </w:r>
    </w:p>
    <w:p w:rsidR="00EB7409" w:rsidRPr="00EB7409" w:rsidRDefault="00EB7409" w:rsidP="00EB7409">
      <w:pPr>
        <w:ind w:firstLineChars="200" w:firstLine="560"/>
      </w:pPr>
      <w:r w:rsidRPr="00EB7409">
        <w:rPr>
          <w:rFonts w:ascii="仿宋_GB2312" w:eastAsia="仿宋_GB2312" w:hAnsi="仿宋_GB2312" w:cs="仿宋_GB2312" w:hint="eastAsia"/>
          <w:sz w:val="28"/>
          <w:szCs w:val="28"/>
        </w:rPr>
        <w:t>本部门整体绩效评价指标得分：80分</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2.存在的问题及原因分析</w:t>
      </w:r>
    </w:p>
    <w:p w:rsidR="00EB7409" w:rsidRPr="00EB7409" w:rsidRDefault="00EB7409" w:rsidP="00EB7409">
      <w:pPr>
        <w:spacing w:line="580" w:lineRule="exact"/>
        <w:ind w:leftChars="50" w:left="105" w:firstLineChars="150" w:firstLine="42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本部门预算执行与预算编制存在较大差异，预算执行部门的预算观念还较为薄弱，事前缺乏对预算要求、预算任务以及预算目标的深入了解，不能从预算编制出发开展预算执行</w:t>
      </w:r>
      <w:r w:rsidR="003F346E">
        <w:rPr>
          <w:rFonts w:ascii="仿宋_GB2312" w:eastAsia="仿宋_GB2312" w:hAnsi="仿宋_GB2312" w:cs="仿宋_GB2312" w:hint="eastAsia"/>
          <w:sz w:val="28"/>
          <w:szCs w:val="28"/>
        </w:rPr>
        <w:t>，同时，预算编制</w:t>
      </w:r>
      <w:r w:rsidR="006D7581">
        <w:rPr>
          <w:rFonts w:ascii="仿宋_GB2312" w:eastAsia="仿宋_GB2312" w:hAnsi="仿宋_GB2312" w:cs="仿宋_GB2312" w:hint="eastAsia"/>
          <w:sz w:val="28"/>
          <w:szCs w:val="28"/>
        </w:rPr>
        <w:t>对</w:t>
      </w:r>
      <w:r w:rsidR="003F346E">
        <w:rPr>
          <w:rFonts w:ascii="仿宋_GB2312" w:eastAsia="仿宋_GB2312" w:hAnsi="仿宋_GB2312" w:cs="仿宋_GB2312" w:hint="eastAsia"/>
          <w:sz w:val="28"/>
          <w:szCs w:val="28"/>
        </w:rPr>
        <w:t>环境因素、市场因素</w:t>
      </w:r>
      <w:r w:rsidR="006D7581">
        <w:rPr>
          <w:rFonts w:ascii="仿宋_GB2312" w:eastAsia="仿宋_GB2312" w:hAnsi="仿宋_GB2312" w:cs="仿宋_GB2312" w:hint="eastAsia"/>
          <w:sz w:val="28"/>
          <w:szCs w:val="28"/>
        </w:rPr>
        <w:t>等考虑不够充分</w:t>
      </w:r>
      <w:r w:rsidRPr="00EB7409">
        <w:rPr>
          <w:rFonts w:ascii="仿宋_GB2312" w:eastAsia="仿宋_GB2312" w:hAnsi="仿宋_GB2312" w:cs="仿宋_GB2312" w:hint="eastAsia"/>
          <w:sz w:val="28"/>
          <w:szCs w:val="28"/>
        </w:rPr>
        <w:t>。</w:t>
      </w:r>
    </w:p>
    <w:p w:rsidR="00EB7409" w:rsidRPr="00EB7409" w:rsidRDefault="00EB7409" w:rsidP="00EB7409">
      <w:pPr>
        <w:spacing w:line="580" w:lineRule="exact"/>
        <w:ind w:firstLineChars="200" w:firstLine="560"/>
        <w:rPr>
          <w:rFonts w:ascii="仿宋_GB2312" w:eastAsia="仿宋_GB2312" w:hAnsi="仿宋_GB2312" w:cs="仿宋_GB2312"/>
          <w:color w:val="000000"/>
          <w:kern w:val="0"/>
          <w:sz w:val="28"/>
          <w:szCs w:val="28"/>
        </w:rPr>
      </w:pPr>
      <w:r w:rsidRPr="00EB7409">
        <w:rPr>
          <w:rFonts w:ascii="仿宋_GB2312" w:eastAsia="仿宋_GB2312" w:hAnsi="仿宋_GB2312" w:cs="仿宋_GB2312" w:hint="eastAsia"/>
          <w:color w:val="000000"/>
          <w:kern w:val="0"/>
          <w:sz w:val="28"/>
          <w:szCs w:val="28"/>
        </w:rPr>
        <w:t>（六）措施建议</w:t>
      </w:r>
    </w:p>
    <w:p w:rsidR="00EB7409" w:rsidRPr="00EB7409" w:rsidRDefault="00EB7409" w:rsidP="00EB7409">
      <w:pPr>
        <w:spacing w:line="580" w:lineRule="exact"/>
        <w:ind w:firstLineChars="200" w:firstLine="560"/>
        <w:rPr>
          <w:rFonts w:ascii="仿宋_GB2312" w:eastAsia="仿宋_GB2312" w:hAnsi="仿宋_GB2312" w:cs="仿宋_GB2312"/>
          <w:sz w:val="28"/>
          <w:szCs w:val="28"/>
        </w:rPr>
      </w:pPr>
      <w:r w:rsidRPr="00EB7409">
        <w:rPr>
          <w:rFonts w:ascii="仿宋_GB2312" w:eastAsia="仿宋_GB2312" w:hAnsi="仿宋_GB2312" w:cs="仿宋_GB2312" w:hint="eastAsia"/>
          <w:sz w:val="28"/>
          <w:szCs w:val="28"/>
        </w:rPr>
        <w:t>1、加强部门预算编制，改善预算编制方法，切实提高预算编制的质量和效率，为预算执行和预算管理提供正确的导向和引导，科学合理地制定预算标准，做好基本支出预算和项目支出预算的区别划分，建立统一的部门开支标准，严格执行预算审批程序。</w:t>
      </w:r>
    </w:p>
    <w:p w:rsidR="00EB7409" w:rsidRDefault="00EB7409" w:rsidP="00EB7409">
      <w:pPr>
        <w:pStyle w:val="a0"/>
        <w:ind w:firstLine="560"/>
        <w:rPr>
          <w:rFonts w:ascii="仿宋_GB2312" w:eastAsia="仿宋_GB2312" w:hAnsi="仿宋_GB2312" w:cs="仿宋_GB2312" w:hint="eastAsia"/>
          <w:sz w:val="28"/>
          <w:szCs w:val="28"/>
        </w:rPr>
      </w:pPr>
      <w:r w:rsidRPr="00EB7409">
        <w:rPr>
          <w:rFonts w:ascii="仿宋_GB2312" w:eastAsia="仿宋_GB2312" w:hAnsi="仿宋_GB2312" w:cs="仿宋_GB2312" w:hint="eastAsia"/>
          <w:sz w:val="28"/>
          <w:szCs w:val="28"/>
        </w:rPr>
        <w:lastRenderedPageBreak/>
        <w:t>2、加强部门预算管理，从全局出发是改进预算编制与执行的最直接有效的方法，加强部门之间的沟通和协调，增强预算执行的约束力和效力。</w:t>
      </w:r>
    </w:p>
    <w:p w:rsidR="00D43A65" w:rsidRPr="00EB7409" w:rsidRDefault="00D43A65" w:rsidP="00D43A65">
      <w:pPr>
        <w:pStyle w:val="a0"/>
        <w:ind w:firstLine="560"/>
      </w:pPr>
      <w:r>
        <w:rPr>
          <w:rFonts w:ascii="仿宋_GB2312" w:eastAsia="仿宋_GB2312" w:hAnsi="仿宋_GB2312" w:cs="仿宋_GB2312" w:hint="eastAsia"/>
          <w:sz w:val="28"/>
          <w:szCs w:val="28"/>
        </w:rPr>
        <w:t>3、</w:t>
      </w:r>
      <w:r w:rsidR="006D7581">
        <w:rPr>
          <w:rFonts w:ascii="仿宋_GB2312" w:eastAsia="仿宋_GB2312" w:hAnsi="仿宋_GB2312" w:cs="仿宋_GB2312" w:hint="eastAsia"/>
          <w:sz w:val="28"/>
          <w:szCs w:val="28"/>
        </w:rPr>
        <w:t>编制预算时</w:t>
      </w:r>
      <w:r w:rsidRPr="00D43A65">
        <w:rPr>
          <w:rFonts w:ascii="仿宋_GB2312" w:eastAsia="仿宋_GB2312" w:hAnsi="仿宋_GB2312" w:cs="仿宋_GB2312" w:hint="eastAsia"/>
          <w:sz w:val="28"/>
          <w:szCs w:val="28"/>
        </w:rPr>
        <w:t>要充分考虑</w:t>
      </w:r>
      <w:r w:rsidR="00B8119A">
        <w:rPr>
          <w:rFonts w:ascii="仿宋_GB2312" w:eastAsia="仿宋_GB2312" w:hAnsi="仿宋_GB2312" w:cs="仿宋_GB2312" w:hint="eastAsia"/>
          <w:sz w:val="28"/>
          <w:szCs w:val="28"/>
        </w:rPr>
        <w:t>各种</w:t>
      </w:r>
      <w:bookmarkStart w:id="0" w:name="_GoBack"/>
      <w:bookmarkEnd w:id="0"/>
      <w:r w:rsidRPr="00D43A65">
        <w:rPr>
          <w:rFonts w:ascii="仿宋_GB2312" w:eastAsia="仿宋_GB2312" w:hAnsi="仿宋_GB2312" w:cs="仿宋_GB2312" w:hint="eastAsia"/>
          <w:sz w:val="28"/>
          <w:szCs w:val="28"/>
        </w:rPr>
        <w:t>环境因素、市场因素</w:t>
      </w:r>
      <w:r>
        <w:rPr>
          <w:rFonts w:ascii="仿宋_GB2312" w:eastAsia="仿宋_GB2312" w:hAnsi="仿宋_GB2312" w:cs="仿宋_GB2312" w:hint="eastAsia"/>
          <w:sz w:val="28"/>
          <w:szCs w:val="28"/>
        </w:rPr>
        <w:t>等，提高预算的前瞻性、指导性和可行性。</w:t>
      </w:r>
    </w:p>
    <w:sectPr w:rsidR="00D43A65" w:rsidRPr="00EB7409" w:rsidSect="00EB7409">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0C3" w:rsidRDefault="003C20C3" w:rsidP="00EB7409">
      <w:r>
        <w:separator/>
      </w:r>
    </w:p>
  </w:endnote>
  <w:endnote w:type="continuationSeparator" w:id="0">
    <w:p w:rsidR="003C20C3" w:rsidRDefault="003C20C3" w:rsidP="00EB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0C3" w:rsidRDefault="003C20C3" w:rsidP="00EB7409">
      <w:r>
        <w:separator/>
      </w:r>
    </w:p>
  </w:footnote>
  <w:footnote w:type="continuationSeparator" w:id="0">
    <w:p w:rsidR="003C20C3" w:rsidRDefault="003C20C3" w:rsidP="00EB74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C5A"/>
    <w:rsid w:val="003A02EE"/>
    <w:rsid w:val="003C20C3"/>
    <w:rsid w:val="003F346E"/>
    <w:rsid w:val="00622862"/>
    <w:rsid w:val="00671C5A"/>
    <w:rsid w:val="006D7581"/>
    <w:rsid w:val="007738EB"/>
    <w:rsid w:val="0082517B"/>
    <w:rsid w:val="008C0617"/>
    <w:rsid w:val="00A16674"/>
    <w:rsid w:val="00AC1830"/>
    <w:rsid w:val="00B8119A"/>
    <w:rsid w:val="00C73CAF"/>
    <w:rsid w:val="00D43A65"/>
    <w:rsid w:val="00E15BFB"/>
    <w:rsid w:val="00EB7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B740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EB74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EB7409"/>
    <w:rPr>
      <w:sz w:val="18"/>
      <w:szCs w:val="18"/>
    </w:rPr>
  </w:style>
  <w:style w:type="paragraph" w:styleId="a5">
    <w:name w:val="footer"/>
    <w:basedOn w:val="a"/>
    <w:link w:val="Char0"/>
    <w:uiPriority w:val="99"/>
    <w:unhideWhenUsed/>
    <w:rsid w:val="00EB7409"/>
    <w:pPr>
      <w:tabs>
        <w:tab w:val="center" w:pos="4153"/>
        <w:tab w:val="right" w:pos="8306"/>
      </w:tabs>
      <w:snapToGrid w:val="0"/>
      <w:jc w:val="left"/>
    </w:pPr>
    <w:rPr>
      <w:sz w:val="18"/>
      <w:szCs w:val="18"/>
    </w:rPr>
  </w:style>
  <w:style w:type="character" w:customStyle="1" w:styleId="Char0">
    <w:name w:val="页脚 Char"/>
    <w:basedOn w:val="a1"/>
    <w:link w:val="a5"/>
    <w:uiPriority w:val="99"/>
    <w:rsid w:val="00EB7409"/>
    <w:rPr>
      <w:sz w:val="18"/>
      <w:szCs w:val="18"/>
    </w:rPr>
  </w:style>
  <w:style w:type="paragraph" w:styleId="a0">
    <w:name w:val="Normal Indent"/>
    <w:basedOn w:val="a"/>
    <w:uiPriority w:val="99"/>
    <w:semiHidden/>
    <w:unhideWhenUsed/>
    <w:rsid w:val="00EB740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B740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EB74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EB7409"/>
    <w:rPr>
      <w:sz w:val="18"/>
      <w:szCs w:val="18"/>
    </w:rPr>
  </w:style>
  <w:style w:type="paragraph" w:styleId="a5">
    <w:name w:val="footer"/>
    <w:basedOn w:val="a"/>
    <w:link w:val="Char0"/>
    <w:uiPriority w:val="99"/>
    <w:unhideWhenUsed/>
    <w:rsid w:val="00EB7409"/>
    <w:pPr>
      <w:tabs>
        <w:tab w:val="center" w:pos="4153"/>
        <w:tab w:val="right" w:pos="8306"/>
      </w:tabs>
      <w:snapToGrid w:val="0"/>
      <w:jc w:val="left"/>
    </w:pPr>
    <w:rPr>
      <w:sz w:val="18"/>
      <w:szCs w:val="18"/>
    </w:rPr>
  </w:style>
  <w:style w:type="character" w:customStyle="1" w:styleId="Char0">
    <w:name w:val="页脚 Char"/>
    <w:basedOn w:val="a1"/>
    <w:link w:val="a5"/>
    <w:uiPriority w:val="99"/>
    <w:rsid w:val="00EB7409"/>
    <w:rPr>
      <w:sz w:val="18"/>
      <w:szCs w:val="18"/>
    </w:rPr>
  </w:style>
  <w:style w:type="paragraph" w:styleId="a0">
    <w:name w:val="Normal Indent"/>
    <w:basedOn w:val="a"/>
    <w:uiPriority w:val="99"/>
    <w:semiHidden/>
    <w:unhideWhenUsed/>
    <w:rsid w:val="00EB74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dc:creator>
  <cp:keywords/>
  <dc:description/>
  <cp:lastModifiedBy>NY</cp:lastModifiedBy>
  <cp:revision>10</cp:revision>
  <dcterms:created xsi:type="dcterms:W3CDTF">2022-08-18T07:25:00Z</dcterms:created>
  <dcterms:modified xsi:type="dcterms:W3CDTF">2022-08-19T08:35:00Z</dcterms:modified>
</cp:coreProperties>
</file>