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0252" w:rsidRDefault="00F60252">
      <w:pPr>
        <w:widowControl/>
        <w:jc w:val="center"/>
        <w:rPr>
          <w:rFonts w:ascii="Times New Roman" w:eastAsia="仿宋_GB2312" w:hAnsi="Times New Roman" w:cs="Times New Roman"/>
          <w:b/>
          <w:bCs/>
          <w:kern w:val="0"/>
          <w:sz w:val="52"/>
          <w:szCs w:val="52"/>
        </w:rPr>
      </w:pPr>
    </w:p>
    <w:p w:rsidR="00F60252" w:rsidRDefault="00F60252">
      <w:pPr>
        <w:widowControl/>
        <w:rPr>
          <w:rFonts w:ascii="Times New Roman" w:eastAsia="仿宋_GB2312" w:hAnsi="Times New Roman" w:cs="Times New Roman"/>
          <w:b/>
          <w:bCs/>
          <w:kern w:val="0"/>
          <w:sz w:val="52"/>
          <w:szCs w:val="52"/>
        </w:rPr>
      </w:pPr>
    </w:p>
    <w:p w:rsidR="00F60252" w:rsidRDefault="0035015A">
      <w:pPr>
        <w:widowControl/>
        <w:jc w:val="center"/>
        <w:rPr>
          <w:rFonts w:ascii="Times New Roman" w:eastAsia="仿宋_GB2312" w:hAnsi="Times New Roman" w:cs="Times New Roman"/>
          <w:b/>
          <w:bCs/>
          <w:kern w:val="0"/>
          <w:sz w:val="48"/>
          <w:szCs w:val="48"/>
        </w:rPr>
      </w:pPr>
      <w:r>
        <w:rPr>
          <w:rFonts w:ascii="Times New Roman" w:eastAsia="仿宋_GB2312" w:hAnsi="Times New Roman" w:cs="Times New Roman" w:hint="eastAsia"/>
          <w:b/>
          <w:bCs/>
          <w:kern w:val="0"/>
          <w:sz w:val="48"/>
          <w:szCs w:val="48"/>
        </w:rPr>
        <w:t>中共北京市委网络安全和信息化</w:t>
      </w:r>
    </w:p>
    <w:p w:rsidR="005E620B" w:rsidRDefault="0035015A">
      <w:pPr>
        <w:widowControl/>
        <w:spacing w:beforeLines="50" w:before="156"/>
        <w:jc w:val="center"/>
        <w:rPr>
          <w:rFonts w:ascii="Times New Roman" w:eastAsia="仿宋_GB2312" w:hAnsi="Times New Roman" w:cs="Times New Roman"/>
          <w:b/>
          <w:bCs/>
          <w:kern w:val="0"/>
          <w:sz w:val="48"/>
          <w:szCs w:val="48"/>
        </w:rPr>
      </w:pPr>
      <w:r>
        <w:rPr>
          <w:rFonts w:ascii="Times New Roman" w:eastAsia="仿宋_GB2312" w:hAnsi="Times New Roman" w:cs="Times New Roman" w:hint="eastAsia"/>
          <w:b/>
          <w:bCs/>
          <w:kern w:val="0"/>
          <w:sz w:val="48"/>
          <w:szCs w:val="48"/>
        </w:rPr>
        <w:t>委员会办公室</w:t>
      </w:r>
    </w:p>
    <w:p w:rsidR="00F60252" w:rsidRPr="005E620B" w:rsidRDefault="0035015A" w:rsidP="005E620B">
      <w:pPr>
        <w:widowControl/>
        <w:spacing w:beforeLines="50" w:before="156"/>
        <w:jc w:val="center"/>
        <w:rPr>
          <w:rFonts w:ascii="Times New Roman" w:eastAsia="仿宋_GB2312" w:hAnsi="Times New Roman" w:cs="Times New Roman"/>
          <w:b/>
          <w:bCs/>
          <w:kern w:val="0"/>
          <w:sz w:val="48"/>
          <w:szCs w:val="48"/>
        </w:rPr>
      </w:pPr>
      <w:r>
        <w:rPr>
          <w:rFonts w:ascii="Times New Roman" w:eastAsia="仿宋_GB2312" w:hAnsi="Times New Roman" w:cs="Times New Roman" w:hint="eastAsia"/>
          <w:b/>
          <w:bCs/>
          <w:kern w:val="0"/>
          <w:sz w:val="48"/>
          <w:szCs w:val="48"/>
        </w:rPr>
        <w:t>部门整体绩效评价报告</w:t>
      </w:r>
      <w:r>
        <w:rPr>
          <w:rFonts w:ascii="Times New Roman" w:eastAsia="仿宋_GB2312" w:hAnsi="Times New Roman" w:cs="Times New Roman" w:hint="eastAsia"/>
          <w:b/>
          <w:bCs/>
          <w:kern w:val="0"/>
          <w:sz w:val="52"/>
          <w:szCs w:val="52"/>
        </w:rPr>
        <w:t xml:space="preserve">  </w:t>
      </w:r>
    </w:p>
    <w:p w:rsidR="00F60252" w:rsidRDefault="00F60252">
      <w:pPr>
        <w:widowControl/>
        <w:spacing w:before="100" w:beforeAutospacing="1" w:after="100" w:afterAutospacing="1" w:line="360" w:lineRule="auto"/>
        <w:ind w:rightChars="-27" w:right="-57" w:firstLine="482"/>
        <w:jc w:val="left"/>
        <w:rPr>
          <w:rFonts w:ascii="Times New Roman" w:eastAsia="仿宋_GB2312" w:hAnsi="Times New Roman" w:cs="Times New Roman"/>
          <w:b/>
          <w:color w:val="000000"/>
          <w:kern w:val="0"/>
          <w:sz w:val="24"/>
        </w:rPr>
      </w:pPr>
    </w:p>
    <w:p w:rsidR="00F60252" w:rsidRDefault="00F60252">
      <w:pPr>
        <w:widowControl/>
        <w:spacing w:before="100" w:beforeAutospacing="1" w:after="100" w:afterAutospacing="1" w:line="360" w:lineRule="auto"/>
        <w:ind w:rightChars="-27" w:right="-57" w:firstLine="482"/>
        <w:jc w:val="left"/>
        <w:rPr>
          <w:rFonts w:ascii="Times New Roman" w:eastAsia="仿宋_GB2312" w:hAnsi="Times New Roman" w:cs="Times New Roman"/>
          <w:b/>
          <w:color w:val="000000"/>
          <w:kern w:val="0"/>
          <w:sz w:val="24"/>
        </w:rPr>
      </w:pPr>
    </w:p>
    <w:p w:rsidR="00F60252" w:rsidRDefault="00F60252">
      <w:pPr>
        <w:widowControl/>
        <w:spacing w:before="100" w:beforeAutospacing="1" w:after="100" w:afterAutospacing="1" w:line="360" w:lineRule="auto"/>
        <w:ind w:rightChars="-27" w:right="-57" w:firstLine="482"/>
        <w:jc w:val="left"/>
        <w:rPr>
          <w:rFonts w:ascii="Times New Roman" w:eastAsia="仿宋_GB2312" w:hAnsi="Times New Roman" w:cs="Times New Roman"/>
          <w:b/>
          <w:color w:val="000000"/>
          <w:kern w:val="0"/>
          <w:sz w:val="24"/>
        </w:rPr>
      </w:pPr>
    </w:p>
    <w:p w:rsidR="00F60252" w:rsidRDefault="00F60252">
      <w:pPr>
        <w:widowControl/>
        <w:spacing w:before="100" w:beforeAutospacing="1" w:after="100" w:afterAutospacing="1" w:line="360" w:lineRule="auto"/>
        <w:ind w:rightChars="-27" w:right="-57" w:firstLine="482"/>
        <w:jc w:val="left"/>
        <w:rPr>
          <w:rFonts w:ascii="Times New Roman" w:eastAsia="仿宋_GB2312" w:hAnsi="Times New Roman" w:cs="Times New Roman"/>
          <w:b/>
          <w:color w:val="000000"/>
          <w:kern w:val="0"/>
          <w:sz w:val="24"/>
        </w:rPr>
      </w:pPr>
    </w:p>
    <w:p w:rsidR="00F60252" w:rsidRDefault="0035015A">
      <w:pPr>
        <w:widowControl/>
        <w:snapToGrid w:val="0"/>
        <w:spacing w:line="360" w:lineRule="auto"/>
        <w:ind w:rightChars="-27" w:right="-57"/>
        <w:jc w:val="left"/>
        <w:rPr>
          <w:rFonts w:ascii="仿宋_GB2312" w:eastAsia="仿宋_GB2312" w:hAnsi="Calibri" w:cs="Times New Roman"/>
          <w:color w:val="000000"/>
          <w:kern w:val="0"/>
          <w:sz w:val="32"/>
          <w:szCs w:val="32"/>
        </w:rPr>
      </w:pPr>
      <w:r>
        <w:rPr>
          <w:rFonts w:ascii="仿宋_GB2312" w:eastAsia="仿宋_GB2312" w:hAnsi="宋体" w:cs="Times New Roman"/>
          <w:color w:val="000000"/>
          <w:kern w:val="0"/>
          <w:sz w:val="32"/>
          <w:szCs w:val="32"/>
        </w:rPr>
        <w:t xml:space="preserve">  </w:t>
      </w:r>
    </w:p>
    <w:p w:rsidR="00F60252" w:rsidRDefault="00F60252">
      <w:pPr>
        <w:widowControl/>
        <w:spacing w:beforeLines="50" w:before="156" w:afterLines="50" w:after="156" w:line="360" w:lineRule="exact"/>
        <w:jc w:val="left"/>
        <w:rPr>
          <w:rFonts w:ascii="仿宋" w:eastAsia="仿宋" w:hAnsi="仿宋" w:cs="Times New Roman"/>
          <w:kern w:val="0"/>
          <w:sz w:val="32"/>
        </w:rPr>
      </w:pPr>
    </w:p>
    <w:p w:rsidR="00F60252" w:rsidRDefault="00F60252">
      <w:pPr>
        <w:widowControl/>
        <w:spacing w:line="360" w:lineRule="auto"/>
        <w:ind w:rightChars="-27" w:right="-57" w:firstLine="643"/>
        <w:jc w:val="center"/>
        <w:rPr>
          <w:rFonts w:ascii="Times New Roman" w:eastAsia="仿宋_GB2312" w:hAnsi="Times New Roman" w:cs="Times New Roman"/>
          <w:color w:val="000000"/>
          <w:kern w:val="0"/>
          <w:sz w:val="32"/>
          <w:szCs w:val="32"/>
        </w:rPr>
      </w:pPr>
    </w:p>
    <w:p w:rsidR="00F60252" w:rsidRDefault="00F60252">
      <w:pPr>
        <w:widowControl/>
        <w:jc w:val="center"/>
        <w:rPr>
          <w:rFonts w:ascii="仿宋" w:eastAsia="仿宋" w:hAnsi="仿宋" w:cs="Times New Roman"/>
          <w:b/>
          <w:kern w:val="0"/>
          <w:sz w:val="32"/>
          <w:szCs w:val="32"/>
        </w:rPr>
      </w:pPr>
    </w:p>
    <w:p w:rsidR="00F60252" w:rsidRDefault="00F60252">
      <w:pPr>
        <w:widowControl/>
        <w:jc w:val="center"/>
        <w:rPr>
          <w:rFonts w:ascii="仿宋" w:eastAsia="仿宋" w:hAnsi="仿宋" w:cs="Times New Roman"/>
          <w:b/>
          <w:kern w:val="0"/>
          <w:sz w:val="32"/>
          <w:szCs w:val="32"/>
        </w:rPr>
      </w:pPr>
    </w:p>
    <w:p w:rsidR="00F60252" w:rsidRDefault="00F60252">
      <w:pPr>
        <w:widowControl/>
        <w:jc w:val="center"/>
        <w:rPr>
          <w:rFonts w:ascii="仿宋" w:eastAsia="仿宋" w:hAnsi="仿宋" w:cs="Times New Roman"/>
          <w:b/>
          <w:kern w:val="0"/>
          <w:sz w:val="32"/>
          <w:szCs w:val="32"/>
        </w:rPr>
      </w:pPr>
    </w:p>
    <w:p w:rsidR="00F60252" w:rsidRDefault="00F60252">
      <w:pPr>
        <w:widowControl/>
        <w:jc w:val="center"/>
        <w:rPr>
          <w:rFonts w:ascii="仿宋" w:eastAsia="仿宋" w:hAnsi="仿宋" w:cs="Times New Roman"/>
          <w:b/>
          <w:kern w:val="0"/>
          <w:sz w:val="32"/>
          <w:szCs w:val="32"/>
        </w:rPr>
      </w:pPr>
    </w:p>
    <w:p w:rsidR="00F60252" w:rsidRDefault="00F60252">
      <w:pPr>
        <w:widowControl/>
        <w:jc w:val="center"/>
        <w:rPr>
          <w:rFonts w:ascii="仿宋" w:eastAsia="仿宋" w:hAnsi="仿宋" w:cs="Times New Roman"/>
          <w:b/>
          <w:kern w:val="0"/>
          <w:sz w:val="32"/>
          <w:szCs w:val="32"/>
        </w:rPr>
      </w:pPr>
    </w:p>
    <w:p w:rsidR="00F60252" w:rsidRDefault="0035015A">
      <w:pPr>
        <w:widowControl/>
        <w:jc w:val="center"/>
        <w:rPr>
          <w:rFonts w:ascii="仿宋_GB2312" w:eastAsia="仿宋" w:hAnsi="仿宋_GB2312" w:cs="仿宋_GB2312"/>
          <w:sz w:val="40"/>
          <w:szCs w:val="48"/>
        </w:rPr>
        <w:sectPr w:rsidR="00F60252">
          <w:headerReference w:type="default" r:id="rId8"/>
          <w:pgSz w:w="11906" w:h="16838"/>
          <w:pgMar w:top="1418" w:right="1701" w:bottom="851" w:left="1418" w:header="851" w:footer="992" w:gutter="0"/>
          <w:pgNumType w:start="1"/>
          <w:cols w:space="425"/>
          <w:docGrid w:type="lines" w:linePitch="312"/>
        </w:sectPr>
      </w:pPr>
      <w:r>
        <w:rPr>
          <w:rFonts w:ascii="仿宋" w:eastAsia="仿宋" w:hAnsi="仿宋" w:cs="Times New Roman"/>
          <w:b/>
          <w:kern w:val="0"/>
          <w:sz w:val="32"/>
          <w:szCs w:val="32"/>
        </w:rPr>
        <w:t>二○二</w:t>
      </w:r>
      <w:r>
        <w:rPr>
          <w:rFonts w:ascii="仿宋" w:eastAsia="仿宋" w:hAnsi="仿宋" w:cs="Times New Roman" w:hint="eastAsia"/>
          <w:b/>
          <w:kern w:val="0"/>
          <w:sz w:val="32"/>
          <w:szCs w:val="32"/>
        </w:rPr>
        <w:t>二</w:t>
      </w:r>
      <w:r>
        <w:rPr>
          <w:rFonts w:ascii="仿宋" w:eastAsia="仿宋" w:hAnsi="仿宋" w:cs="Times New Roman"/>
          <w:b/>
          <w:kern w:val="0"/>
          <w:sz w:val="32"/>
          <w:szCs w:val="32"/>
        </w:rPr>
        <w:t>年</w:t>
      </w:r>
      <w:r>
        <w:rPr>
          <w:rFonts w:ascii="仿宋" w:eastAsia="仿宋" w:hAnsi="仿宋" w:cs="Times New Roman" w:hint="eastAsia"/>
          <w:b/>
          <w:kern w:val="0"/>
          <w:sz w:val="32"/>
          <w:szCs w:val="32"/>
        </w:rPr>
        <w:t>五月</w:t>
      </w:r>
    </w:p>
    <w:sdt>
      <w:sdtPr>
        <w:rPr>
          <w:rFonts w:ascii="宋体" w:eastAsia="宋体" w:hAnsi="宋体"/>
        </w:rPr>
        <w:id w:val="147456682"/>
        <w15:color w:val="DBDBDB"/>
        <w:docPartObj>
          <w:docPartGallery w:val="Table of Contents"/>
          <w:docPartUnique/>
        </w:docPartObj>
      </w:sdtPr>
      <w:sdtEndPr>
        <w:rPr>
          <w:rFonts w:ascii="方正小标宋简体" w:eastAsia="方正小标宋简体" w:hAnsi="黑体" w:cs="Arial" w:hint="eastAsia"/>
          <w:b/>
          <w:bCs/>
          <w:szCs w:val="40"/>
        </w:rPr>
      </w:sdtEndPr>
      <w:sdtContent>
        <w:p w:rsidR="00F60252" w:rsidRDefault="0035015A">
          <w:pPr>
            <w:jc w:val="center"/>
            <w:rPr>
              <w:b/>
              <w:bCs/>
              <w:sz w:val="40"/>
              <w:szCs w:val="48"/>
            </w:rPr>
          </w:pPr>
          <w:r>
            <w:rPr>
              <w:rFonts w:ascii="宋体" w:eastAsia="宋体" w:hAnsi="宋体"/>
              <w:b/>
              <w:bCs/>
              <w:sz w:val="40"/>
              <w:szCs w:val="48"/>
            </w:rPr>
            <w:t>目录</w:t>
          </w:r>
        </w:p>
        <w:p w:rsidR="00F60252" w:rsidRDefault="0035015A">
          <w:pPr>
            <w:pStyle w:val="WPSOffice1"/>
            <w:tabs>
              <w:tab w:val="right" w:leader="dot" w:pos="8844"/>
            </w:tabs>
            <w:rPr>
              <w:b/>
            </w:rPr>
          </w:pPr>
          <w:r>
            <w:rPr>
              <w:rFonts w:ascii="方正小标宋简体" w:eastAsia="方正小标宋简体" w:hAnsi="黑体" w:cs="Arial" w:hint="eastAsia"/>
              <w:bCs/>
              <w:sz w:val="40"/>
              <w:szCs w:val="40"/>
            </w:rPr>
            <w:fldChar w:fldCharType="begin"/>
          </w:r>
          <w:r>
            <w:rPr>
              <w:rFonts w:ascii="方正小标宋简体" w:eastAsia="方正小标宋简体" w:hAnsi="黑体" w:cs="Arial" w:hint="eastAsia"/>
              <w:bCs/>
              <w:sz w:val="40"/>
              <w:szCs w:val="40"/>
            </w:rPr>
            <w:instrText xml:space="preserve">TOC \o "1-2" \h \u </w:instrText>
          </w:r>
          <w:r>
            <w:rPr>
              <w:rFonts w:ascii="方正小标宋简体" w:eastAsia="方正小标宋简体" w:hAnsi="黑体" w:cs="Arial" w:hint="eastAsia"/>
              <w:bCs/>
              <w:sz w:val="40"/>
              <w:szCs w:val="40"/>
            </w:rPr>
            <w:fldChar w:fldCharType="separate"/>
          </w:r>
        </w:p>
        <w:p w:rsidR="00F60252" w:rsidRDefault="0055295A">
          <w:pPr>
            <w:pStyle w:val="WPSOffice1"/>
            <w:tabs>
              <w:tab w:val="right" w:leader="dot" w:pos="8844"/>
            </w:tabs>
            <w:rPr>
              <w:rFonts w:ascii="仿宋_GB2312" w:eastAsia="仿宋_GB2312" w:hAnsi="宋体" w:cs="宋体"/>
              <w:color w:val="000000"/>
              <w:sz w:val="32"/>
              <w:szCs w:val="32"/>
            </w:rPr>
          </w:pPr>
          <w:hyperlink w:anchor="_Toc1632" w:history="1">
            <w:r w:rsidR="0035015A">
              <w:rPr>
                <w:rFonts w:ascii="仿宋_GB2312" w:eastAsia="仿宋_GB2312" w:hAnsi="宋体" w:cs="宋体" w:hint="eastAsia"/>
                <w:color w:val="000000"/>
                <w:sz w:val="32"/>
                <w:szCs w:val="32"/>
              </w:rPr>
              <w:t>一、部门概况</w:t>
            </w:r>
            <w:r w:rsidR="0035015A">
              <w:rPr>
                <w:rFonts w:ascii="仿宋_GB2312" w:eastAsia="仿宋_GB2312" w:hAnsi="宋体" w:cs="宋体" w:hint="eastAsia"/>
                <w:color w:val="000000"/>
                <w:sz w:val="32"/>
                <w:szCs w:val="32"/>
              </w:rPr>
              <w:tab/>
            </w:r>
            <w:r w:rsidR="0035015A">
              <w:rPr>
                <w:rFonts w:ascii="仿宋_GB2312" w:eastAsia="仿宋_GB2312" w:hAnsi="宋体" w:cs="宋体" w:hint="eastAsia"/>
                <w:color w:val="000000"/>
                <w:sz w:val="32"/>
                <w:szCs w:val="32"/>
              </w:rPr>
              <w:fldChar w:fldCharType="begin"/>
            </w:r>
            <w:r w:rsidR="0035015A">
              <w:rPr>
                <w:rFonts w:ascii="仿宋_GB2312" w:eastAsia="仿宋_GB2312" w:hAnsi="宋体" w:cs="宋体" w:hint="eastAsia"/>
                <w:color w:val="000000"/>
                <w:sz w:val="32"/>
                <w:szCs w:val="32"/>
              </w:rPr>
              <w:instrText xml:space="preserve"> PAGEREF _Toc1632 \h </w:instrText>
            </w:r>
            <w:r w:rsidR="0035015A">
              <w:rPr>
                <w:rFonts w:ascii="仿宋_GB2312" w:eastAsia="仿宋_GB2312" w:hAnsi="宋体" w:cs="宋体" w:hint="eastAsia"/>
                <w:color w:val="000000"/>
                <w:sz w:val="32"/>
                <w:szCs w:val="32"/>
              </w:rPr>
            </w:r>
            <w:r w:rsidR="0035015A">
              <w:rPr>
                <w:rFonts w:ascii="仿宋_GB2312" w:eastAsia="仿宋_GB2312" w:hAnsi="宋体" w:cs="宋体" w:hint="eastAsia"/>
                <w:color w:val="000000"/>
                <w:sz w:val="32"/>
                <w:szCs w:val="32"/>
              </w:rPr>
              <w:fldChar w:fldCharType="separate"/>
            </w:r>
            <w:r w:rsidR="0035015A">
              <w:rPr>
                <w:rFonts w:ascii="仿宋_GB2312" w:eastAsia="仿宋_GB2312" w:hAnsi="宋体" w:cs="宋体" w:hint="eastAsia"/>
                <w:color w:val="000000"/>
                <w:sz w:val="32"/>
                <w:szCs w:val="32"/>
              </w:rPr>
              <w:t>1</w:t>
            </w:r>
            <w:r w:rsidR="0035015A">
              <w:rPr>
                <w:rFonts w:ascii="仿宋_GB2312" w:eastAsia="仿宋_GB2312" w:hAnsi="宋体" w:cs="宋体" w:hint="eastAsia"/>
                <w:color w:val="000000"/>
                <w:sz w:val="32"/>
                <w:szCs w:val="32"/>
              </w:rPr>
              <w:fldChar w:fldCharType="end"/>
            </w:r>
          </w:hyperlink>
        </w:p>
        <w:p w:rsidR="00F60252" w:rsidRDefault="0055295A">
          <w:pPr>
            <w:pStyle w:val="WPSOffice2"/>
            <w:tabs>
              <w:tab w:val="right" w:leader="dot" w:pos="8844"/>
            </w:tabs>
            <w:ind w:left="420"/>
            <w:rPr>
              <w:rFonts w:ascii="仿宋_GB2312" w:eastAsia="仿宋_GB2312" w:hAnsi="宋体" w:cs="宋体"/>
              <w:color w:val="000000"/>
              <w:sz w:val="32"/>
              <w:szCs w:val="32"/>
            </w:rPr>
          </w:pPr>
          <w:hyperlink w:anchor="_Toc25660" w:history="1">
            <w:r w:rsidR="0035015A">
              <w:rPr>
                <w:rFonts w:ascii="仿宋_GB2312" w:eastAsia="仿宋_GB2312" w:hAnsi="宋体" w:cs="宋体" w:hint="eastAsia"/>
                <w:color w:val="000000"/>
                <w:sz w:val="32"/>
                <w:szCs w:val="32"/>
              </w:rPr>
              <w:t>（一）机构设置及职责工作任务情况</w:t>
            </w:r>
            <w:r w:rsidR="0035015A">
              <w:rPr>
                <w:rFonts w:ascii="仿宋_GB2312" w:eastAsia="仿宋_GB2312" w:hAnsi="宋体" w:cs="宋体" w:hint="eastAsia"/>
                <w:color w:val="000000"/>
                <w:sz w:val="32"/>
                <w:szCs w:val="32"/>
              </w:rPr>
              <w:tab/>
            </w:r>
            <w:r w:rsidR="0035015A">
              <w:rPr>
                <w:rFonts w:ascii="仿宋_GB2312" w:eastAsia="仿宋_GB2312" w:hAnsi="宋体" w:cs="宋体" w:hint="eastAsia"/>
                <w:color w:val="000000"/>
                <w:sz w:val="32"/>
                <w:szCs w:val="32"/>
              </w:rPr>
              <w:fldChar w:fldCharType="begin"/>
            </w:r>
            <w:r w:rsidR="0035015A">
              <w:rPr>
                <w:rFonts w:ascii="仿宋_GB2312" w:eastAsia="仿宋_GB2312" w:hAnsi="宋体" w:cs="宋体" w:hint="eastAsia"/>
                <w:color w:val="000000"/>
                <w:sz w:val="32"/>
                <w:szCs w:val="32"/>
              </w:rPr>
              <w:instrText xml:space="preserve"> PAGEREF _Toc25660 \h </w:instrText>
            </w:r>
            <w:r w:rsidR="0035015A">
              <w:rPr>
                <w:rFonts w:ascii="仿宋_GB2312" w:eastAsia="仿宋_GB2312" w:hAnsi="宋体" w:cs="宋体" w:hint="eastAsia"/>
                <w:color w:val="000000"/>
                <w:sz w:val="32"/>
                <w:szCs w:val="32"/>
              </w:rPr>
            </w:r>
            <w:r w:rsidR="0035015A">
              <w:rPr>
                <w:rFonts w:ascii="仿宋_GB2312" w:eastAsia="仿宋_GB2312" w:hAnsi="宋体" w:cs="宋体" w:hint="eastAsia"/>
                <w:color w:val="000000"/>
                <w:sz w:val="32"/>
                <w:szCs w:val="32"/>
              </w:rPr>
              <w:fldChar w:fldCharType="separate"/>
            </w:r>
            <w:r w:rsidR="0035015A">
              <w:rPr>
                <w:rFonts w:ascii="仿宋_GB2312" w:eastAsia="仿宋_GB2312" w:hAnsi="宋体" w:cs="宋体" w:hint="eastAsia"/>
                <w:color w:val="000000"/>
                <w:sz w:val="32"/>
                <w:szCs w:val="32"/>
              </w:rPr>
              <w:t>1</w:t>
            </w:r>
            <w:r w:rsidR="0035015A">
              <w:rPr>
                <w:rFonts w:ascii="仿宋_GB2312" w:eastAsia="仿宋_GB2312" w:hAnsi="宋体" w:cs="宋体" w:hint="eastAsia"/>
                <w:color w:val="000000"/>
                <w:sz w:val="32"/>
                <w:szCs w:val="32"/>
              </w:rPr>
              <w:fldChar w:fldCharType="end"/>
            </w:r>
          </w:hyperlink>
        </w:p>
        <w:p w:rsidR="00F60252" w:rsidRDefault="0055295A">
          <w:pPr>
            <w:pStyle w:val="WPSOffice2"/>
            <w:tabs>
              <w:tab w:val="right" w:leader="dot" w:pos="8844"/>
            </w:tabs>
            <w:ind w:left="420"/>
            <w:rPr>
              <w:rFonts w:ascii="仿宋_GB2312" w:eastAsia="仿宋_GB2312" w:hAnsi="宋体" w:cs="宋体"/>
              <w:color w:val="000000"/>
              <w:sz w:val="32"/>
              <w:szCs w:val="32"/>
            </w:rPr>
          </w:pPr>
          <w:hyperlink w:anchor="_Toc30369" w:history="1">
            <w:r w:rsidR="0035015A">
              <w:rPr>
                <w:rFonts w:ascii="仿宋_GB2312" w:eastAsia="仿宋_GB2312" w:hAnsi="宋体" w:cs="宋体" w:hint="eastAsia"/>
                <w:color w:val="000000"/>
                <w:sz w:val="32"/>
                <w:szCs w:val="32"/>
              </w:rPr>
              <w:t>（二）部门整体绩效目标设立情况</w:t>
            </w:r>
            <w:r w:rsidR="0035015A">
              <w:rPr>
                <w:rFonts w:ascii="仿宋_GB2312" w:eastAsia="仿宋_GB2312" w:hAnsi="宋体" w:cs="宋体" w:hint="eastAsia"/>
                <w:color w:val="000000"/>
                <w:sz w:val="32"/>
                <w:szCs w:val="32"/>
              </w:rPr>
              <w:tab/>
            </w:r>
            <w:r w:rsidR="0035015A">
              <w:rPr>
                <w:rFonts w:ascii="仿宋_GB2312" w:eastAsia="仿宋_GB2312" w:hAnsi="宋体" w:cs="宋体" w:hint="eastAsia"/>
                <w:color w:val="000000"/>
                <w:sz w:val="32"/>
                <w:szCs w:val="32"/>
              </w:rPr>
              <w:fldChar w:fldCharType="begin"/>
            </w:r>
            <w:r w:rsidR="0035015A">
              <w:rPr>
                <w:rFonts w:ascii="仿宋_GB2312" w:eastAsia="仿宋_GB2312" w:hAnsi="宋体" w:cs="宋体" w:hint="eastAsia"/>
                <w:color w:val="000000"/>
                <w:sz w:val="32"/>
                <w:szCs w:val="32"/>
              </w:rPr>
              <w:instrText xml:space="preserve"> PAGEREF _Toc30369 \h </w:instrText>
            </w:r>
            <w:r w:rsidR="0035015A">
              <w:rPr>
                <w:rFonts w:ascii="仿宋_GB2312" w:eastAsia="仿宋_GB2312" w:hAnsi="宋体" w:cs="宋体" w:hint="eastAsia"/>
                <w:color w:val="000000"/>
                <w:sz w:val="32"/>
                <w:szCs w:val="32"/>
              </w:rPr>
            </w:r>
            <w:r w:rsidR="0035015A">
              <w:rPr>
                <w:rFonts w:ascii="仿宋_GB2312" w:eastAsia="仿宋_GB2312" w:hAnsi="宋体" w:cs="宋体" w:hint="eastAsia"/>
                <w:color w:val="000000"/>
                <w:sz w:val="32"/>
                <w:szCs w:val="32"/>
              </w:rPr>
              <w:fldChar w:fldCharType="separate"/>
            </w:r>
            <w:r w:rsidR="0035015A">
              <w:rPr>
                <w:rFonts w:ascii="仿宋_GB2312" w:eastAsia="仿宋_GB2312" w:hAnsi="宋体" w:cs="宋体" w:hint="eastAsia"/>
                <w:color w:val="000000"/>
                <w:sz w:val="32"/>
                <w:szCs w:val="32"/>
              </w:rPr>
              <w:t>2</w:t>
            </w:r>
            <w:r w:rsidR="0035015A">
              <w:rPr>
                <w:rFonts w:ascii="仿宋_GB2312" w:eastAsia="仿宋_GB2312" w:hAnsi="宋体" w:cs="宋体" w:hint="eastAsia"/>
                <w:color w:val="000000"/>
                <w:sz w:val="32"/>
                <w:szCs w:val="32"/>
              </w:rPr>
              <w:fldChar w:fldCharType="end"/>
            </w:r>
          </w:hyperlink>
        </w:p>
        <w:p w:rsidR="00F60252" w:rsidRDefault="0055295A">
          <w:pPr>
            <w:pStyle w:val="WPSOffice1"/>
            <w:tabs>
              <w:tab w:val="right" w:leader="dot" w:pos="8844"/>
            </w:tabs>
            <w:rPr>
              <w:rFonts w:ascii="仿宋_GB2312" w:eastAsia="仿宋_GB2312" w:hAnsi="宋体" w:cs="宋体"/>
              <w:color w:val="000000"/>
              <w:sz w:val="32"/>
              <w:szCs w:val="32"/>
            </w:rPr>
          </w:pPr>
          <w:hyperlink w:anchor="_Toc31801" w:history="1">
            <w:r w:rsidR="0035015A">
              <w:rPr>
                <w:rFonts w:ascii="仿宋_GB2312" w:eastAsia="仿宋_GB2312" w:hAnsi="宋体" w:cs="宋体" w:hint="eastAsia"/>
                <w:color w:val="000000"/>
                <w:sz w:val="32"/>
                <w:szCs w:val="32"/>
              </w:rPr>
              <w:t>二、当年预算执行情况</w:t>
            </w:r>
            <w:r w:rsidR="0035015A">
              <w:rPr>
                <w:rFonts w:ascii="仿宋_GB2312" w:eastAsia="仿宋_GB2312" w:hAnsi="宋体" w:cs="宋体" w:hint="eastAsia"/>
                <w:color w:val="000000"/>
                <w:sz w:val="32"/>
                <w:szCs w:val="32"/>
              </w:rPr>
              <w:tab/>
            </w:r>
            <w:r w:rsidR="0035015A">
              <w:rPr>
                <w:rFonts w:ascii="仿宋_GB2312" w:eastAsia="仿宋_GB2312" w:hAnsi="宋体" w:cs="宋体" w:hint="eastAsia"/>
                <w:color w:val="000000"/>
                <w:sz w:val="32"/>
                <w:szCs w:val="32"/>
              </w:rPr>
              <w:fldChar w:fldCharType="begin"/>
            </w:r>
            <w:r w:rsidR="0035015A">
              <w:rPr>
                <w:rFonts w:ascii="仿宋_GB2312" w:eastAsia="仿宋_GB2312" w:hAnsi="宋体" w:cs="宋体" w:hint="eastAsia"/>
                <w:color w:val="000000"/>
                <w:sz w:val="32"/>
                <w:szCs w:val="32"/>
              </w:rPr>
              <w:instrText xml:space="preserve"> PAGEREF _Toc31801 \h </w:instrText>
            </w:r>
            <w:r w:rsidR="0035015A">
              <w:rPr>
                <w:rFonts w:ascii="仿宋_GB2312" w:eastAsia="仿宋_GB2312" w:hAnsi="宋体" w:cs="宋体" w:hint="eastAsia"/>
                <w:color w:val="000000"/>
                <w:sz w:val="32"/>
                <w:szCs w:val="32"/>
              </w:rPr>
            </w:r>
            <w:r w:rsidR="0035015A">
              <w:rPr>
                <w:rFonts w:ascii="仿宋_GB2312" w:eastAsia="仿宋_GB2312" w:hAnsi="宋体" w:cs="宋体" w:hint="eastAsia"/>
                <w:color w:val="000000"/>
                <w:sz w:val="32"/>
                <w:szCs w:val="32"/>
              </w:rPr>
              <w:fldChar w:fldCharType="separate"/>
            </w:r>
            <w:r w:rsidR="0035015A">
              <w:rPr>
                <w:rFonts w:ascii="仿宋_GB2312" w:eastAsia="仿宋_GB2312" w:hAnsi="宋体" w:cs="宋体" w:hint="eastAsia"/>
                <w:color w:val="000000"/>
                <w:sz w:val="32"/>
                <w:szCs w:val="32"/>
              </w:rPr>
              <w:t>6</w:t>
            </w:r>
            <w:r w:rsidR="0035015A">
              <w:rPr>
                <w:rFonts w:ascii="仿宋_GB2312" w:eastAsia="仿宋_GB2312" w:hAnsi="宋体" w:cs="宋体" w:hint="eastAsia"/>
                <w:color w:val="000000"/>
                <w:sz w:val="32"/>
                <w:szCs w:val="32"/>
              </w:rPr>
              <w:fldChar w:fldCharType="end"/>
            </w:r>
          </w:hyperlink>
        </w:p>
        <w:p w:rsidR="00F60252" w:rsidRDefault="0055295A">
          <w:pPr>
            <w:pStyle w:val="WPSOffice1"/>
            <w:tabs>
              <w:tab w:val="right" w:leader="dot" w:pos="8844"/>
            </w:tabs>
            <w:rPr>
              <w:rFonts w:ascii="仿宋_GB2312" w:eastAsia="仿宋_GB2312" w:hAnsi="宋体" w:cs="宋体"/>
              <w:color w:val="000000"/>
              <w:sz w:val="32"/>
              <w:szCs w:val="32"/>
            </w:rPr>
          </w:pPr>
          <w:hyperlink w:anchor="_Toc13067" w:history="1">
            <w:r w:rsidR="0035015A">
              <w:rPr>
                <w:rFonts w:ascii="仿宋_GB2312" w:eastAsia="仿宋_GB2312" w:hAnsi="宋体" w:cs="宋体" w:hint="eastAsia"/>
                <w:color w:val="000000"/>
                <w:sz w:val="32"/>
                <w:szCs w:val="32"/>
              </w:rPr>
              <w:t>三、整体绩效目标实现情况</w:t>
            </w:r>
            <w:r w:rsidR="0035015A">
              <w:rPr>
                <w:rFonts w:ascii="仿宋_GB2312" w:eastAsia="仿宋_GB2312" w:hAnsi="宋体" w:cs="宋体" w:hint="eastAsia"/>
                <w:color w:val="000000"/>
                <w:sz w:val="32"/>
                <w:szCs w:val="32"/>
              </w:rPr>
              <w:tab/>
            </w:r>
            <w:r w:rsidR="0035015A">
              <w:rPr>
                <w:rFonts w:ascii="仿宋_GB2312" w:eastAsia="仿宋_GB2312" w:hAnsi="宋体" w:cs="宋体" w:hint="eastAsia"/>
                <w:color w:val="000000"/>
                <w:sz w:val="32"/>
                <w:szCs w:val="32"/>
              </w:rPr>
              <w:fldChar w:fldCharType="begin"/>
            </w:r>
            <w:r w:rsidR="0035015A">
              <w:rPr>
                <w:rFonts w:ascii="仿宋_GB2312" w:eastAsia="仿宋_GB2312" w:hAnsi="宋体" w:cs="宋体" w:hint="eastAsia"/>
                <w:color w:val="000000"/>
                <w:sz w:val="32"/>
                <w:szCs w:val="32"/>
              </w:rPr>
              <w:instrText xml:space="preserve"> PAGEREF _Toc13067 \h </w:instrText>
            </w:r>
            <w:r w:rsidR="0035015A">
              <w:rPr>
                <w:rFonts w:ascii="仿宋_GB2312" w:eastAsia="仿宋_GB2312" w:hAnsi="宋体" w:cs="宋体" w:hint="eastAsia"/>
                <w:color w:val="000000"/>
                <w:sz w:val="32"/>
                <w:szCs w:val="32"/>
              </w:rPr>
            </w:r>
            <w:r w:rsidR="0035015A">
              <w:rPr>
                <w:rFonts w:ascii="仿宋_GB2312" w:eastAsia="仿宋_GB2312" w:hAnsi="宋体" w:cs="宋体" w:hint="eastAsia"/>
                <w:color w:val="000000"/>
                <w:sz w:val="32"/>
                <w:szCs w:val="32"/>
              </w:rPr>
              <w:fldChar w:fldCharType="separate"/>
            </w:r>
            <w:r w:rsidR="0035015A">
              <w:rPr>
                <w:rFonts w:ascii="仿宋_GB2312" w:eastAsia="仿宋_GB2312" w:hAnsi="宋体" w:cs="宋体" w:hint="eastAsia"/>
                <w:color w:val="000000"/>
                <w:sz w:val="32"/>
                <w:szCs w:val="32"/>
              </w:rPr>
              <w:t>6</w:t>
            </w:r>
            <w:r w:rsidR="0035015A">
              <w:rPr>
                <w:rFonts w:ascii="仿宋_GB2312" w:eastAsia="仿宋_GB2312" w:hAnsi="宋体" w:cs="宋体" w:hint="eastAsia"/>
                <w:color w:val="000000"/>
                <w:sz w:val="32"/>
                <w:szCs w:val="32"/>
              </w:rPr>
              <w:fldChar w:fldCharType="end"/>
            </w:r>
          </w:hyperlink>
        </w:p>
        <w:p w:rsidR="00F60252" w:rsidRDefault="0055295A">
          <w:pPr>
            <w:pStyle w:val="WPSOffice2"/>
            <w:tabs>
              <w:tab w:val="right" w:leader="dot" w:pos="8844"/>
            </w:tabs>
            <w:ind w:left="420"/>
            <w:rPr>
              <w:rFonts w:ascii="仿宋_GB2312" w:eastAsia="仿宋_GB2312" w:hAnsi="宋体" w:cs="宋体"/>
              <w:color w:val="000000"/>
              <w:sz w:val="32"/>
              <w:szCs w:val="32"/>
            </w:rPr>
          </w:pPr>
          <w:hyperlink w:anchor="_Toc32243" w:history="1">
            <w:r w:rsidR="0035015A">
              <w:rPr>
                <w:rFonts w:ascii="仿宋_GB2312" w:eastAsia="仿宋_GB2312" w:hAnsi="宋体" w:cs="宋体" w:hint="eastAsia"/>
                <w:color w:val="000000"/>
                <w:sz w:val="32"/>
                <w:szCs w:val="32"/>
              </w:rPr>
              <w:t>（一）产出完成情况分析</w:t>
            </w:r>
            <w:r w:rsidR="0035015A">
              <w:rPr>
                <w:rFonts w:ascii="仿宋_GB2312" w:eastAsia="仿宋_GB2312" w:hAnsi="宋体" w:cs="宋体" w:hint="eastAsia"/>
                <w:color w:val="000000"/>
                <w:sz w:val="32"/>
                <w:szCs w:val="32"/>
              </w:rPr>
              <w:tab/>
            </w:r>
            <w:r w:rsidR="0035015A">
              <w:rPr>
                <w:rFonts w:ascii="仿宋_GB2312" w:eastAsia="仿宋_GB2312" w:hAnsi="宋体" w:cs="宋体" w:hint="eastAsia"/>
                <w:color w:val="000000"/>
                <w:sz w:val="32"/>
                <w:szCs w:val="32"/>
              </w:rPr>
              <w:fldChar w:fldCharType="begin"/>
            </w:r>
            <w:r w:rsidR="0035015A">
              <w:rPr>
                <w:rFonts w:ascii="仿宋_GB2312" w:eastAsia="仿宋_GB2312" w:hAnsi="宋体" w:cs="宋体" w:hint="eastAsia"/>
                <w:color w:val="000000"/>
                <w:sz w:val="32"/>
                <w:szCs w:val="32"/>
              </w:rPr>
              <w:instrText xml:space="preserve"> PAGEREF _Toc32243 \h </w:instrText>
            </w:r>
            <w:r w:rsidR="0035015A">
              <w:rPr>
                <w:rFonts w:ascii="仿宋_GB2312" w:eastAsia="仿宋_GB2312" w:hAnsi="宋体" w:cs="宋体" w:hint="eastAsia"/>
                <w:color w:val="000000"/>
                <w:sz w:val="32"/>
                <w:szCs w:val="32"/>
              </w:rPr>
            </w:r>
            <w:r w:rsidR="0035015A">
              <w:rPr>
                <w:rFonts w:ascii="仿宋_GB2312" w:eastAsia="仿宋_GB2312" w:hAnsi="宋体" w:cs="宋体" w:hint="eastAsia"/>
                <w:color w:val="000000"/>
                <w:sz w:val="32"/>
                <w:szCs w:val="32"/>
              </w:rPr>
              <w:fldChar w:fldCharType="separate"/>
            </w:r>
            <w:r w:rsidR="0035015A">
              <w:rPr>
                <w:rFonts w:ascii="仿宋_GB2312" w:eastAsia="仿宋_GB2312" w:hAnsi="宋体" w:cs="宋体" w:hint="eastAsia"/>
                <w:color w:val="000000"/>
                <w:sz w:val="32"/>
                <w:szCs w:val="32"/>
              </w:rPr>
              <w:t>7</w:t>
            </w:r>
            <w:r w:rsidR="0035015A">
              <w:rPr>
                <w:rFonts w:ascii="仿宋_GB2312" w:eastAsia="仿宋_GB2312" w:hAnsi="宋体" w:cs="宋体" w:hint="eastAsia"/>
                <w:color w:val="000000"/>
                <w:sz w:val="32"/>
                <w:szCs w:val="32"/>
              </w:rPr>
              <w:fldChar w:fldCharType="end"/>
            </w:r>
          </w:hyperlink>
        </w:p>
        <w:p w:rsidR="00F60252" w:rsidRDefault="0055295A">
          <w:pPr>
            <w:pStyle w:val="WPSOffice2"/>
            <w:tabs>
              <w:tab w:val="right" w:leader="dot" w:pos="8844"/>
            </w:tabs>
            <w:ind w:left="420"/>
            <w:rPr>
              <w:rFonts w:ascii="仿宋_GB2312" w:eastAsia="仿宋_GB2312" w:hAnsi="宋体" w:cs="宋体"/>
              <w:color w:val="000000"/>
              <w:sz w:val="32"/>
              <w:szCs w:val="32"/>
            </w:rPr>
          </w:pPr>
          <w:hyperlink w:anchor="_Toc15509" w:history="1">
            <w:r w:rsidR="0035015A">
              <w:rPr>
                <w:rFonts w:ascii="仿宋_GB2312" w:eastAsia="仿宋_GB2312" w:hAnsi="宋体" w:cs="宋体" w:hint="eastAsia"/>
                <w:color w:val="000000"/>
                <w:sz w:val="32"/>
                <w:szCs w:val="32"/>
              </w:rPr>
              <w:t>（二）效果实现情况分析</w:t>
            </w:r>
            <w:r w:rsidR="0035015A">
              <w:rPr>
                <w:rFonts w:ascii="仿宋_GB2312" w:eastAsia="仿宋_GB2312" w:hAnsi="宋体" w:cs="宋体" w:hint="eastAsia"/>
                <w:color w:val="000000"/>
                <w:sz w:val="32"/>
                <w:szCs w:val="32"/>
              </w:rPr>
              <w:tab/>
            </w:r>
            <w:r w:rsidR="0035015A">
              <w:rPr>
                <w:rFonts w:ascii="仿宋_GB2312" w:eastAsia="仿宋_GB2312" w:hAnsi="宋体" w:cs="宋体" w:hint="eastAsia"/>
                <w:color w:val="000000"/>
                <w:sz w:val="32"/>
                <w:szCs w:val="32"/>
              </w:rPr>
              <w:fldChar w:fldCharType="begin"/>
            </w:r>
            <w:r w:rsidR="0035015A">
              <w:rPr>
                <w:rFonts w:ascii="仿宋_GB2312" w:eastAsia="仿宋_GB2312" w:hAnsi="宋体" w:cs="宋体" w:hint="eastAsia"/>
                <w:color w:val="000000"/>
                <w:sz w:val="32"/>
                <w:szCs w:val="32"/>
              </w:rPr>
              <w:instrText xml:space="preserve"> PAGEREF _Toc15509 \h </w:instrText>
            </w:r>
            <w:r w:rsidR="0035015A">
              <w:rPr>
                <w:rFonts w:ascii="仿宋_GB2312" w:eastAsia="仿宋_GB2312" w:hAnsi="宋体" w:cs="宋体" w:hint="eastAsia"/>
                <w:color w:val="000000"/>
                <w:sz w:val="32"/>
                <w:szCs w:val="32"/>
              </w:rPr>
            </w:r>
            <w:r w:rsidR="0035015A">
              <w:rPr>
                <w:rFonts w:ascii="仿宋_GB2312" w:eastAsia="仿宋_GB2312" w:hAnsi="宋体" w:cs="宋体" w:hint="eastAsia"/>
                <w:color w:val="000000"/>
                <w:sz w:val="32"/>
                <w:szCs w:val="32"/>
              </w:rPr>
              <w:fldChar w:fldCharType="separate"/>
            </w:r>
            <w:r w:rsidR="0035015A">
              <w:rPr>
                <w:rFonts w:ascii="仿宋_GB2312" w:eastAsia="仿宋_GB2312" w:hAnsi="宋体" w:cs="宋体" w:hint="eastAsia"/>
                <w:color w:val="000000"/>
                <w:sz w:val="32"/>
                <w:szCs w:val="32"/>
              </w:rPr>
              <w:t>11</w:t>
            </w:r>
            <w:r w:rsidR="0035015A">
              <w:rPr>
                <w:rFonts w:ascii="仿宋_GB2312" w:eastAsia="仿宋_GB2312" w:hAnsi="宋体" w:cs="宋体" w:hint="eastAsia"/>
                <w:color w:val="000000"/>
                <w:sz w:val="32"/>
                <w:szCs w:val="32"/>
              </w:rPr>
              <w:fldChar w:fldCharType="end"/>
            </w:r>
          </w:hyperlink>
        </w:p>
        <w:p w:rsidR="00F60252" w:rsidRDefault="0055295A">
          <w:pPr>
            <w:pStyle w:val="WPSOffice1"/>
            <w:tabs>
              <w:tab w:val="right" w:leader="dot" w:pos="8844"/>
            </w:tabs>
            <w:rPr>
              <w:rFonts w:ascii="仿宋_GB2312" w:eastAsia="仿宋_GB2312" w:hAnsi="宋体" w:cs="宋体"/>
              <w:color w:val="000000"/>
              <w:sz w:val="32"/>
              <w:szCs w:val="32"/>
            </w:rPr>
          </w:pPr>
          <w:hyperlink w:anchor="_Toc6735" w:history="1">
            <w:r w:rsidR="0035015A">
              <w:rPr>
                <w:rFonts w:ascii="仿宋_GB2312" w:eastAsia="仿宋_GB2312" w:hAnsi="宋体" w:cs="宋体" w:hint="eastAsia"/>
                <w:color w:val="000000"/>
                <w:sz w:val="32"/>
                <w:szCs w:val="32"/>
              </w:rPr>
              <w:t>四、预算管理情况分析</w:t>
            </w:r>
            <w:r w:rsidR="0035015A">
              <w:rPr>
                <w:rFonts w:ascii="仿宋_GB2312" w:eastAsia="仿宋_GB2312" w:hAnsi="宋体" w:cs="宋体" w:hint="eastAsia"/>
                <w:color w:val="000000"/>
                <w:sz w:val="32"/>
                <w:szCs w:val="32"/>
              </w:rPr>
              <w:tab/>
            </w:r>
            <w:r w:rsidR="0035015A">
              <w:rPr>
                <w:rFonts w:ascii="仿宋_GB2312" w:eastAsia="仿宋_GB2312" w:hAnsi="宋体" w:cs="宋体" w:hint="eastAsia"/>
                <w:color w:val="000000"/>
                <w:sz w:val="32"/>
                <w:szCs w:val="32"/>
              </w:rPr>
              <w:fldChar w:fldCharType="begin"/>
            </w:r>
            <w:r w:rsidR="0035015A">
              <w:rPr>
                <w:rFonts w:ascii="仿宋_GB2312" w:eastAsia="仿宋_GB2312" w:hAnsi="宋体" w:cs="宋体" w:hint="eastAsia"/>
                <w:color w:val="000000"/>
                <w:sz w:val="32"/>
                <w:szCs w:val="32"/>
              </w:rPr>
              <w:instrText xml:space="preserve"> PAGEREF _Toc6735 \h </w:instrText>
            </w:r>
            <w:r w:rsidR="0035015A">
              <w:rPr>
                <w:rFonts w:ascii="仿宋_GB2312" w:eastAsia="仿宋_GB2312" w:hAnsi="宋体" w:cs="宋体" w:hint="eastAsia"/>
                <w:color w:val="000000"/>
                <w:sz w:val="32"/>
                <w:szCs w:val="32"/>
              </w:rPr>
            </w:r>
            <w:r w:rsidR="0035015A">
              <w:rPr>
                <w:rFonts w:ascii="仿宋_GB2312" w:eastAsia="仿宋_GB2312" w:hAnsi="宋体" w:cs="宋体" w:hint="eastAsia"/>
                <w:color w:val="000000"/>
                <w:sz w:val="32"/>
                <w:szCs w:val="32"/>
              </w:rPr>
              <w:fldChar w:fldCharType="separate"/>
            </w:r>
            <w:r w:rsidR="0035015A">
              <w:rPr>
                <w:rFonts w:ascii="仿宋_GB2312" w:eastAsia="仿宋_GB2312" w:hAnsi="宋体" w:cs="宋体" w:hint="eastAsia"/>
                <w:color w:val="000000"/>
                <w:sz w:val="32"/>
                <w:szCs w:val="32"/>
              </w:rPr>
              <w:t>15</w:t>
            </w:r>
            <w:r w:rsidR="0035015A">
              <w:rPr>
                <w:rFonts w:ascii="仿宋_GB2312" w:eastAsia="仿宋_GB2312" w:hAnsi="宋体" w:cs="宋体" w:hint="eastAsia"/>
                <w:color w:val="000000"/>
                <w:sz w:val="32"/>
                <w:szCs w:val="32"/>
              </w:rPr>
              <w:fldChar w:fldCharType="end"/>
            </w:r>
          </w:hyperlink>
        </w:p>
        <w:p w:rsidR="00F60252" w:rsidRDefault="0055295A">
          <w:pPr>
            <w:pStyle w:val="WPSOffice2"/>
            <w:tabs>
              <w:tab w:val="right" w:leader="dot" w:pos="8844"/>
            </w:tabs>
            <w:ind w:left="420"/>
            <w:rPr>
              <w:rFonts w:ascii="仿宋_GB2312" w:eastAsia="仿宋_GB2312" w:hAnsi="宋体" w:cs="宋体"/>
              <w:color w:val="000000"/>
              <w:sz w:val="32"/>
              <w:szCs w:val="32"/>
            </w:rPr>
          </w:pPr>
          <w:hyperlink w:anchor="_Toc3374" w:history="1">
            <w:r w:rsidR="0035015A">
              <w:rPr>
                <w:rFonts w:ascii="仿宋_GB2312" w:eastAsia="仿宋_GB2312" w:hAnsi="宋体" w:cs="宋体" w:hint="eastAsia"/>
                <w:color w:val="000000"/>
                <w:sz w:val="32"/>
                <w:szCs w:val="32"/>
              </w:rPr>
              <w:t>（一）财务管理</w:t>
            </w:r>
            <w:r w:rsidR="0035015A">
              <w:rPr>
                <w:rFonts w:ascii="仿宋_GB2312" w:eastAsia="仿宋_GB2312" w:hAnsi="宋体" w:cs="宋体" w:hint="eastAsia"/>
                <w:color w:val="000000"/>
                <w:sz w:val="32"/>
                <w:szCs w:val="32"/>
              </w:rPr>
              <w:tab/>
            </w:r>
            <w:r w:rsidR="0035015A">
              <w:rPr>
                <w:rFonts w:ascii="仿宋_GB2312" w:eastAsia="仿宋_GB2312" w:hAnsi="宋体" w:cs="宋体" w:hint="eastAsia"/>
                <w:color w:val="000000"/>
                <w:sz w:val="32"/>
                <w:szCs w:val="32"/>
              </w:rPr>
              <w:fldChar w:fldCharType="begin"/>
            </w:r>
            <w:r w:rsidR="0035015A">
              <w:rPr>
                <w:rFonts w:ascii="仿宋_GB2312" w:eastAsia="仿宋_GB2312" w:hAnsi="宋体" w:cs="宋体" w:hint="eastAsia"/>
                <w:color w:val="000000"/>
                <w:sz w:val="32"/>
                <w:szCs w:val="32"/>
              </w:rPr>
              <w:instrText xml:space="preserve"> PAGEREF _Toc3374 \h </w:instrText>
            </w:r>
            <w:r w:rsidR="0035015A">
              <w:rPr>
                <w:rFonts w:ascii="仿宋_GB2312" w:eastAsia="仿宋_GB2312" w:hAnsi="宋体" w:cs="宋体" w:hint="eastAsia"/>
                <w:color w:val="000000"/>
                <w:sz w:val="32"/>
                <w:szCs w:val="32"/>
              </w:rPr>
            </w:r>
            <w:r w:rsidR="0035015A">
              <w:rPr>
                <w:rFonts w:ascii="仿宋_GB2312" w:eastAsia="仿宋_GB2312" w:hAnsi="宋体" w:cs="宋体" w:hint="eastAsia"/>
                <w:color w:val="000000"/>
                <w:sz w:val="32"/>
                <w:szCs w:val="32"/>
              </w:rPr>
              <w:fldChar w:fldCharType="separate"/>
            </w:r>
            <w:r w:rsidR="0035015A">
              <w:rPr>
                <w:rFonts w:ascii="仿宋_GB2312" w:eastAsia="仿宋_GB2312" w:hAnsi="宋体" w:cs="宋体" w:hint="eastAsia"/>
                <w:color w:val="000000"/>
                <w:sz w:val="32"/>
                <w:szCs w:val="32"/>
              </w:rPr>
              <w:t>15</w:t>
            </w:r>
            <w:r w:rsidR="0035015A">
              <w:rPr>
                <w:rFonts w:ascii="仿宋_GB2312" w:eastAsia="仿宋_GB2312" w:hAnsi="宋体" w:cs="宋体" w:hint="eastAsia"/>
                <w:color w:val="000000"/>
                <w:sz w:val="32"/>
                <w:szCs w:val="32"/>
              </w:rPr>
              <w:fldChar w:fldCharType="end"/>
            </w:r>
          </w:hyperlink>
        </w:p>
        <w:p w:rsidR="00F60252" w:rsidRDefault="0055295A">
          <w:pPr>
            <w:pStyle w:val="WPSOffice2"/>
            <w:tabs>
              <w:tab w:val="right" w:leader="dot" w:pos="8844"/>
            </w:tabs>
            <w:ind w:left="420"/>
            <w:rPr>
              <w:rFonts w:ascii="仿宋_GB2312" w:eastAsia="仿宋_GB2312" w:hAnsi="宋体" w:cs="宋体"/>
              <w:color w:val="000000"/>
              <w:sz w:val="32"/>
              <w:szCs w:val="32"/>
            </w:rPr>
          </w:pPr>
          <w:hyperlink w:anchor="_Toc17823" w:history="1">
            <w:r w:rsidR="0035015A">
              <w:rPr>
                <w:rFonts w:ascii="仿宋_GB2312" w:eastAsia="仿宋_GB2312" w:hAnsi="宋体" w:cs="宋体" w:hint="eastAsia"/>
                <w:color w:val="000000"/>
                <w:sz w:val="32"/>
                <w:szCs w:val="32"/>
              </w:rPr>
              <w:t>（二）资产管理</w:t>
            </w:r>
            <w:r w:rsidR="0035015A">
              <w:rPr>
                <w:rFonts w:ascii="仿宋_GB2312" w:eastAsia="仿宋_GB2312" w:hAnsi="宋体" w:cs="宋体" w:hint="eastAsia"/>
                <w:color w:val="000000"/>
                <w:sz w:val="32"/>
                <w:szCs w:val="32"/>
              </w:rPr>
              <w:tab/>
            </w:r>
            <w:r w:rsidR="0035015A">
              <w:rPr>
                <w:rFonts w:ascii="仿宋_GB2312" w:eastAsia="仿宋_GB2312" w:hAnsi="宋体" w:cs="宋体" w:hint="eastAsia"/>
                <w:color w:val="000000"/>
                <w:sz w:val="32"/>
                <w:szCs w:val="32"/>
              </w:rPr>
              <w:fldChar w:fldCharType="begin"/>
            </w:r>
            <w:r w:rsidR="0035015A">
              <w:rPr>
                <w:rFonts w:ascii="仿宋_GB2312" w:eastAsia="仿宋_GB2312" w:hAnsi="宋体" w:cs="宋体" w:hint="eastAsia"/>
                <w:color w:val="000000"/>
                <w:sz w:val="32"/>
                <w:szCs w:val="32"/>
              </w:rPr>
              <w:instrText xml:space="preserve"> PAGEREF _Toc17823 \h </w:instrText>
            </w:r>
            <w:r w:rsidR="0035015A">
              <w:rPr>
                <w:rFonts w:ascii="仿宋_GB2312" w:eastAsia="仿宋_GB2312" w:hAnsi="宋体" w:cs="宋体" w:hint="eastAsia"/>
                <w:color w:val="000000"/>
                <w:sz w:val="32"/>
                <w:szCs w:val="32"/>
              </w:rPr>
            </w:r>
            <w:r w:rsidR="0035015A">
              <w:rPr>
                <w:rFonts w:ascii="仿宋_GB2312" w:eastAsia="仿宋_GB2312" w:hAnsi="宋体" w:cs="宋体" w:hint="eastAsia"/>
                <w:color w:val="000000"/>
                <w:sz w:val="32"/>
                <w:szCs w:val="32"/>
              </w:rPr>
              <w:fldChar w:fldCharType="separate"/>
            </w:r>
            <w:r w:rsidR="0035015A">
              <w:rPr>
                <w:rFonts w:ascii="仿宋_GB2312" w:eastAsia="仿宋_GB2312" w:hAnsi="宋体" w:cs="宋体" w:hint="eastAsia"/>
                <w:color w:val="000000"/>
                <w:sz w:val="32"/>
                <w:szCs w:val="32"/>
              </w:rPr>
              <w:t>15</w:t>
            </w:r>
            <w:r w:rsidR="0035015A">
              <w:rPr>
                <w:rFonts w:ascii="仿宋_GB2312" w:eastAsia="仿宋_GB2312" w:hAnsi="宋体" w:cs="宋体" w:hint="eastAsia"/>
                <w:color w:val="000000"/>
                <w:sz w:val="32"/>
                <w:szCs w:val="32"/>
              </w:rPr>
              <w:fldChar w:fldCharType="end"/>
            </w:r>
          </w:hyperlink>
        </w:p>
        <w:p w:rsidR="00F60252" w:rsidRDefault="0055295A">
          <w:pPr>
            <w:pStyle w:val="WPSOffice2"/>
            <w:tabs>
              <w:tab w:val="right" w:leader="dot" w:pos="8844"/>
            </w:tabs>
            <w:ind w:left="420"/>
            <w:rPr>
              <w:rFonts w:ascii="仿宋_GB2312" w:eastAsia="仿宋_GB2312" w:hAnsi="宋体" w:cs="宋体"/>
              <w:color w:val="000000"/>
              <w:sz w:val="32"/>
              <w:szCs w:val="32"/>
            </w:rPr>
          </w:pPr>
          <w:hyperlink w:anchor="_Toc2452" w:history="1">
            <w:r w:rsidR="0035015A">
              <w:rPr>
                <w:rFonts w:ascii="仿宋_GB2312" w:eastAsia="仿宋_GB2312" w:hAnsi="宋体" w:cs="宋体" w:hint="eastAsia"/>
                <w:color w:val="000000"/>
                <w:sz w:val="32"/>
                <w:szCs w:val="32"/>
              </w:rPr>
              <w:t>（三）绩效管理</w:t>
            </w:r>
            <w:r w:rsidR="0035015A">
              <w:rPr>
                <w:rFonts w:ascii="仿宋_GB2312" w:eastAsia="仿宋_GB2312" w:hAnsi="宋体" w:cs="宋体" w:hint="eastAsia"/>
                <w:color w:val="000000"/>
                <w:sz w:val="32"/>
                <w:szCs w:val="32"/>
              </w:rPr>
              <w:tab/>
            </w:r>
            <w:r w:rsidR="0035015A">
              <w:rPr>
                <w:rFonts w:ascii="仿宋_GB2312" w:eastAsia="仿宋_GB2312" w:hAnsi="宋体" w:cs="宋体" w:hint="eastAsia"/>
                <w:color w:val="000000"/>
                <w:sz w:val="32"/>
                <w:szCs w:val="32"/>
              </w:rPr>
              <w:fldChar w:fldCharType="begin"/>
            </w:r>
            <w:r w:rsidR="0035015A">
              <w:rPr>
                <w:rFonts w:ascii="仿宋_GB2312" w:eastAsia="仿宋_GB2312" w:hAnsi="宋体" w:cs="宋体" w:hint="eastAsia"/>
                <w:color w:val="000000"/>
                <w:sz w:val="32"/>
                <w:szCs w:val="32"/>
              </w:rPr>
              <w:instrText xml:space="preserve"> PAGEREF _Toc2452 \h </w:instrText>
            </w:r>
            <w:r w:rsidR="0035015A">
              <w:rPr>
                <w:rFonts w:ascii="仿宋_GB2312" w:eastAsia="仿宋_GB2312" w:hAnsi="宋体" w:cs="宋体" w:hint="eastAsia"/>
                <w:color w:val="000000"/>
                <w:sz w:val="32"/>
                <w:szCs w:val="32"/>
              </w:rPr>
            </w:r>
            <w:r w:rsidR="0035015A">
              <w:rPr>
                <w:rFonts w:ascii="仿宋_GB2312" w:eastAsia="仿宋_GB2312" w:hAnsi="宋体" w:cs="宋体" w:hint="eastAsia"/>
                <w:color w:val="000000"/>
                <w:sz w:val="32"/>
                <w:szCs w:val="32"/>
              </w:rPr>
              <w:fldChar w:fldCharType="separate"/>
            </w:r>
            <w:r w:rsidR="0035015A">
              <w:rPr>
                <w:rFonts w:ascii="仿宋_GB2312" w:eastAsia="仿宋_GB2312" w:hAnsi="宋体" w:cs="宋体" w:hint="eastAsia"/>
                <w:color w:val="000000"/>
                <w:sz w:val="32"/>
                <w:szCs w:val="32"/>
              </w:rPr>
              <w:t>17</w:t>
            </w:r>
            <w:r w:rsidR="0035015A">
              <w:rPr>
                <w:rFonts w:ascii="仿宋_GB2312" w:eastAsia="仿宋_GB2312" w:hAnsi="宋体" w:cs="宋体" w:hint="eastAsia"/>
                <w:color w:val="000000"/>
                <w:sz w:val="32"/>
                <w:szCs w:val="32"/>
              </w:rPr>
              <w:fldChar w:fldCharType="end"/>
            </w:r>
          </w:hyperlink>
        </w:p>
        <w:p w:rsidR="00F60252" w:rsidRDefault="0055295A">
          <w:pPr>
            <w:pStyle w:val="WPSOffice2"/>
            <w:tabs>
              <w:tab w:val="right" w:leader="dot" w:pos="8844"/>
            </w:tabs>
            <w:ind w:left="420"/>
            <w:rPr>
              <w:rFonts w:ascii="仿宋_GB2312" w:eastAsia="仿宋_GB2312" w:hAnsi="宋体" w:cs="宋体"/>
              <w:color w:val="000000"/>
              <w:sz w:val="32"/>
              <w:szCs w:val="32"/>
            </w:rPr>
          </w:pPr>
          <w:hyperlink w:anchor="_Toc21645" w:history="1">
            <w:r w:rsidR="0035015A">
              <w:rPr>
                <w:rFonts w:ascii="仿宋_GB2312" w:eastAsia="仿宋_GB2312" w:hAnsi="宋体" w:cs="宋体" w:hint="eastAsia"/>
                <w:color w:val="000000"/>
                <w:sz w:val="32"/>
                <w:szCs w:val="32"/>
              </w:rPr>
              <w:t>（四） 结转结余率</w:t>
            </w:r>
            <w:r w:rsidR="0035015A">
              <w:rPr>
                <w:rFonts w:ascii="仿宋_GB2312" w:eastAsia="仿宋_GB2312" w:hAnsi="宋体" w:cs="宋体" w:hint="eastAsia"/>
                <w:color w:val="000000"/>
                <w:sz w:val="32"/>
                <w:szCs w:val="32"/>
              </w:rPr>
              <w:tab/>
            </w:r>
            <w:r w:rsidR="0035015A">
              <w:rPr>
                <w:rFonts w:ascii="仿宋_GB2312" w:eastAsia="仿宋_GB2312" w:hAnsi="宋体" w:cs="宋体" w:hint="eastAsia"/>
                <w:color w:val="000000"/>
                <w:sz w:val="32"/>
                <w:szCs w:val="32"/>
              </w:rPr>
              <w:fldChar w:fldCharType="begin"/>
            </w:r>
            <w:r w:rsidR="0035015A">
              <w:rPr>
                <w:rFonts w:ascii="仿宋_GB2312" w:eastAsia="仿宋_GB2312" w:hAnsi="宋体" w:cs="宋体" w:hint="eastAsia"/>
                <w:color w:val="000000"/>
                <w:sz w:val="32"/>
                <w:szCs w:val="32"/>
              </w:rPr>
              <w:instrText xml:space="preserve"> PAGEREF _Toc21645 \h </w:instrText>
            </w:r>
            <w:r w:rsidR="0035015A">
              <w:rPr>
                <w:rFonts w:ascii="仿宋_GB2312" w:eastAsia="仿宋_GB2312" w:hAnsi="宋体" w:cs="宋体" w:hint="eastAsia"/>
                <w:color w:val="000000"/>
                <w:sz w:val="32"/>
                <w:szCs w:val="32"/>
              </w:rPr>
            </w:r>
            <w:r w:rsidR="0035015A">
              <w:rPr>
                <w:rFonts w:ascii="仿宋_GB2312" w:eastAsia="仿宋_GB2312" w:hAnsi="宋体" w:cs="宋体" w:hint="eastAsia"/>
                <w:color w:val="000000"/>
                <w:sz w:val="32"/>
                <w:szCs w:val="32"/>
              </w:rPr>
              <w:fldChar w:fldCharType="separate"/>
            </w:r>
            <w:r w:rsidR="0035015A">
              <w:rPr>
                <w:rFonts w:ascii="仿宋_GB2312" w:eastAsia="仿宋_GB2312" w:hAnsi="宋体" w:cs="宋体" w:hint="eastAsia"/>
                <w:color w:val="000000"/>
                <w:sz w:val="32"/>
                <w:szCs w:val="32"/>
              </w:rPr>
              <w:t>18</w:t>
            </w:r>
            <w:r w:rsidR="0035015A">
              <w:rPr>
                <w:rFonts w:ascii="仿宋_GB2312" w:eastAsia="仿宋_GB2312" w:hAnsi="宋体" w:cs="宋体" w:hint="eastAsia"/>
                <w:color w:val="000000"/>
                <w:sz w:val="32"/>
                <w:szCs w:val="32"/>
              </w:rPr>
              <w:fldChar w:fldCharType="end"/>
            </w:r>
          </w:hyperlink>
        </w:p>
        <w:p w:rsidR="00F60252" w:rsidRDefault="0055295A">
          <w:pPr>
            <w:pStyle w:val="WPSOffice2"/>
            <w:tabs>
              <w:tab w:val="right" w:leader="dot" w:pos="8844"/>
            </w:tabs>
            <w:ind w:left="420"/>
            <w:rPr>
              <w:rFonts w:ascii="仿宋_GB2312" w:eastAsia="仿宋_GB2312" w:hAnsi="宋体" w:cs="宋体"/>
              <w:color w:val="000000"/>
              <w:sz w:val="32"/>
              <w:szCs w:val="32"/>
            </w:rPr>
          </w:pPr>
          <w:hyperlink w:anchor="_Toc21257" w:history="1">
            <w:r w:rsidR="0035015A">
              <w:rPr>
                <w:rFonts w:ascii="仿宋_GB2312" w:eastAsia="仿宋_GB2312" w:hAnsi="宋体" w:cs="宋体" w:hint="eastAsia"/>
                <w:color w:val="000000"/>
                <w:sz w:val="32"/>
                <w:szCs w:val="32"/>
              </w:rPr>
              <w:t>（五） 部门预决算差异率</w:t>
            </w:r>
            <w:r w:rsidR="0035015A">
              <w:rPr>
                <w:rFonts w:ascii="仿宋_GB2312" w:eastAsia="仿宋_GB2312" w:hAnsi="宋体" w:cs="宋体" w:hint="eastAsia"/>
                <w:color w:val="000000"/>
                <w:sz w:val="32"/>
                <w:szCs w:val="32"/>
              </w:rPr>
              <w:tab/>
            </w:r>
            <w:r w:rsidR="0035015A">
              <w:rPr>
                <w:rFonts w:ascii="仿宋_GB2312" w:eastAsia="仿宋_GB2312" w:hAnsi="宋体" w:cs="宋体" w:hint="eastAsia"/>
                <w:color w:val="000000"/>
                <w:sz w:val="32"/>
                <w:szCs w:val="32"/>
              </w:rPr>
              <w:fldChar w:fldCharType="begin"/>
            </w:r>
            <w:r w:rsidR="0035015A">
              <w:rPr>
                <w:rFonts w:ascii="仿宋_GB2312" w:eastAsia="仿宋_GB2312" w:hAnsi="宋体" w:cs="宋体" w:hint="eastAsia"/>
                <w:color w:val="000000"/>
                <w:sz w:val="32"/>
                <w:szCs w:val="32"/>
              </w:rPr>
              <w:instrText xml:space="preserve"> PAGEREF _Toc21257 \h </w:instrText>
            </w:r>
            <w:r w:rsidR="0035015A">
              <w:rPr>
                <w:rFonts w:ascii="仿宋_GB2312" w:eastAsia="仿宋_GB2312" w:hAnsi="宋体" w:cs="宋体" w:hint="eastAsia"/>
                <w:color w:val="000000"/>
                <w:sz w:val="32"/>
                <w:szCs w:val="32"/>
              </w:rPr>
            </w:r>
            <w:r w:rsidR="0035015A">
              <w:rPr>
                <w:rFonts w:ascii="仿宋_GB2312" w:eastAsia="仿宋_GB2312" w:hAnsi="宋体" w:cs="宋体" w:hint="eastAsia"/>
                <w:color w:val="000000"/>
                <w:sz w:val="32"/>
                <w:szCs w:val="32"/>
              </w:rPr>
              <w:fldChar w:fldCharType="separate"/>
            </w:r>
            <w:r w:rsidR="0035015A">
              <w:rPr>
                <w:rFonts w:ascii="仿宋_GB2312" w:eastAsia="仿宋_GB2312" w:hAnsi="宋体" w:cs="宋体" w:hint="eastAsia"/>
                <w:color w:val="000000"/>
                <w:sz w:val="32"/>
                <w:szCs w:val="32"/>
              </w:rPr>
              <w:t>19</w:t>
            </w:r>
            <w:r w:rsidR="0035015A">
              <w:rPr>
                <w:rFonts w:ascii="仿宋_GB2312" w:eastAsia="仿宋_GB2312" w:hAnsi="宋体" w:cs="宋体" w:hint="eastAsia"/>
                <w:color w:val="000000"/>
                <w:sz w:val="32"/>
                <w:szCs w:val="32"/>
              </w:rPr>
              <w:fldChar w:fldCharType="end"/>
            </w:r>
          </w:hyperlink>
        </w:p>
        <w:p w:rsidR="00F60252" w:rsidRDefault="0055295A">
          <w:pPr>
            <w:pStyle w:val="WPSOffice1"/>
            <w:tabs>
              <w:tab w:val="right" w:leader="dot" w:pos="8844"/>
            </w:tabs>
            <w:rPr>
              <w:rFonts w:ascii="仿宋_GB2312" w:eastAsia="仿宋_GB2312" w:hAnsi="宋体" w:cs="宋体"/>
              <w:color w:val="000000"/>
              <w:sz w:val="32"/>
              <w:szCs w:val="32"/>
            </w:rPr>
          </w:pPr>
          <w:hyperlink w:anchor="_Toc3472" w:history="1">
            <w:r w:rsidR="0035015A">
              <w:rPr>
                <w:rFonts w:ascii="仿宋_GB2312" w:eastAsia="仿宋_GB2312" w:hAnsi="宋体" w:cs="宋体" w:hint="eastAsia"/>
                <w:color w:val="000000"/>
                <w:sz w:val="32"/>
                <w:szCs w:val="32"/>
              </w:rPr>
              <w:t>五、总体评价结论</w:t>
            </w:r>
            <w:r w:rsidR="0035015A">
              <w:rPr>
                <w:rFonts w:ascii="仿宋_GB2312" w:eastAsia="仿宋_GB2312" w:hAnsi="宋体" w:cs="宋体" w:hint="eastAsia"/>
                <w:color w:val="000000"/>
                <w:sz w:val="32"/>
                <w:szCs w:val="32"/>
              </w:rPr>
              <w:tab/>
            </w:r>
            <w:r w:rsidR="0035015A">
              <w:rPr>
                <w:rFonts w:ascii="仿宋_GB2312" w:eastAsia="仿宋_GB2312" w:hAnsi="宋体" w:cs="宋体" w:hint="eastAsia"/>
                <w:color w:val="000000"/>
                <w:sz w:val="32"/>
                <w:szCs w:val="32"/>
              </w:rPr>
              <w:fldChar w:fldCharType="begin"/>
            </w:r>
            <w:r w:rsidR="0035015A">
              <w:rPr>
                <w:rFonts w:ascii="仿宋_GB2312" w:eastAsia="仿宋_GB2312" w:hAnsi="宋体" w:cs="宋体" w:hint="eastAsia"/>
                <w:color w:val="000000"/>
                <w:sz w:val="32"/>
                <w:szCs w:val="32"/>
              </w:rPr>
              <w:instrText xml:space="preserve"> PAGEREF _Toc3472 \h </w:instrText>
            </w:r>
            <w:r w:rsidR="0035015A">
              <w:rPr>
                <w:rFonts w:ascii="仿宋_GB2312" w:eastAsia="仿宋_GB2312" w:hAnsi="宋体" w:cs="宋体" w:hint="eastAsia"/>
                <w:color w:val="000000"/>
                <w:sz w:val="32"/>
                <w:szCs w:val="32"/>
              </w:rPr>
            </w:r>
            <w:r w:rsidR="0035015A">
              <w:rPr>
                <w:rFonts w:ascii="仿宋_GB2312" w:eastAsia="仿宋_GB2312" w:hAnsi="宋体" w:cs="宋体" w:hint="eastAsia"/>
                <w:color w:val="000000"/>
                <w:sz w:val="32"/>
                <w:szCs w:val="32"/>
              </w:rPr>
              <w:fldChar w:fldCharType="separate"/>
            </w:r>
            <w:r w:rsidR="0035015A">
              <w:rPr>
                <w:rFonts w:ascii="仿宋_GB2312" w:eastAsia="仿宋_GB2312" w:hAnsi="宋体" w:cs="宋体" w:hint="eastAsia"/>
                <w:color w:val="000000"/>
                <w:sz w:val="32"/>
                <w:szCs w:val="32"/>
              </w:rPr>
              <w:t>19</w:t>
            </w:r>
            <w:r w:rsidR="0035015A">
              <w:rPr>
                <w:rFonts w:ascii="仿宋_GB2312" w:eastAsia="仿宋_GB2312" w:hAnsi="宋体" w:cs="宋体" w:hint="eastAsia"/>
                <w:color w:val="000000"/>
                <w:sz w:val="32"/>
                <w:szCs w:val="32"/>
              </w:rPr>
              <w:fldChar w:fldCharType="end"/>
            </w:r>
          </w:hyperlink>
        </w:p>
        <w:p w:rsidR="00F60252" w:rsidRDefault="0055295A">
          <w:pPr>
            <w:pStyle w:val="WPSOffice2"/>
            <w:tabs>
              <w:tab w:val="right" w:leader="dot" w:pos="8844"/>
            </w:tabs>
            <w:ind w:left="420"/>
            <w:rPr>
              <w:rFonts w:ascii="仿宋_GB2312" w:eastAsia="仿宋_GB2312" w:hAnsi="宋体" w:cs="宋体"/>
              <w:color w:val="000000"/>
              <w:sz w:val="32"/>
              <w:szCs w:val="32"/>
            </w:rPr>
          </w:pPr>
          <w:hyperlink w:anchor="_Toc32636" w:history="1">
            <w:r w:rsidR="0035015A">
              <w:rPr>
                <w:rFonts w:ascii="仿宋_GB2312" w:eastAsia="仿宋_GB2312" w:hAnsi="宋体" w:cs="宋体" w:hint="eastAsia"/>
                <w:color w:val="000000"/>
                <w:sz w:val="32"/>
                <w:szCs w:val="32"/>
              </w:rPr>
              <w:t>（一）评价得分情况</w:t>
            </w:r>
            <w:r w:rsidR="0035015A">
              <w:rPr>
                <w:rFonts w:ascii="仿宋_GB2312" w:eastAsia="仿宋_GB2312" w:hAnsi="宋体" w:cs="宋体" w:hint="eastAsia"/>
                <w:color w:val="000000"/>
                <w:sz w:val="32"/>
                <w:szCs w:val="32"/>
              </w:rPr>
              <w:tab/>
            </w:r>
            <w:r w:rsidR="0035015A">
              <w:rPr>
                <w:rFonts w:ascii="仿宋_GB2312" w:eastAsia="仿宋_GB2312" w:hAnsi="宋体" w:cs="宋体" w:hint="eastAsia"/>
                <w:color w:val="000000"/>
                <w:sz w:val="32"/>
                <w:szCs w:val="32"/>
              </w:rPr>
              <w:fldChar w:fldCharType="begin"/>
            </w:r>
            <w:r w:rsidR="0035015A">
              <w:rPr>
                <w:rFonts w:ascii="仿宋_GB2312" w:eastAsia="仿宋_GB2312" w:hAnsi="宋体" w:cs="宋体" w:hint="eastAsia"/>
                <w:color w:val="000000"/>
                <w:sz w:val="32"/>
                <w:szCs w:val="32"/>
              </w:rPr>
              <w:instrText xml:space="preserve"> PAGEREF _Toc32636 \h </w:instrText>
            </w:r>
            <w:r w:rsidR="0035015A">
              <w:rPr>
                <w:rFonts w:ascii="仿宋_GB2312" w:eastAsia="仿宋_GB2312" w:hAnsi="宋体" w:cs="宋体" w:hint="eastAsia"/>
                <w:color w:val="000000"/>
                <w:sz w:val="32"/>
                <w:szCs w:val="32"/>
              </w:rPr>
            </w:r>
            <w:r w:rsidR="0035015A">
              <w:rPr>
                <w:rFonts w:ascii="仿宋_GB2312" w:eastAsia="仿宋_GB2312" w:hAnsi="宋体" w:cs="宋体" w:hint="eastAsia"/>
                <w:color w:val="000000"/>
                <w:sz w:val="32"/>
                <w:szCs w:val="32"/>
              </w:rPr>
              <w:fldChar w:fldCharType="separate"/>
            </w:r>
            <w:r w:rsidR="0035015A">
              <w:rPr>
                <w:rFonts w:ascii="仿宋_GB2312" w:eastAsia="仿宋_GB2312" w:hAnsi="宋体" w:cs="宋体" w:hint="eastAsia"/>
                <w:color w:val="000000"/>
                <w:sz w:val="32"/>
                <w:szCs w:val="32"/>
              </w:rPr>
              <w:t>19</w:t>
            </w:r>
            <w:r w:rsidR="0035015A">
              <w:rPr>
                <w:rFonts w:ascii="仿宋_GB2312" w:eastAsia="仿宋_GB2312" w:hAnsi="宋体" w:cs="宋体" w:hint="eastAsia"/>
                <w:color w:val="000000"/>
                <w:sz w:val="32"/>
                <w:szCs w:val="32"/>
              </w:rPr>
              <w:fldChar w:fldCharType="end"/>
            </w:r>
          </w:hyperlink>
        </w:p>
        <w:p w:rsidR="00F60252" w:rsidRDefault="0055295A">
          <w:pPr>
            <w:pStyle w:val="WPSOffice2"/>
            <w:tabs>
              <w:tab w:val="right" w:leader="dot" w:pos="8844"/>
            </w:tabs>
            <w:ind w:left="420"/>
            <w:rPr>
              <w:rFonts w:ascii="仿宋_GB2312" w:eastAsia="仿宋_GB2312" w:hAnsi="宋体" w:cs="宋体"/>
              <w:color w:val="000000"/>
              <w:sz w:val="32"/>
              <w:szCs w:val="32"/>
            </w:rPr>
          </w:pPr>
          <w:hyperlink w:anchor="_Toc15075" w:history="1">
            <w:r w:rsidR="0035015A">
              <w:rPr>
                <w:rFonts w:ascii="仿宋_GB2312" w:eastAsia="仿宋_GB2312" w:hAnsi="宋体" w:cs="宋体" w:hint="eastAsia"/>
                <w:color w:val="000000"/>
                <w:sz w:val="32"/>
                <w:szCs w:val="32"/>
              </w:rPr>
              <w:t>（二） 存在的问题及原因分析</w:t>
            </w:r>
            <w:r w:rsidR="0035015A">
              <w:rPr>
                <w:rFonts w:ascii="仿宋_GB2312" w:eastAsia="仿宋_GB2312" w:hAnsi="宋体" w:cs="宋体" w:hint="eastAsia"/>
                <w:color w:val="000000"/>
                <w:sz w:val="32"/>
                <w:szCs w:val="32"/>
              </w:rPr>
              <w:tab/>
            </w:r>
            <w:r w:rsidR="0035015A">
              <w:rPr>
                <w:rFonts w:ascii="仿宋_GB2312" w:eastAsia="仿宋_GB2312" w:hAnsi="宋体" w:cs="宋体" w:hint="eastAsia"/>
                <w:color w:val="000000"/>
                <w:sz w:val="32"/>
                <w:szCs w:val="32"/>
              </w:rPr>
              <w:fldChar w:fldCharType="begin"/>
            </w:r>
            <w:r w:rsidR="0035015A">
              <w:rPr>
                <w:rFonts w:ascii="仿宋_GB2312" w:eastAsia="仿宋_GB2312" w:hAnsi="宋体" w:cs="宋体" w:hint="eastAsia"/>
                <w:color w:val="000000"/>
                <w:sz w:val="32"/>
                <w:szCs w:val="32"/>
              </w:rPr>
              <w:instrText xml:space="preserve"> PAGEREF _Toc15075 \h </w:instrText>
            </w:r>
            <w:r w:rsidR="0035015A">
              <w:rPr>
                <w:rFonts w:ascii="仿宋_GB2312" w:eastAsia="仿宋_GB2312" w:hAnsi="宋体" w:cs="宋体" w:hint="eastAsia"/>
                <w:color w:val="000000"/>
                <w:sz w:val="32"/>
                <w:szCs w:val="32"/>
              </w:rPr>
            </w:r>
            <w:r w:rsidR="0035015A">
              <w:rPr>
                <w:rFonts w:ascii="仿宋_GB2312" w:eastAsia="仿宋_GB2312" w:hAnsi="宋体" w:cs="宋体" w:hint="eastAsia"/>
                <w:color w:val="000000"/>
                <w:sz w:val="32"/>
                <w:szCs w:val="32"/>
              </w:rPr>
              <w:fldChar w:fldCharType="separate"/>
            </w:r>
            <w:r w:rsidR="0035015A">
              <w:rPr>
                <w:rFonts w:ascii="仿宋_GB2312" w:eastAsia="仿宋_GB2312" w:hAnsi="宋体" w:cs="宋体" w:hint="eastAsia"/>
                <w:color w:val="000000"/>
                <w:sz w:val="32"/>
                <w:szCs w:val="32"/>
              </w:rPr>
              <w:t>20</w:t>
            </w:r>
            <w:r w:rsidR="0035015A">
              <w:rPr>
                <w:rFonts w:ascii="仿宋_GB2312" w:eastAsia="仿宋_GB2312" w:hAnsi="宋体" w:cs="宋体" w:hint="eastAsia"/>
                <w:color w:val="000000"/>
                <w:sz w:val="32"/>
                <w:szCs w:val="32"/>
              </w:rPr>
              <w:fldChar w:fldCharType="end"/>
            </w:r>
          </w:hyperlink>
        </w:p>
        <w:p w:rsidR="00F60252" w:rsidRDefault="0055295A">
          <w:pPr>
            <w:pStyle w:val="WPSOffice1"/>
            <w:tabs>
              <w:tab w:val="right" w:leader="dot" w:pos="8844"/>
            </w:tabs>
            <w:rPr>
              <w:rFonts w:ascii="仿宋_GB2312" w:eastAsia="仿宋_GB2312" w:hAnsi="宋体" w:cs="宋体"/>
              <w:color w:val="000000"/>
              <w:sz w:val="32"/>
              <w:szCs w:val="32"/>
            </w:rPr>
          </w:pPr>
          <w:hyperlink w:anchor="_Toc13341" w:history="1">
            <w:r w:rsidR="0035015A">
              <w:rPr>
                <w:rFonts w:ascii="仿宋_GB2312" w:eastAsia="仿宋_GB2312" w:hAnsi="宋体" w:cs="宋体" w:hint="eastAsia"/>
                <w:color w:val="000000"/>
                <w:sz w:val="32"/>
                <w:szCs w:val="32"/>
              </w:rPr>
              <w:t>六、措施建议</w:t>
            </w:r>
            <w:r w:rsidR="0035015A">
              <w:rPr>
                <w:rFonts w:ascii="仿宋_GB2312" w:eastAsia="仿宋_GB2312" w:hAnsi="宋体" w:cs="宋体" w:hint="eastAsia"/>
                <w:color w:val="000000"/>
                <w:sz w:val="32"/>
                <w:szCs w:val="32"/>
              </w:rPr>
              <w:tab/>
            </w:r>
            <w:r w:rsidR="0035015A">
              <w:rPr>
                <w:rFonts w:ascii="仿宋_GB2312" w:eastAsia="仿宋_GB2312" w:hAnsi="宋体" w:cs="宋体" w:hint="eastAsia"/>
                <w:color w:val="000000"/>
                <w:sz w:val="32"/>
                <w:szCs w:val="32"/>
              </w:rPr>
              <w:fldChar w:fldCharType="begin"/>
            </w:r>
            <w:r w:rsidR="0035015A">
              <w:rPr>
                <w:rFonts w:ascii="仿宋_GB2312" w:eastAsia="仿宋_GB2312" w:hAnsi="宋体" w:cs="宋体" w:hint="eastAsia"/>
                <w:color w:val="000000"/>
                <w:sz w:val="32"/>
                <w:szCs w:val="32"/>
              </w:rPr>
              <w:instrText xml:space="preserve"> PAGEREF _Toc13341 \h </w:instrText>
            </w:r>
            <w:r w:rsidR="0035015A">
              <w:rPr>
                <w:rFonts w:ascii="仿宋_GB2312" w:eastAsia="仿宋_GB2312" w:hAnsi="宋体" w:cs="宋体" w:hint="eastAsia"/>
                <w:color w:val="000000"/>
                <w:sz w:val="32"/>
                <w:szCs w:val="32"/>
              </w:rPr>
            </w:r>
            <w:r w:rsidR="0035015A">
              <w:rPr>
                <w:rFonts w:ascii="仿宋_GB2312" w:eastAsia="仿宋_GB2312" w:hAnsi="宋体" w:cs="宋体" w:hint="eastAsia"/>
                <w:color w:val="000000"/>
                <w:sz w:val="32"/>
                <w:szCs w:val="32"/>
              </w:rPr>
              <w:fldChar w:fldCharType="separate"/>
            </w:r>
            <w:r w:rsidR="0035015A">
              <w:rPr>
                <w:rFonts w:ascii="仿宋_GB2312" w:eastAsia="仿宋_GB2312" w:hAnsi="宋体" w:cs="宋体" w:hint="eastAsia"/>
                <w:color w:val="000000"/>
                <w:sz w:val="32"/>
                <w:szCs w:val="32"/>
              </w:rPr>
              <w:t>21</w:t>
            </w:r>
            <w:r w:rsidR="0035015A">
              <w:rPr>
                <w:rFonts w:ascii="仿宋_GB2312" w:eastAsia="仿宋_GB2312" w:hAnsi="宋体" w:cs="宋体" w:hint="eastAsia"/>
                <w:color w:val="000000"/>
                <w:sz w:val="32"/>
                <w:szCs w:val="32"/>
              </w:rPr>
              <w:fldChar w:fldCharType="end"/>
            </w:r>
          </w:hyperlink>
        </w:p>
        <w:p w:rsidR="00F60252" w:rsidRDefault="0035015A">
          <w:pPr>
            <w:spacing w:beforeLines="50" w:before="156" w:line="360" w:lineRule="auto"/>
            <w:rPr>
              <w:rFonts w:ascii="方正小标宋简体" w:eastAsia="方正小标宋简体" w:hAnsi="黑体" w:cs="Arial"/>
              <w:bCs/>
              <w:sz w:val="40"/>
              <w:szCs w:val="40"/>
            </w:rPr>
          </w:pPr>
          <w:r>
            <w:rPr>
              <w:rFonts w:ascii="方正小标宋简体" w:eastAsia="方正小标宋简体" w:hAnsi="黑体" w:cs="Arial" w:hint="eastAsia"/>
              <w:b/>
              <w:bCs/>
              <w:szCs w:val="40"/>
            </w:rPr>
            <w:fldChar w:fldCharType="end"/>
          </w:r>
        </w:p>
      </w:sdtContent>
    </w:sdt>
    <w:p w:rsidR="00F60252" w:rsidRDefault="00F60252">
      <w:pPr>
        <w:spacing w:beforeLines="50" w:before="156" w:line="360" w:lineRule="auto"/>
        <w:rPr>
          <w:rFonts w:ascii="方正小标宋简体" w:eastAsia="方正小标宋简体" w:hAnsi="黑体" w:cs="Arial"/>
          <w:bCs/>
          <w:sz w:val="40"/>
          <w:szCs w:val="40"/>
        </w:rPr>
      </w:pPr>
    </w:p>
    <w:p w:rsidR="00F60252" w:rsidRDefault="00F60252">
      <w:pPr>
        <w:spacing w:beforeLines="50" w:before="156" w:line="360" w:lineRule="auto"/>
        <w:ind w:firstLineChars="100" w:firstLine="400"/>
        <w:outlineLvl w:val="0"/>
        <w:rPr>
          <w:rFonts w:ascii="方正小标宋简体" w:eastAsia="方正小标宋简体" w:hAnsi="黑体" w:cs="Arial"/>
          <w:bCs/>
          <w:sz w:val="40"/>
          <w:szCs w:val="40"/>
        </w:rPr>
        <w:sectPr w:rsidR="00F60252">
          <w:footerReference w:type="default" r:id="rId9"/>
          <w:pgSz w:w="11906" w:h="16838"/>
          <w:pgMar w:top="1911" w:right="1474" w:bottom="1418" w:left="1588" w:header="851" w:footer="992" w:gutter="0"/>
          <w:pgNumType w:start="1"/>
          <w:cols w:space="720"/>
          <w:docGrid w:type="lines" w:linePitch="312"/>
        </w:sectPr>
      </w:pPr>
      <w:bookmarkStart w:id="0" w:name="_Toc23772"/>
    </w:p>
    <w:p w:rsidR="00F60252" w:rsidRDefault="0035015A">
      <w:pPr>
        <w:spacing w:beforeLines="50" w:before="156" w:line="360" w:lineRule="auto"/>
        <w:ind w:firstLineChars="100" w:firstLine="400"/>
        <w:rPr>
          <w:rFonts w:ascii="方正小标宋简体" w:eastAsia="方正小标宋简体" w:hAnsi="黑体" w:cs="Arial"/>
          <w:bCs/>
          <w:sz w:val="40"/>
          <w:szCs w:val="40"/>
        </w:rPr>
      </w:pPr>
      <w:r>
        <w:rPr>
          <w:rFonts w:ascii="方正小标宋简体" w:eastAsia="方正小标宋简体" w:hAnsi="黑体" w:cs="Arial" w:hint="eastAsia"/>
          <w:bCs/>
          <w:sz w:val="40"/>
          <w:szCs w:val="40"/>
        </w:rPr>
        <w:lastRenderedPageBreak/>
        <w:t>中共北京市委网络安全和信息化委员会办公室</w:t>
      </w:r>
      <w:bookmarkEnd w:id="0"/>
    </w:p>
    <w:p w:rsidR="00F60252" w:rsidRDefault="0035015A">
      <w:pPr>
        <w:spacing w:beforeLines="50" w:before="156" w:line="360" w:lineRule="auto"/>
        <w:jc w:val="center"/>
        <w:rPr>
          <w:rFonts w:ascii="方正小标宋简体" w:eastAsia="方正小标宋简体" w:hAnsi="黑体" w:cs="Arial"/>
          <w:bCs/>
          <w:sz w:val="40"/>
          <w:szCs w:val="40"/>
        </w:rPr>
      </w:pPr>
      <w:bookmarkStart w:id="1" w:name="_Toc16967"/>
      <w:bookmarkStart w:id="2" w:name="_Toc16898"/>
      <w:bookmarkStart w:id="3" w:name="_Toc13428"/>
      <w:r>
        <w:rPr>
          <w:rFonts w:ascii="方正小标宋简体" w:eastAsia="方正小标宋简体" w:hAnsi="黑体" w:cs="Arial" w:hint="eastAsia"/>
          <w:bCs/>
          <w:sz w:val="40"/>
          <w:szCs w:val="40"/>
        </w:rPr>
        <w:t>2021年部门整体绩效评价报告</w:t>
      </w:r>
      <w:bookmarkEnd w:id="1"/>
      <w:bookmarkEnd w:id="2"/>
      <w:bookmarkEnd w:id="3"/>
    </w:p>
    <w:p w:rsidR="00F60252" w:rsidRDefault="0035015A">
      <w:pPr>
        <w:spacing w:beforeLines="100" w:before="312" w:line="360" w:lineRule="auto"/>
        <w:ind w:firstLineChars="200" w:firstLine="640"/>
        <w:rPr>
          <w:rFonts w:ascii="仿宋_GB2312" w:eastAsia="宋体" w:hAnsi="Times New Roman" w:cs="Times New Roman"/>
          <w:szCs w:val="30"/>
        </w:rPr>
      </w:pPr>
      <w:r>
        <w:rPr>
          <w:rFonts w:ascii="仿宋_GB2312" w:eastAsia="仿宋_GB2312" w:hAnsi="宋体" w:cs="宋体" w:hint="eastAsia"/>
          <w:color w:val="000000"/>
          <w:kern w:val="0"/>
          <w:sz w:val="32"/>
          <w:szCs w:val="32"/>
        </w:rPr>
        <w:t>为进一步规范财政资金管理，牢固树立预算绩效理念，强化部门支出责任，提高财政资金使用效益，根据《北京市财政局关于开展2022年全面预算绩效管理工作的通知》（京财〔2022〕669号）要求，我办组织开展了2021年度部门整体绩效评价工作，现将绩效评价情况及评价结果报告如下：</w:t>
      </w:r>
    </w:p>
    <w:p w:rsidR="00F60252" w:rsidRDefault="0035015A">
      <w:pPr>
        <w:spacing w:line="600" w:lineRule="exact"/>
        <w:ind w:firstLineChars="200" w:firstLine="640"/>
        <w:outlineLvl w:val="0"/>
        <w:rPr>
          <w:rFonts w:ascii="黑体" w:eastAsia="黑体" w:hAnsi="黑体" w:cs="宋体"/>
          <w:color w:val="000000"/>
          <w:kern w:val="0"/>
          <w:sz w:val="32"/>
          <w:szCs w:val="32"/>
        </w:rPr>
      </w:pPr>
      <w:bookmarkStart w:id="4" w:name="_Toc1632"/>
      <w:r>
        <w:rPr>
          <w:rFonts w:ascii="黑体" w:eastAsia="黑体" w:hAnsi="黑体" w:cs="宋体" w:hint="eastAsia"/>
          <w:color w:val="000000"/>
          <w:kern w:val="0"/>
          <w:sz w:val="32"/>
          <w:szCs w:val="32"/>
        </w:rPr>
        <w:t>一、部门概况</w:t>
      </w:r>
      <w:bookmarkEnd w:id="4"/>
    </w:p>
    <w:p w:rsidR="00F60252" w:rsidRDefault="0035015A">
      <w:pPr>
        <w:spacing w:line="600" w:lineRule="exact"/>
        <w:ind w:leftChars="50" w:left="105" w:firstLineChars="150" w:firstLine="480"/>
        <w:outlineLvl w:val="1"/>
        <w:rPr>
          <w:rFonts w:ascii="楷体_GB2312" w:eastAsia="楷体_GB2312" w:hAnsi="Times New Roman" w:cs="Times New Roman"/>
          <w:sz w:val="32"/>
          <w:szCs w:val="32"/>
        </w:rPr>
      </w:pPr>
      <w:bookmarkStart w:id="5" w:name="_Toc25660"/>
      <w:r>
        <w:rPr>
          <w:rFonts w:ascii="楷体_GB2312" w:eastAsia="楷体_GB2312" w:hAnsi="Times New Roman" w:cs="Times New Roman" w:hint="eastAsia"/>
          <w:sz w:val="32"/>
          <w:szCs w:val="32"/>
        </w:rPr>
        <w:t>（一）机构设置及职责工作任务情况</w:t>
      </w:r>
      <w:bookmarkEnd w:id="5"/>
    </w:p>
    <w:p w:rsidR="00F60252" w:rsidRDefault="0035015A">
      <w:pPr>
        <w:spacing w:line="600" w:lineRule="exact"/>
        <w:ind w:leftChars="200" w:left="420" w:firstLineChars="100" w:firstLine="32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1、主要职能</w:t>
      </w:r>
    </w:p>
    <w:p w:rsidR="00F60252" w:rsidRDefault="0035015A">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(1)负责落实国家和本市关于互联网信息传播的方针政策和法律法规，推动本市互联网信息传播法制建设；</w:t>
      </w:r>
    </w:p>
    <w:p w:rsidR="00F60252" w:rsidRDefault="0035015A">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(2)做好本市互联网领域的信息内容管理工作，依法查处违法违规行为；</w:t>
      </w:r>
    </w:p>
    <w:p w:rsidR="00F60252" w:rsidRDefault="0035015A">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(3)统筹协调网络安全和信息化工作；</w:t>
      </w:r>
    </w:p>
    <w:p w:rsidR="00F60252" w:rsidRDefault="0035015A">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(4)协调、组织做好网上宣传和舆论引导工作；</w:t>
      </w:r>
    </w:p>
    <w:p w:rsidR="00F60252" w:rsidRDefault="0035015A">
      <w:pPr>
        <w:spacing w:line="360" w:lineRule="auto"/>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(5)承办市委、市政府和市委网络安全和信息化委员会交办的其他事项。</w:t>
      </w:r>
    </w:p>
    <w:p w:rsidR="00F60252" w:rsidRDefault="0035015A">
      <w:pPr>
        <w:spacing w:line="600" w:lineRule="exact"/>
        <w:ind w:leftChars="200" w:left="420" w:firstLineChars="100" w:firstLine="32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2、机构情况</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中共北京市委网络安全和信息化委员会办公室为行政机关，</w:t>
      </w:r>
      <w:r>
        <w:rPr>
          <w:rFonts w:ascii="仿宋_GB2312" w:eastAsia="仿宋_GB2312" w:hAnsi="宋体" w:cs="宋体" w:hint="eastAsia"/>
          <w:color w:val="000000"/>
          <w:kern w:val="0"/>
          <w:sz w:val="32"/>
          <w:szCs w:val="32"/>
        </w:rPr>
        <w:lastRenderedPageBreak/>
        <w:t>是一级预算单位。下属2个公益一类事业单位，分别是北京市网络舆情和举报中心、北京市网络监管和应急指挥中心；2个事业单位，预算由市委网信办统一向财政申请，统一核算。</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根据《中共北京市委办公厅关于设立中共北京市委互联网企业工作委员会的通知》（京办字〔2021〕15号），设立市委互联网企业工委，与我办合署办公，实行一套工作机构、两个机关名称。</w:t>
      </w:r>
    </w:p>
    <w:p w:rsidR="00F60252" w:rsidRDefault="0035015A">
      <w:pPr>
        <w:spacing w:line="600" w:lineRule="exact"/>
        <w:ind w:leftChars="200" w:left="420" w:firstLineChars="100" w:firstLine="32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3、人员构成情况</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2021年我办编制人数201人，其中行政编制115人，事业编制86人。2021年末实有人数172人，其中行政编制92人，事业编制78人，退休2人。</w:t>
      </w:r>
    </w:p>
    <w:p w:rsidR="00F60252" w:rsidRDefault="0035015A">
      <w:pPr>
        <w:spacing w:line="600" w:lineRule="exact"/>
        <w:ind w:leftChars="50" w:left="105" w:firstLineChars="150" w:firstLine="480"/>
        <w:outlineLvl w:val="1"/>
        <w:rPr>
          <w:rFonts w:ascii="楷体_GB2312" w:eastAsia="楷体_GB2312" w:hAnsi="Times New Roman" w:cs="Times New Roman"/>
          <w:sz w:val="32"/>
          <w:szCs w:val="32"/>
        </w:rPr>
      </w:pPr>
      <w:bookmarkStart w:id="6" w:name="_Toc30369"/>
      <w:r>
        <w:rPr>
          <w:rFonts w:ascii="楷体_GB2312" w:eastAsia="楷体_GB2312" w:hAnsi="Times New Roman" w:cs="Times New Roman" w:hint="eastAsia"/>
          <w:sz w:val="32"/>
          <w:szCs w:val="32"/>
        </w:rPr>
        <w:t>（二）部门整体绩效目标设立情况</w:t>
      </w:r>
      <w:bookmarkEnd w:id="6"/>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1、总体目标</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持续推进</w:t>
      </w:r>
      <w:r w:rsidR="005E620B">
        <w:rPr>
          <w:rFonts w:ascii="仿宋_GB2312" w:eastAsia="仿宋_GB2312" w:hAnsi="宋体" w:cs="宋体" w:hint="eastAsia"/>
          <w:color w:val="000000"/>
          <w:kern w:val="0"/>
          <w:sz w:val="32"/>
          <w:szCs w:val="32"/>
        </w:rPr>
        <w:t>习近平</w:t>
      </w:r>
      <w:r>
        <w:rPr>
          <w:rFonts w:ascii="仿宋_GB2312" w:eastAsia="仿宋_GB2312" w:hAnsi="宋体" w:cs="宋体" w:hint="eastAsia"/>
          <w:color w:val="000000"/>
          <w:kern w:val="0"/>
          <w:sz w:val="32"/>
          <w:szCs w:val="32"/>
        </w:rPr>
        <w:t>新时代中国特色社会主义思想网上宣传学习，紧紧围绕重大主题活动做大做强网上正能量，坚持正确政治方向、宣传导向和价值取向，一手抓网络内容建设，一手抓网络空间治理，坚决守住守好首都网络阵地。积极加大加快推进网络安全和信息化建设工作，为建设网络强国和推动国际一流和谐宜居之都建设、不断满足广大人民群众日益增长的精神文化需求营造良好网络氛围，提供安全网络保障。</w:t>
      </w:r>
    </w:p>
    <w:p w:rsidR="00F60252" w:rsidRDefault="0035015A">
      <w:pPr>
        <w:numPr>
          <w:ilvl w:val="0"/>
          <w:numId w:val="1"/>
        </w:numPr>
        <w:spacing w:line="600" w:lineRule="exact"/>
        <w:ind w:leftChars="200" w:left="420" w:firstLineChars="100" w:firstLine="32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职责分类绩效目标</w:t>
      </w:r>
    </w:p>
    <w:p w:rsidR="00F60252" w:rsidRDefault="0035015A">
      <w:pPr>
        <w:spacing w:line="600" w:lineRule="exact"/>
        <w:ind w:firstLineChars="200" w:firstLine="560"/>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lastRenderedPageBreak/>
        <w:t>（以下内容均由我办选出的13个具有代表性的项目、以及主要工作列示说明）</w:t>
      </w:r>
    </w:p>
    <w:p w:rsidR="00F60252" w:rsidRDefault="0035015A">
      <w:pPr>
        <w:spacing w:line="360" w:lineRule="auto"/>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1）落实国家和本市关于互联网信息传播的方针政策和法律法规，推动本市互联网信息传播法制建设</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如：互联网内容建设、舆论研究和信息管理工作调研经费项目绩效目标：重点围绕首都互联网发展中存在的新情况、新问题，进行针对性、前瞻性、对策性研究，以更好推动首都互联网健康发展，为</w:t>
      </w:r>
      <w:r w:rsidR="005E620B">
        <w:rPr>
          <w:rFonts w:ascii="仿宋_GB2312" w:eastAsia="仿宋_GB2312" w:hAnsi="宋体" w:cs="宋体" w:hint="eastAsia"/>
          <w:color w:val="000000"/>
          <w:kern w:val="0"/>
          <w:sz w:val="32"/>
          <w:szCs w:val="32"/>
        </w:rPr>
        <w:t>推动本</w:t>
      </w:r>
      <w:r>
        <w:rPr>
          <w:rFonts w:ascii="仿宋_GB2312" w:eastAsia="仿宋_GB2312" w:hAnsi="宋体" w:cs="宋体" w:hint="eastAsia"/>
          <w:color w:val="000000"/>
          <w:kern w:val="0"/>
          <w:sz w:val="32"/>
          <w:szCs w:val="32"/>
        </w:rPr>
        <w:t>市</w:t>
      </w:r>
      <w:r w:rsidR="005E620B">
        <w:rPr>
          <w:rFonts w:ascii="仿宋_GB2312" w:eastAsia="仿宋_GB2312" w:hAnsi="宋体" w:cs="宋体" w:hint="eastAsia"/>
          <w:color w:val="000000"/>
          <w:kern w:val="0"/>
          <w:sz w:val="32"/>
          <w:szCs w:val="32"/>
        </w:rPr>
        <w:t>互联网</w:t>
      </w:r>
      <w:r>
        <w:rPr>
          <w:rFonts w:ascii="仿宋_GB2312" w:eastAsia="仿宋_GB2312" w:hAnsi="宋体" w:cs="宋体" w:hint="eastAsia"/>
          <w:color w:val="000000"/>
          <w:kern w:val="0"/>
          <w:sz w:val="32"/>
          <w:szCs w:val="32"/>
        </w:rPr>
        <w:t>信息</w:t>
      </w:r>
      <w:r w:rsidR="005E620B">
        <w:rPr>
          <w:rFonts w:ascii="仿宋_GB2312" w:eastAsia="仿宋_GB2312" w:hAnsi="宋体" w:cs="宋体" w:hint="eastAsia"/>
          <w:color w:val="000000"/>
          <w:kern w:val="0"/>
          <w:sz w:val="32"/>
          <w:szCs w:val="32"/>
        </w:rPr>
        <w:t>传播</w:t>
      </w:r>
      <w:r w:rsidR="005E620B">
        <w:rPr>
          <w:rFonts w:ascii="仿宋_GB2312" w:eastAsia="仿宋_GB2312" w:hAnsi="宋体" w:cs="宋体"/>
          <w:color w:val="000000"/>
          <w:kern w:val="0"/>
          <w:sz w:val="32"/>
          <w:szCs w:val="32"/>
        </w:rPr>
        <w:t>法制建设</w:t>
      </w:r>
      <w:r>
        <w:rPr>
          <w:rFonts w:ascii="仿宋_GB2312" w:eastAsia="仿宋_GB2312" w:hAnsi="宋体" w:cs="宋体" w:hint="eastAsia"/>
          <w:color w:val="000000"/>
          <w:kern w:val="0"/>
          <w:sz w:val="32"/>
          <w:szCs w:val="32"/>
        </w:rPr>
        <w:t>奠定基础。</w:t>
      </w:r>
    </w:p>
    <w:p w:rsidR="00F60252" w:rsidRPr="005E620B" w:rsidRDefault="0035015A">
      <w:pPr>
        <w:spacing w:line="360" w:lineRule="auto"/>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2）</w:t>
      </w:r>
      <w:r>
        <w:rPr>
          <w:rFonts w:ascii="仿宋_GB2312" w:eastAsia="仿宋_GB2312" w:hAnsi="宋体" w:cs="宋体"/>
          <w:b/>
          <w:bCs/>
          <w:color w:val="000000"/>
          <w:kern w:val="0"/>
          <w:sz w:val="32"/>
          <w:szCs w:val="32"/>
        </w:rPr>
        <w:t>做好本市互联网领域的信息内容管理工作，</w:t>
      </w:r>
      <w:r w:rsidRPr="005E620B">
        <w:rPr>
          <w:rFonts w:ascii="仿宋_GB2312" w:eastAsia="仿宋_GB2312" w:hAnsi="宋体" w:cs="宋体"/>
          <w:b/>
          <w:bCs/>
          <w:color w:val="000000"/>
          <w:kern w:val="0"/>
          <w:sz w:val="32"/>
          <w:szCs w:val="32"/>
        </w:rPr>
        <w:t>依法查处违法违规行为</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如：（1）</w:t>
      </w:r>
      <w:r>
        <w:rPr>
          <w:rFonts w:ascii="仿宋_GB2312" w:eastAsia="仿宋_GB2312" w:hAnsi="宋体" w:cs="宋体"/>
          <w:color w:val="000000"/>
          <w:kern w:val="0"/>
          <w:sz w:val="32"/>
          <w:szCs w:val="32"/>
        </w:rPr>
        <w:t>购买社会化用工服务经费项目</w:t>
      </w:r>
      <w:r>
        <w:rPr>
          <w:rFonts w:ascii="仿宋_GB2312" w:eastAsia="仿宋_GB2312" w:hAnsi="宋体" w:cs="宋体" w:hint="eastAsia"/>
          <w:color w:val="000000"/>
          <w:kern w:val="0"/>
          <w:sz w:val="32"/>
          <w:szCs w:val="32"/>
        </w:rPr>
        <w:t>绩效目标：在网络管理岗位上，为保障工作需要聘用社会化用工人员，以缓解互联网管理工作任务日趋繁重与互联网管理人员相对不足之间的矛盾，确保互联网宣传管理工作的顺利开展，营造风清气正的网络环境。</w:t>
      </w:r>
    </w:p>
    <w:p w:rsidR="00F60252" w:rsidRDefault="0035015A">
      <w:pPr>
        <w:numPr>
          <w:ilvl w:val="0"/>
          <w:numId w:val="2"/>
        </w:num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购买信息产品、数据等服务费项目绩效目标：帮助各级部门了解首都各项工作的网上舆情反馈情况，为政府决策和促进社会健康发展提供信息支持；批量在网站互动环节多阵地定向发布、手机客户端引导、配置语料库等流程化管理，可以同时实现对多个话题、多个阵地的智能化引导</w:t>
      </w:r>
      <w:r>
        <w:rPr>
          <w:rFonts w:ascii="仿宋_GB2312" w:eastAsia="仿宋_GB2312" w:hAnsi="宋体" w:cs="宋体" w:hint="eastAsia"/>
          <w:color w:val="000000"/>
          <w:kern w:val="0"/>
          <w:sz w:val="32"/>
          <w:szCs w:val="32"/>
        </w:rPr>
        <w:t>。</w:t>
      </w:r>
    </w:p>
    <w:p w:rsidR="00F60252" w:rsidRPr="005E620B" w:rsidRDefault="0035015A">
      <w:pPr>
        <w:numPr>
          <w:ilvl w:val="0"/>
          <w:numId w:val="2"/>
        </w:numPr>
        <w:spacing w:line="360" w:lineRule="auto"/>
        <w:ind w:firstLineChars="200" w:firstLine="640"/>
        <w:rPr>
          <w:rFonts w:ascii="仿宋_GB2312" w:eastAsia="仿宋_GB2312" w:hAnsi="宋体" w:cs="宋体"/>
          <w:color w:val="000000"/>
          <w:kern w:val="0"/>
          <w:sz w:val="32"/>
          <w:szCs w:val="32"/>
        </w:rPr>
      </w:pPr>
      <w:r w:rsidRPr="005E620B">
        <w:rPr>
          <w:rFonts w:ascii="仿宋_GB2312" w:eastAsia="仿宋_GB2312" w:hAnsi="宋体" w:cs="宋体"/>
          <w:color w:val="000000"/>
          <w:kern w:val="0"/>
          <w:sz w:val="32"/>
          <w:szCs w:val="32"/>
        </w:rPr>
        <w:t>查处违法违规行为</w:t>
      </w:r>
      <w:r w:rsidRPr="005E620B">
        <w:rPr>
          <w:rFonts w:ascii="仿宋_GB2312" w:eastAsia="仿宋_GB2312" w:hAnsi="宋体" w:cs="宋体" w:hint="eastAsia"/>
          <w:color w:val="000000"/>
          <w:kern w:val="0"/>
          <w:sz w:val="32"/>
          <w:szCs w:val="32"/>
        </w:rPr>
        <w:t>工作：坚持以最高标准、最大力度，</w:t>
      </w:r>
      <w:r w:rsidRPr="005E620B">
        <w:rPr>
          <w:rFonts w:ascii="仿宋_GB2312" w:eastAsia="仿宋_GB2312" w:hAnsi="宋体" w:cs="宋体" w:hint="eastAsia"/>
          <w:color w:val="000000"/>
          <w:kern w:val="0"/>
          <w:sz w:val="32"/>
          <w:szCs w:val="32"/>
        </w:rPr>
        <w:lastRenderedPageBreak/>
        <w:t>依法查处违法违规行为，坚决维护政治安全和网络意识形态安全。</w:t>
      </w:r>
    </w:p>
    <w:p w:rsidR="00F60252" w:rsidRDefault="0035015A">
      <w:pPr>
        <w:spacing w:line="360" w:lineRule="auto"/>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3）</w:t>
      </w:r>
      <w:r>
        <w:rPr>
          <w:rFonts w:ascii="仿宋_GB2312" w:eastAsia="仿宋_GB2312" w:hAnsi="宋体" w:cs="宋体"/>
          <w:b/>
          <w:bCs/>
          <w:color w:val="000000"/>
          <w:kern w:val="0"/>
          <w:sz w:val="32"/>
          <w:szCs w:val="32"/>
        </w:rPr>
        <w:t>统筹协调网络安全和信息化工作</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如：</w:t>
      </w:r>
      <w:r>
        <w:rPr>
          <w:rFonts w:ascii="仿宋_GB2312" w:eastAsia="仿宋_GB2312" w:hAnsi="宋体" w:cs="宋体" w:hint="eastAsia"/>
          <w:color w:val="000000"/>
          <w:kern w:val="0"/>
          <w:sz w:val="32"/>
          <w:szCs w:val="32"/>
        </w:rPr>
        <w:t>（1）</w:t>
      </w:r>
      <w:r>
        <w:rPr>
          <w:rFonts w:ascii="仿宋_GB2312" w:eastAsia="仿宋_GB2312" w:hAnsi="宋体" w:cs="宋体"/>
          <w:color w:val="000000"/>
          <w:kern w:val="0"/>
          <w:sz w:val="32"/>
          <w:szCs w:val="32"/>
        </w:rPr>
        <w:t>网络安全宣传周活动经费项目绩效目标</w:t>
      </w:r>
      <w:r>
        <w:rPr>
          <w:rFonts w:ascii="仿宋_GB2312" w:eastAsia="仿宋_GB2312" w:hAnsi="宋体" w:cs="宋体" w:hint="eastAsia"/>
          <w:color w:val="000000"/>
          <w:kern w:val="0"/>
          <w:sz w:val="32"/>
          <w:szCs w:val="32"/>
        </w:rPr>
        <w:t>：贯彻落实总书记重要讲话精神和总体国家安全观，按照中央总体安排，顺利开展北京市网络安全宣传周活动，提升社会大众的网络安全意识和安全防护技能。</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color w:val="000000"/>
          <w:kern w:val="0"/>
          <w:sz w:val="32"/>
          <w:szCs w:val="32"/>
        </w:rPr>
        <w:t>北京市网络安全工作责任制落实情况检查工作（暨重要业务系统网络安全检查工作）经费项目绩效目标：掌握</w:t>
      </w:r>
      <w:r>
        <w:rPr>
          <w:rFonts w:ascii="仿宋_GB2312" w:eastAsia="仿宋_GB2312" w:hAnsi="宋体" w:cs="宋体" w:hint="eastAsia"/>
          <w:color w:val="000000"/>
          <w:kern w:val="0"/>
          <w:sz w:val="32"/>
          <w:szCs w:val="32"/>
        </w:rPr>
        <w:t>北京市</w:t>
      </w:r>
      <w:r>
        <w:rPr>
          <w:rFonts w:ascii="仿宋_GB2312" w:eastAsia="仿宋_GB2312" w:hAnsi="宋体" w:cs="宋体"/>
          <w:color w:val="000000"/>
          <w:kern w:val="0"/>
          <w:sz w:val="32"/>
          <w:szCs w:val="32"/>
        </w:rPr>
        <w:t>各党政机关、企事业单位党委（党组）网络安全责任制工作落实情况，重点围绕制度建设、安全管理及重要业务系统（信息系统、工控系统等）网络安全风险和防护状况等方面开展检查，推动健全我市网络安全责任体系和管理体系，切实提高</w:t>
      </w:r>
      <w:r>
        <w:rPr>
          <w:rFonts w:ascii="仿宋_GB2312" w:eastAsia="仿宋_GB2312" w:hAnsi="宋体" w:cs="宋体" w:hint="eastAsia"/>
          <w:color w:val="000000"/>
          <w:kern w:val="0"/>
          <w:sz w:val="32"/>
          <w:szCs w:val="32"/>
        </w:rPr>
        <w:t>全市</w:t>
      </w:r>
      <w:r>
        <w:rPr>
          <w:rFonts w:ascii="仿宋_GB2312" w:eastAsia="仿宋_GB2312" w:hAnsi="宋体" w:cs="宋体"/>
          <w:color w:val="000000"/>
          <w:kern w:val="0"/>
          <w:sz w:val="32"/>
          <w:szCs w:val="32"/>
        </w:rPr>
        <w:t>网络安全保障能力和水平，确保全市重要业务系统及网络的安全稳定运行。</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Pr>
          <w:rFonts w:ascii="仿宋_GB2312" w:eastAsia="仿宋_GB2312" w:hAnsi="宋体" w:cs="宋体"/>
          <w:color w:val="000000"/>
          <w:kern w:val="0"/>
          <w:sz w:val="32"/>
          <w:szCs w:val="32"/>
        </w:rPr>
        <w:t>北京市重大网络安全事件应急演练工作经费项目绩效目标：贯彻落实《网络安全法》和市委市政府网络安全工作总体安排，落实市重大网络与信息安全事件应急指挥部工作要求，顺利开展北京市重大网络安全</w:t>
      </w:r>
      <w:r w:rsidR="005E620B">
        <w:rPr>
          <w:rFonts w:ascii="仿宋_GB2312" w:eastAsia="仿宋_GB2312" w:hAnsi="宋体" w:cs="宋体" w:hint="eastAsia"/>
          <w:color w:val="000000"/>
          <w:kern w:val="0"/>
          <w:sz w:val="32"/>
          <w:szCs w:val="32"/>
        </w:rPr>
        <w:t>事件</w:t>
      </w:r>
      <w:r>
        <w:rPr>
          <w:rFonts w:ascii="仿宋_GB2312" w:eastAsia="仿宋_GB2312" w:hAnsi="宋体" w:cs="宋体"/>
          <w:color w:val="000000"/>
          <w:kern w:val="0"/>
          <w:sz w:val="32"/>
          <w:szCs w:val="32"/>
        </w:rPr>
        <w:t>应急演练，梳理完善各有关单位网络安全应急预案和操作流程，提升网络安全应急处置能力。</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w:t>
      </w:r>
      <w:r>
        <w:rPr>
          <w:rFonts w:ascii="仿宋_GB2312" w:eastAsia="仿宋_GB2312" w:hAnsi="宋体" w:cs="宋体"/>
          <w:color w:val="000000"/>
          <w:kern w:val="0"/>
          <w:sz w:val="32"/>
          <w:szCs w:val="32"/>
        </w:rPr>
        <w:t>北京市IPv6规模部署推进项目工作经费项目绩效目标：通过加大IPv6规模部署宣传力度，引导普通用户通过更换终端等手段向IPv6迁移</w:t>
      </w:r>
      <w:r w:rsidR="00D21CE3">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通过</w:t>
      </w:r>
      <w:r w:rsidR="005E620B">
        <w:rPr>
          <w:rFonts w:ascii="仿宋_GB2312" w:eastAsia="仿宋_GB2312" w:hAnsi="宋体" w:cs="宋体"/>
          <w:color w:val="000000"/>
          <w:kern w:val="0"/>
          <w:sz w:val="32"/>
          <w:szCs w:val="32"/>
        </w:rPr>
        <w:t>每</w:t>
      </w:r>
      <w:r w:rsidR="00D21CE3">
        <w:rPr>
          <w:rFonts w:ascii="仿宋_GB2312" w:eastAsia="仿宋_GB2312" w:hAnsi="宋体" w:cs="宋体" w:hint="eastAsia"/>
          <w:color w:val="000000"/>
          <w:kern w:val="0"/>
          <w:sz w:val="32"/>
          <w:szCs w:val="32"/>
        </w:rPr>
        <w:t>月</w:t>
      </w:r>
      <w:r>
        <w:rPr>
          <w:rFonts w:ascii="仿宋_GB2312" w:eastAsia="仿宋_GB2312" w:hAnsi="宋体" w:cs="宋体"/>
          <w:color w:val="000000"/>
          <w:kern w:val="0"/>
          <w:sz w:val="32"/>
          <w:szCs w:val="32"/>
        </w:rPr>
        <w:t>编制1期全市</w:t>
      </w:r>
      <w:r w:rsidR="00D21CE3">
        <w:rPr>
          <w:rFonts w:ascii="仿宋_GB2312" w:eastAsia="仿宋_GB2312" w:hAnsi="宋体" w:cs="宋体" w:hint="eastAsia"/>
          <w:color w:val="000000"/>
          <w:kern w:val="0"/>
          <w:sz w:val="32"/>
          <w:szCs w:val="32"/>
        </w:rPr>
        <w:t>重点</w:t>
      </w:r>
      <w:r w:rsidR="00D21CE3">
        <w:rPr>
          <w:rFonts w:ascii="仿宋_GB2312" w:eastAsia="仿宋_GB2312" w:hAnsi="宋体" w:cs="宋体"/>
          <w:color w:val="000000"/>
          <w:kern w:val="0"/>
          <w:sz w:val="32"/>
          <w:szCs w:val="32"/>
        </w:rPr>
        <w:t>领域网站</w:t>
      </w:r>
      <w:r>
        <w:rPr>
          <w:rFonts w:ascii="仿宋_GB2312" w:eastAsia="仿宋_GB2312" w:hAnsi="宋体" w:cs="宋体"/>
          <w:color w:val="000000"/>
          <w:kern w:val="0"/>
          <w:sz w:val="32"/>
          <w:szCs w:val="32"/>
        </w:rPr>
        <w:t>IPv6</w:t>
      </w:r>
      <w:r w:rsidR="00D21CE3">
        <w:rPr>
          <w:rFonts w:ascii="仿宋_GB2312" w:eastAsia="仿宋_GB2312" w:hAnsi="宋体" w:cs="宋体" w:hint="eastAsia"/>
          <w:color w:val="000000"/>
          <w:kern w:val="0"/>
          <w:sz w:val="32"/>
          <w:szCs w:val="32"/>
        </w:rPr>
        <w:lastRenderedPageBreak/>
        <w:t>监测</w:t>
      </w:r>
      <w:r w:rsidR="005E620B">
        <w:rPr>
          <w:rFonts w:ascii="仿宋_GB2312" w:eastAsia="仿宋_GB2312" w:hAnsi="宋体" w:cs="宋体"/>
          <w:color w:val="000000"/>
          <w:kern w:val="0"/>
          <w:sz w:val="32"/>
          <w:szCs w:val="32"/>
        </w:rPr>
        <w:t>报告，</w:t>
      </w:r>
      <w:r>
        <w:rPr>
          <w:rFonts w:ascii="仿宋_GB2312" w:eastAsia="仿宋_GB2312" w:hAnsi="宋体" w:cs="宋体"/>
          <w:color w:val="000000"/>
          <w:kern w:val="0"/>
          <w:sz w:val="32"/>
          <w:szCs w:val="32"/>
        </w:rPr>
        <w:t>掌握我市IPv6规模部署工作中的瓶颈，对下一步工作开展起到关键作用。</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w:t>
      </w:r>
      <w:r>
        <w:rPr>
          <w:rFonts w:ascii="仿宋_GB2312" w:eastAsia="仿宋_GB2312" w:hAnsi="宋体" w:cs="宋体"/>
          <w:color w:val="000000"/>
          <w:kern w:val="0"/>
          <w:sz w:val="32"/>
          <w:szCs w:val="32"/>
        </w:rPr>
        <w:t>新技术新应用安全评估技术服务费项目绩效目标：完成25个互联网信息服务安全评估技术服务工作，建立并完善有害信息样本库和问题库，对新出现的新技术新应用进行监测和分析，发现风险和威胁，并提出应对方法。</w:t>
      </w:r>
    </w:p>
    <w:p w:rsidR="00F60252" w:rsidRDefault="0035015A">
      <w:pPr>
        <w:spacing w:line="360" w:lineRule="auto"/>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4）</w:t>
      </w:r>
      <w:r>
        <w:rPr>
          <w:rFonts w:ascii="仿宋_GB2312" w:eastAsia="仿宋_GB2312" w:hAnsi="宋体" w:cs="宋体"/>
          <w:b/>
          <w:bCs/>
          <w:color w:val="000000"/>
          <w:kern w:val="0"/>
          <w:sz w:val="32"/>
          <w:szCs w:val="32"/>
        </w:rPr>
        <w:t>协调、组织做好网上宣传和舆论引导工作</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如：</w:t>
      </w:r>
      <w:r>
        <w:rPr>
          <w:rFonts w:ascii="仿宋_GB2312" w:eastAsia="仿宋_GB2312" w:hAnsi="宋体" w:cs="宋体" w:hint="eastAsia"/>
          <w:color w:val="000000"/>
          <w:kern w:val="0"/>
          <w:sz w:val="32"/>
          <w:szCs w:val="32"/>
        </w:rPr>
        <w:t>（1）</w:t>
      </w:r>
      <w:r>
        <w:rPr>
          <w:rFonts w:ascii="仿宋_GB2312" w:eastAsia="仿宋_GB2312" w:hAnsi="宋体" w:cs="宋体"/>
          <w:color w:val="000000"/>
          <w:kern w:val="0"/>
          <w:sz w:val="32"/>
          <w:szCs w:val="32"/>
        </w:rPr>
        <w:t>新媒体发展扶持项目工作经费项目绩效目标</w:t>
      </w:r>
      <w:r>
        <w:rPr>
          <w:rFonts w:ascii="仿宋_GB2312" w:eastAsia="仿宋_GB2312" w:hAnsi="宋体" w:cs="宋体" w:hint="eastAsia"/>
          <w:color w:val="000000"/>
          <w:kern w:val="0"/>
          <w:sz w:val="32"/>
          <w:szCs w:val="32"/>
        </w:rPr>
        <w:t>：通过新媒体扶持项目，丰富和创新网络宣传的形式、方法、手段、体裁等，强化网络空间的正能量建设，切实推进网络传播的吸引力、传播力、影响力</w:t>
      </w:r>
      <w:r>
        <w:rPr>
          <w:rFonts w:ascii="仿宋_GB2312" w:eastAsia="仿宋_GB2312" w:hAnsi="宋体" w:cs="宋体"/>
          <w:color w:val="000000"/>
          <w:kern w:val="0"/>
          <w:sz w:val="32"/>
          <w:szCs w:val="32"/>
        </w:rPr>
        <w:t>。</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color w:val="000000"/>
          <w:kern w:val="0"/>
          <w:sz w:val="32"/>
          <w:szCs w:val="32"/>
        </w:rPr>
        <w:t>北京文化系列网络活动工作经费项目绩效目标</w:t>
      </w:r>
      <w:r>
        <w:rPr>
          <w:rFonts w:ascii="仿宋_GB2312" w:eastAsia="仿宋_GB2312" w:hAnsi="宋体" w:cs="宋体" w:hint="eastAsia"/>
          <w:color w:val="000000"/>
          <w:kern w:val="0"/>
          <w:sz w:val="32"/>
          <w:szCs w:val="32"/>
        </w:rPr>
        <w:t>：利用多个平台、多种形式对北京文化进行宣传报道，构建立体化传播矩阵、调动北京属地网站参与北京文化挖掘、传承、宣传，营造线上线下浓厚文化氛围</w:t>
      </w:r>
      <w:r>
        <w:rPr>
          <w:rFonts w:ascii="仿宋_GB2312" w:eastAsia="仿宋_GB2312" w:hAnsi="宋体" w:cs="宋体"/>
          <w:color w:val="000000"/>
          <w:kern w:val="0"/>
          <w:sz w:val="32"/>
          <w:szCs w:val="32"/>
        </w:rPr>
        <w:t>。</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Pr>
          <w:rFonts w:ascii="仿宋_GB2312" w:eastAsia="仿宋_GB2312" w:hAnsi="宋体" w:cs="宋体"/>
          <w:color w:val="000000"/>
          <w:kern w:val="0"/>
          <w:sz w:val="32"/>
          <w:szCs w:val="32"/>
        </w:rPr>
        <w:t>传统节日文化传承推广工作网络传播项目工作经费项目绩效目标</w:t>
      </w:r>
      <w:r>
        <w:rPr>
          <w:rFonts w:ascii="仿宋_GB2312" w:eastAsia="仿宋_GB2312" w:hAnsi="宋体" w:cs="宋体" w:hint="eastAsia"/>
          <w:color w:val="000000"/>
          <w:kern w:val="0"/>
          <w:sz w:val="32"/>
          <w:szCs w:val="32"/>
        </w:rPr>
        <w:t>：利用多个平台、多种形式对传统节日文化进行宣传报道，构建立体化传播矩阵；调动北京属地网站参与传统节日文化传承、利用、推广的积极性和主动性</w:t>
      </w:r>
      <w:r>
        <w:rPr>
          <w:rFonts w:ascii="仿宋_GB2312" w:eastAsia="仿宋_GB2312" w:hAnsi="宋体" w:cs="宋体"/>
          <w:color w:val="000000"/>
          <w:kern w:val="0"/>
          <w:sz w:val="32"/>
          <w:szCs w:val="32"/>
        </w:rPr>
        <w:t>。</w:t>
      </w:r>
    </w:p>
    <w:p w:rsidR="00F60252" w:rsidRDefault="0035015A">
      <w:pPr>
        <w:spacing w:line="360" w:lineRule="auto"/>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5）</w:t>
      </w:r>
      <w:r>
        <w:rPr>
          <w:rFonts w:ascii="仿宋_GB2312" w:eastAsia="仿宋_GB2312" w:hAnsi="宋体" w:cs="宋体"/>
          <w:b/>
          <w:bCs/>
          <w:color w:val="000000"/>
          <w:kern w:val="0"/>
          <w:sz w:val="32"/>
          <w:szCs w:val="32"/>
        </w:rPr>
        <w:t>承办市委、市政府和市委网络安全和信息化委员会交办的其他事项</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lastRenderedPageBreak/>
        <w:t>如：</w:t>
      </w:r>
      <w:r>
        <w:rPr>
          <w:rFonts w:ascii="仿宋_GB2312" w:eastAsia="仿宋_GB2312" w:hAnsi="宋体" w:cs="宋体" w:hint="eastAsia"/>
          <w:color w:val="000000"/>
          <w:kern w:val="0"/>
          <w:sz w:val="32"/>
          <w:szCs w:val="32"/>
        </w:rPr>
        <w:t>（1）</w:t>
      </w:r>
      <w:r>
        <w:rPr>
          <w:rFonts w:ascii="仿宋_GB2312" w:eastAsia="仿宋_GB2312" w:hAnsi="宋体" w:cs="宋体"/>
          <w:color w:val="000000"/>
          <w:kern w:val="0"/>
          <w:sz w:val="32"/>
          <w:szCs w:val="32"/>
        </w:rPr>
        <w:t>属地互联网企业党员培训及管理经费项目绩效目标</w:t>
      </w:r>
      <w:r>
        <w:rPr>
          <w:rFonts w:ascii="仿宋_GB2312" w:eastAsia="仿宋_GB2312" w:hAnsi="宋体" w:cs="宋体" w:hint="eastAsia"/>
          <w:color w:val="000000"/>
          <w:kern w:val="0"/>
          <w:sz w:val="32"/>
          <w:szCs w:val="32"/>
        </w:rPr>
        <w:t>：加强党对互联网行业的领导，提高属地互联网行业党建工作水平，持续增强属地互联网企业党建工作的影响力，推动互联网企业从业人员增强“四个意识”，坚定“四个自信”，维护首都意识形态安全稳定，推进首都网络安全与信息化事业健康发展，助力首都经济社会发展</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ab/>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color w:val="000000"/>
          <w:kern w:val="0"/>
          <w:sz w:val="32"/>
          <w:szCs w:val="32"/>
        </w:rPr>
        <w:t>《北京市</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十四五</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时期信息化发展规划》编制经费项目绩效目标</w:t>
      </w:r>
      <w:r>
        <w:rPr>
          <w:rFonts w:ascii="仿宋_GB2312" w:eastAsia="仿宋_GB2312" w:hAnsi="宋体" w:cs="宋体" w:hint="eastAsia"/>
          <w:color w:val="000000"/>
          <w:kern w:val="0"/>
          <w:sz w:val="32"/>
          <w:szCs w:val="32"/>
        </w:rPr>
        <w:t>：编制《北京市“十四五”时期信息化发展规划》是十四五时期信息化发展的顶层设计和总体指导，是统筹信息化工作、制定相关政策措施、组织信息化建设的重要依据，为建设国际一流的和谐宜居之都提供有力支撑</w:t>
      </w:r>
      <w:r>
        <w:rPr>
          <w:rFonts w:ascii="仿宋_GB2312" w:eastAsia="仿宋_GB2312" w:hAnsi="宋体" w:cs="宋体"/>
          <w:color w:val="000000"/>
          <w:kern w:val="0"/>
          <w:sz w:val="32"/>
          <w:szCs w:val="32"/>
        </w:rPr>
        <w:t>。</w:t>
      </w:r>
      <w:r>
        <w:rPr>
          <w:rFonts w:ascii="仿宋_GB2312" w:eastAsia="仿宋_GB2312" w:hAnsi="宋体" w:cs="宋体"/>
          <w:color w:val="000000"/>
          <w:kern w:val="0"/>
          <w:sz w:val="32"/>
          <w:szCs w:val="32"/>
        </w:rPr>
        <w:tab/>
      </w:r>
    </w:p>
    <w:p w:rsidR="00F60252" w:rsidRDefault="0035015A">
      <w:pPr>
        <w:spacing w:line="600" w:lineRule="exact"/>
        <w:ind w:leftChars="50" w:left="105" w:firstLineChars="150" w:firstLine="480"/>
        <w:outlineLvl w:val="0"/>
        <w:rPr>
          <w:rFonts w:ascii="黑体" w:eastAsia="黑体" w:hAnsi="黑体" w:cs="宋体"/>
          <w:color w:val="000000"/>
          <w:kern w:val="0"/>
          <w:sz w:val="32"/>
          <w:szCs w:val="32"/>
        </w:rPr>
      </w:pPr>
      <w:bookmarkStart w:id="7" w:name="_Toc31801"/>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bookmarkEnd w:id="7"/>
    </w:p>
    <w:p w:rsidR="00F60252" w:rsidRDefault="0035015A">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w:t>
      </w:r>
      <w:r>
        <w:rPr>
          <w:rFonts w:ascii="仿宋_GB2312" w:eastAsia="仿宋_GB2312" w:hAnsi="宋体" w:cs="宋体"/>
          <w:color w:val="000000"/>
          <w:kern w:val="0"/>
          <w:sz w:val="32"/>
          <w:szCs w:val="32"/>
        </w:rPr>
        <w:t>全年</w:t>
      </w:r>
      <w:r>
        <w:rPr>
          <w:rFonts w:ascii="仿宋_GB2312" w:eastAsia="仿宋_GB2312" w:hAnsi="宋体" w:cs="宋体" w:hint="eastAsia"/>
          <w:color w:val="000000"/>
          <w:kern w:val="0"/>
          <w:sz w:val="32"/>
          <w:szCs w:val="32"/>
        </w:rPr>
        <w:t>预算26,748.84万元</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其中</w:t>
      </w:r>
      <w:r>
        <w:rPr>
          <w:rFonts w:ascii="仿宋_GB2312" w:eastAsia="仿宋_GB2312" w:hAnsi="宋体" w:cs="宋体"/>
          <w:color w:val="000000"/>
          <w:kern w:val="0"/>
          <w:sz w:val="32"/>
          <w:szCs w:val="32"/>
        </w:rPr>
        <w:t>，基本</w:t>
      </w:r>
      <w:r>
        <w:rPr>
          <w:rFonts w:ascii="仿宋_GB2312" w:eastAsia="仿宋_GB2312" w:hAnsi="宋体" w:cs="宋体" w:hint="eastAsia"/>
          <w:color w:val="000000"/>
          <w:kern w:val="0"/>
          <w:sz w:val="32"/>
          <w:szCs w:val="32"/>
        </w:rPr>
        <w:t>支出</w:t>
      </w:r>
      <w:r>
        <w:rPr>
          <w:rFonts w:ascii="仿宋_GB2312" w:eastAsia="仿宋_GB2312" w:hAnsi="宋体" w:cs="宋体"/>
          <w:color w:val="000000"/>
          <w:kern w:val="0"/>
          <w:sz w:val="32"/>
          <w:szCs w:val="32"/>
        </w:rPr>
        <w:t>预算</w:t>
      </w:r>
      <w:r>
        <w:rPr>
          <w:rFonts w:ascii="仿宋_GB2312" w:eastAsia="仿宋_GB2312" w:hAnsi="宋体" w:cs="宋体" w:hint="eastAsia"/>
          <w:color w:val="000000"/>
          <w:kern w:val="0"/>
          <w:sz w:val="32"/>
          <w:szCs w:val="32"/>
        </w:rPr>
        <w:t>6,657.40</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项目支出预算数20,091.44</w:t>
      </w:r>
      <w:r>
        <w:rPr>
          <w:rFonts w:ascii="仿宋_GB2312" w:eastAsia="仿宋_GB2312" w:hAnsi="宋体" w:cs="宋体"/>
          <w:color w:val="000000"/>
          <w:kern w:val="0"/>
          <w:sz w:val="32"/>
          <w:szCs w:val="32"/>
        </w:rPr>
        <w:t>万元，其他支出</w:t>
      </w:r>
      <w:r>
        <w:rPr>
          <w:rFonts w:ascii="仿宋_GB2312" w:eastAsia="仿宋_GB2312" w:hAnsi="宋体" w:cs="宋体" w:hint="eastAsia"/>
          <w:color w:val="000000"/>
          <w:kern w:val="0"/>
          <w:sz w:val="32"/>
          <w:szCs w:val="32"/>
        </w:rPr>
        <w:t>预算0.00</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w:t>
      </w:r>
    </w:p>
    <w:p w:rsidR="00F60252" w:rsidRDefault="0035015A">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w:t>
      </w:r>
      <w:r>
        <w:rPr>
          <w:rFonts w:ascii="仿宋_GB2312" w:eastAsia="仿宋_GB2312" w:hAnsi="宋体" w:cs="宋体"/>
          <w:color w:val="000000"/>
          <w:kern w:val="0"/>
          <w:sz w:val="32"/>
          <w:szCs w:val="32"/>
        </w:rPr>
        <w:t>资金总体</w:t>
      </w:r>
      <w:r>
        <w:rPr>
          <w:rFonts w:ascii="仿宋_GB2312" w:eastAsia="仿宋_GB2312" w:hAnsi="宋体" w:cs="宋体" w:hint="eastAsia"/>
          <w:color w:val="000000"/>
          <w:kern w:val="0"/>
          <w:sz w:val="32"/>
          <w:szCs w:val="32"/>
        </w:rPr>
        <w:t>支出26,514.79</w:t>
      </w:r>
      <w:r>
        <w:rPr>
          <w:rFonts w:ascii="仿宋_GB2312" w:eastAsia="仿宋_GB2312" w:hAnsi="宋体" w:cs="宋体"/>
          <w:color w:val="000000"/>
          <w:kern w:val="0"/>
          <w:sz w:val="32"/>
          <w:szCs w:val="32"/>
        </w:rPr>
        <w:t>万元，其中，基本支出</w:t>
      </w:r>
      <w:r>
        <w:rPr>
          <w:rFonts w:ascii="仿宋_GB2312" w:eastAsia="仿宋_GB2312" w:hAnsi="宋体" w:cs="宋体" w:hint="eastAsia"/>
          <w:color w:val="000000"/>
          <w:kern w:val="0"/>
          <w:sz w:val="32"/>
          <w:szCs w:val="32"/>
        </w:rPr>
        <w:t>6,596.59</w:t>
      </w:r>
      <w:r>
        <w:rPr>
          <w:rFonts w:ascii="仿宋_GB2312" w:eastAsia="仿宋_GB2312" w:hAnsi="宋体" w:cs="宋体"/>
          <w:color w:val="000000"/>
          <w:kern w:val="0"/>
          <w:sz w:val="32"/>
          <w:szCs w:val="32"/>
        </w:rPr>
        <w:t>万元，项目</w:t>
      </w:r>
      <w:r>
        <w:rPr>
          <w:rFonts w:ascii="仿宋_GB2312" w:eastAsia="仿宋_GB2312" w:hAnsi="宋体" w:cs="宋体" w:hint="eastAsia"/>
          <w:color w:val="000000"/>
          <w:kern w:val="0"/>
          <w:sz w:val="32"/>
          <w:szCs w:val="32"/>
        </w:rPr>
        <w:t>支出19,918.20</w:t>
      </w:r>
      <w:r>
        <w:rPr>
          <w:rFonts w:ascii="仿宋_GB2312" w:eastAsia="仿宋_GB2312" w:hAnsi="宋体" w:cs="宋体"/>
          <w:color w:val="000000"/>
          <w:kern w:val="0"/>
          <w:sz w:val="32"/>
          <w:szCs w:val="32"/>
        </w:rPr>
        <w:t>万元，其他支出</w:t>
      </w:r>
      <w:r>
        <w:rPr>
          <w:rFonts w:ascii="仿宋_GB2312" w:eastAsia="仿宋_GB2312" w:hAnsi="宋体" w:cs="宋体" w:hint="eastAsia"/>
          <w:color w:val="000000"/>
          <w:kern w:val="0"/>
          <w:sz w:val="32"/>
          <w:szCs w:val="32"/>
        </w:rPr>
        <w:t>0.00</w:t>
      </w:r>
      <w:r>
        <w:rPr>
          <w:rFonts w:ascii="仿宋_GB2312" w:eastAsia="仿宋_GB2312" w:hAnsi="宋体" w:cs="宋体"/>
          <w:color w:val="000000"/>
          <w:kern w:val="0"/>
          <w:sz w:val="32"/>
          <w:szCs w:val="32"/>
        </w:rPr>
        <w:t>万元。</w:t>
      </w:r>
      <w:r>
        <w:rPr>
          <w:rFonts w:ascii="仿宋_GB2312" w:eastAsia="仿宋_GB2312" w:hAnsi="宋体" w:cs="宋体" w:hint="eastAsia"/>
          <w:color w:val="000000"/>
          <w:kern w:val="0"/>
          <w:sz w:val="32"/>
          <w:szCs w:val="32"/>
        </w:rPr>
        <w:t>预算</w:t>
      </w:r>
      <w:r>
        <w:rPr>
          <w:rFonts w:ascii="仿宋_GB2312" w:eastAsia="仿宋_GB2312" w:hAnsi="宋体" w:cs="宋体"/>
          <w:color w:val="000000"/>
          <w:kern w:val="0"/>
          <w:sz w:val="32"/>
          <w:szCs w:val="32"/>
        </w:rPr>
        <w:t>执行率为</w:t>
      </w:r>
      <w:r>
        <w:rPr>
          <w:rFonts w:ascii="仿宋_GB2312" w:eastAsia="仿宋_GB2312" w:hAnsi="宋体" w:cs="宋体" w:hint="eastAsia"/>
          <w:color w:val="000000"/>
          <w:kern w:val="0"/>
          <w:sz w:val="32"/>
          <w:szCs w:val="32"/>
        </w:rPr>
        <w:t>99.12%。</w:t>
      </w:r>
    </w:p>
    <w:p w:rsidR="00F60252" w:rsidRDefault="0035015A">
      <w:pPr>
        <w:spacing w:line="600" w:lineRule="exact"/>
        <w:ind w:leftChars="50" w:left="105" w:firstLineChars="150" w:firstLine="480"/>
        <w:outlineLvl w:val="0"/>
        <w:rPr>
          <w:rFonts w:ascii="黑体" w:eastAsia="黑体" w:hAnsi="黑体" w:cs="宋体"/>
          <w:color w:val="000000"/>
          <w:kern w:val="0"/>
          <w:sz w:val="28"/>
          <w:szCs w:val="28"/>
        </w:rPr>
      </w:pPr>
      <w:bookmarkStart w:id="8" w:name="_Toc13067"/>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bookmarkEnd w:id="8"/>
      <w:r>
        <w:rPr>
          <w:rFonts w:ascii="黑体" w:eastAsia="黑体" w:hAnsi="黑体" w:cs="宋体" w:hint="eastAsia"/>
          <w:color w:val="000000"/>
          <w:kern w:val="0"/>
          <w:sz w:val="28"/>
          <w:szCs w:val="28"/>
        </w:rPr>
        <w:t>（以下内容均由我办选出的13个具有代表性的项目以及主要工作列示说明）</w:t>
      </w:r>
    </w:p>
    <w:p w:rsidR="00D21CE3" w:rsidRDefault="00D21CE3">
      <w:pPr>
        <w:spacing w:line="600" w:lineRule="exact"/>
        <w:ind w:leftChars="50" w:left="105" w:firstLineChars="150" w:firstLine="480"/>
        <w:outlineLvl w:val="1"/>
        <w:rPr>
          <w:rFonts w:ascii="楷体_GB2312" w:eastAsia="楷体_GB2312" w:hAnsi="Times New Roman" w:cs="Times New Roman"/>
          <w:sz w:val="32"/>
          <w:szCs w:val="32"/>
        </w:rPr>
      </w:pPr>
      <w:bookmarkStart w:id="9" w:name="_Toc32243"/>
    </w:p>
    <w:p w:rsidR="00F60252" w:rsidRDefault="0035015A">
      <w:pPr>
        <w:spacing w:line="600" w:lineRule="exact"/>
        <w:ind w:leftChars="50" w:left="105" w:firstLineChars="150" w:firstLine="480"/>
        <w:outlineLvl w:val="1"/>
        <w:rPr>
          <w:rFonts w:ascii="楷体_GB2312" w:eastAsia="楷体_GB2312" w:hAnsi="Times New Roman" w:cs="Times New Roman"/>
          <w:sz w:val="32"/>
          <w:szCs w:val="32"/>
        </w:rPr>
      </w:pPr>
      <w:r>
        <w:rPr>
          <w:rFonts w:ascii="楷体_GB2312" w:eastAsia="楷体_GB2312" w:hAnsi="Times New Roman" w:cs="Times New Roman" w:hint="eastAsia"/>
          <w:sz w:val="32"/>
          <w:szCs w:val="32"/>
        </w:rPr>
        <w:lastRenderedPageBreak/>
        <w:t>（一）产出完成情况分析</w:t>
      </w:r>
      <w:bookmarkEnd w:id="9"/>
    </w:p>
    <w:p w:rsidR="00F60252" w:rsidRDefault="0035015A">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2021年我办主要完成工作内容如下：</w:t>
      </w:r>
    </w:p>
    <w:p w:rsidR="00F60252" w:rsidRDefault="0035015A">
      <w:pPr>
        <w:spacing w:line="600" w:lineRule="exact"/>
        <w:ind w:leftChars="50" w:left="105" w:firstLineChars="150" w:firstLine="482"/>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1、落实国家和本市关于互联网信息传播的方针政策和法律法规，推动本市互联网信息传播法制建设</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如：互联网内容建设、舆论研究和信息管理工作调研经费项目：截止2021年11月底已完成1项重大调研课题《首都互联网资源普查调研》。</w:t>
      </w:r>
    </w:p>
    <w:p w:rsidR="00F60252" w:rsidRDefault="0035015A">
      <w:pPr>
        <w:spacing w:line="60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2、做好本市互联网领域的信息内容管理工作，依法查处违法违规行为</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如：（1）购买社会化用工服务经费项目：根据岗位不同，用工人员具有相应的学历学位以及专业技术职称，具备了与岗位要求相符的工作能力，圆满完成了相应岗位工作的质量要求，每月并足额保障编制外用工工资、社保、工会经费等；截止2021年底，我办社会化用工人数83人。</w:t>
      </w:r>
    </w:p>
    <w:p w:rsidR="00F60252" w:rsidRDefault="0035015A">
      <w:pPr>
        <w:numPr>
          <w:ilvl w:val="0"/>
          <w:numId w:val="3"/>
        </w:num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购买信</w:t>
      </w:r>
      <w:r w:rsidR="005E620B">
        <w:rPr>
          <w:rFonts w:ascii="仿宋_GB2312" w:eastAsia="仿宋_GB2312" w:hAnsi="宋体" w:cs="宋体" w:hint="eastAsia"/>
          <w:color w:val="000000"/>
          <w:kern w:val="0"/>
          <w:sz w:val="32"/>
          <w:szCs w:val="32"/>
        </w:rPr>
        <w:t>息产品、数据等服务费项目：按照我办任务的时间要求提供服务，完成</w:t>
      </w:r>
      <w:r>
        <w:rPr>
          <w:rFonts w:ascii="仿宋_GB2312" w:eastAsia="仿宋_GB2312" w:hAnsi="宋体" w:cs="宋体" w:hint="eastAsia"/>
          <w:color w:val="000000"/>
          <w:kern w:val="0"/>
          <w:sz w:val="32"/>
          <w:szCs w:val="32"/>
        </w:rPr>
        <w:t>分析研判网上舆情热点、发展态势，撰写专题报告365篇；上报热点舆情事件建议、意见等198篇；正能量内容转载30.71万条；完成的工作质量符合网络舆情工作的中心明确、数据收集全面、分析深入的要求。</w:t>
      </w:r>
    </w:p>
    <w:p w:rsidR="00F60252" w:rsidRPr="005E620B" w:rsidRDefault="005E620B">
      <w:pPr>
        <w:numPr>
          <w:ilvl w:val="0"/>
          <w:numId w:val="3"/>
        </w:numPr>
        <w:spacing w:line="600" w:lineRule="exact"/>
        <w:ind w:firstLineChars="200" w:firstLine="640"/>
        <w:rPr>
          <w:rFonts w:ascii="仿宋_GB2312" w:eastAsia="仿宋_GB2312" w:hAnsi="宋体" w:cs="宋体"/>
          <w:color w:val="000000"/>
          <w:kern w:val="0"/>
          <w:sz w:val="32"/>
          <w:szCs w:val="32"/>
        </w:rPr>
      </w:pPr>
      <w:r w:rsidRPr="005E620B">
        <w:rPr>
          <w:rFonts w:ascii="仿宋_GB2312" w:eastAsia="仿宋_GB2312" w:hAnsi="宋体" w:cs="宋体" w:hint="eastAsia"/>
          <w:color w:val="000000"/>
          <w:kern w:val="0"/>
          <w:sz w:val="32"/>
          <w:szCs w:val="32"/>
        </w:rPr>
        <w:t>依法</w:t>
      </w:r>
      <w:r w:rsidR="0035015A" w:rsidRPr="005E620B">
        <w:rPr>
          <w:rFonts w:ascii="仿宋_GB2312" w:eastAsia="仿宋_GB2312" w:hAnsi="宋体" w:cs="宋体" w:hint="eastAsia"/>
          <w:color w:val="000000"/>
          <w:kern w:val="0"/>
          <w:sz w:val="32"/>
          <w:szCs w:val="32"/>
        </w:rPr>
        <w:t>查处违法违规行为工作：截止2021年底，我办严格处置</w:t>
      </w:r>
      <w:r w:rsidR="00033DF6" w:rsidRPr="005E620B">
        <w:rPr>
          <w:rFonts w:ascii="仿宋_GB2312" w:eastAsia="仿宋_GB2312" w:hAnsi="宋体" w:cs="宋体" w:hint="eastAsia"/>
          <w:color w:val="000000"/>
          <w:kern w:val="0"/>
          <w:sz w:val="32"/>
          <w:szCs w:val="32"/>
        </w:rPr>
        <w:t>违法违规</w:t>
      </w:r>
      <w:r w:rsidR="0035015A" w:rsidRPr="005E620B">
        <w:rPr>
          <w:rFonts w:ascii="仿宋_GB2312" w:eastAsia="仿宋_GB2312" w:hAnsi="宋体" w:cs="宋体" w:hint="eastAsia"/>
          <w:color w:val="000000"/>
          <w:kern w:val="0"/>
          <w:sz w:val="32"/>
          <w:szCs w:val="32"/>
        </w:rPr>
        <w:t>信息2100万余条，关闭账号3.7万余个；打击属地网站违法违规行为，依法约谈网站167次，关闭违法违规网</w:t>
      </w:r>
      <w:r w:rsidR="0035015A" w:rsidRPr="005E620B">
        <w:rPr>
          <w:rFonts w:ascii="仿宋_GB2312" w:eastAsia="仿宋_GB2312" w:hAnsi="宋体" w:cs="宋体" w:hint="eastAsia"/>
          <w:color w:val="000000"/>
          <w:kern w:val="0"/>
          <w:sz w:val="32"/>
          <w:szCs w:val="32"/>
        </w:rPr>
        <w:lastRenderedPageBreak/>
        <w:t>站100家。</w:t>
      </w:r>
    </w:p>
    <w:p w:rsidR="00F60252" w:rsidRDefault="0035015A">
      <w:pPr>
        <w:spacing w:line="360" w:lineRule="auto"/>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3、统筹协调网络安全和信息化工作</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如：（1）网络安全宣传周活动经费项目：2021年8月按照中央有关方案要求，完成印发方案；2021年9月活动实施，2021年10月底前完成了网络安全巡展、演出等活动7次，发放张贴宣传材料3.4万份。  </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（2）北京市网络安全工作责任制</w:t>
      </w:r>
      <w:r w:rsidR="005E620B">
        <w:rPr>
          <w:rFonts w:ascii="仿宋_GB2312" w:eastAsia="仿宋_GB2312" w:hAnsi="宋体" w:cs="宋体" w:hint="eastAsia"/>
          <w:color w:val="000000"/>
          <w:kern w:val="0"/>
          <w:sz w:val="32"/>
          <w:szCs w:val="32"/>
        </w:rPr>
        <w:t>落实情况检查工作（暨重要业务系统网络安全检查工作）经费项目：</w:t>
      </w:r>
      <w:r>
        <w:rPr>
          <w:rFonts w:ascii="仿宋_GB2312" w:eastAsia="仿宋_GB2312" w:hAnsi="宋体" w:cs="宋体" w:hint="eastAsia"/>
          <w:color w:val="000000"/>
          <w:kern w:val="0"/>
          <w:sz w:val="32"/>
          <w:szCs w:val="32"/>
        </w:rPr>
        <w:t>2021年4月完成招投标，2021年5月完成合同签订，远程检查在线业务系统1430套，发现各类漏洞2689个，现场检查涉及28家单位, 93套系统,发现各类漏洞195个。此次检查共生成报告735份（含734份抽查结果报告及1份总结报告），远程检查和现场检查共发现各类应用层漏洞2884个。</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（3）北京市重大网络安全事件应急演练工作经费项目：2021年9月完成方案制定，2021年11月底前完成演练实施，参演单位66家，技术队伍21支，每次演练的时长均大于等于30分钟，于2021年12月底前完成项目总结。</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（4）北京市IPv6规模部署推进项目工作经费项目：通过全市16区委网信办于2021年8月完成20万把广告扇发放，2021年10月完成7800张海报张贴工作，宣传推广覆盖20万人次</w:t>
      </w:r>
      <w:r w:rsidR="005E620B">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6月签订监测合同，截至12月共发布IPv6监测报告7期，IPv6</w:t>
      </w:r>
      <w:r>
        <w:rPr>
          <w:rFonts w:ascii="仿宋_GB2312" w:eastAsia="仿宋_GB2312" w:hAnsi="宋体" w:cs="宋体" w:hint="eastAsia"/>
          <w:color w:val="000000"/>
          <w:kern w:val="0"/>
          <w:sz w:val="32"/>
          <w:szCs w:val="32"/>
        </w:rPr>
        <w:lastRenderedPageBreak/>
        <w:t>监测报告中监测数据正确率达到100%。</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新技术新应用安全评估技术服务费项目：2021年3月完成安全评估技术服务方案制定、机制建立，开展安全评估工作，初步建立样本库和问题库时间；2021年9月完成一定数量的安全评估工作；2021年12月完成25个信息服务安全评估技术服务工作，完善样本库和问题库。共完成29个评估、15期主动监测报告（含75个监测线索）、建立了1项样本库和问题库，技术检测质量和报告完成质量达到了100%。</w:t>
      </w:r>
    </w:p>
    <w:p w:rsidR="00F60252" w:rsidRDefault="0035015A">
      <w:pPr>
        <w:spacing w:line="600" w:lineRule="exact"/>
        <w:ind w:left="630"/>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4、协调、组织做好网上宣传和舆论引导工作</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如：（1）新媒体发展扶持项目工作经费项目：2021年6月前确定扶持方向和对象，2021年11月前通过开展网上主题宣传活动，完成扶持网络新媒体产品12个，受众人次达到23亿。</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（2）北京文化系列网络活动工作经费项目：2021年5月召开京彩启动仪式，2021年12月开展总结交流闭幕式；通过开展短视频征集大赛线上线下活动40余场，参加网站数量33个。</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（3）传统节日文化传承推广工作网络传播项目工作经费项目：2021年9月前通过举办33场次网络文化活动，受众人次达到3亿人次，参加网站数量33个，2021年11月完成了项目总结交流。</w:t>
      </w:r>
    </w:p>
    <w:p w:rsidR="00F60252" w:rsidRDefault="0035015A">
      <w:pPr>
        <w:spacing w:line="60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5、承办市委、市政府和市委网络安全和信息化委员会交办的其他事项</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如：（1）属地互联网企业党员培训及管理经费项目：2021</w:t>
      </w:r>
      <w:r>
        <w:rPr>
          <w:rFonts w:ascii="仿宋_GB2312" w:eastAsia="仿宋_GB2312" w:hAnsi="宋体" w:cs="宋体" w:hint="eastAsia"/>
          <w:color w:val="000000"/>
          <w:kern w:val="0"/>
          <w:sz w:val="32"/>
          <w:szCs w:val="32"/>
        </w:rPr>
        <w:lastRenderedPageBreak/>
        <w:t>年12月底之前完成开展党建业务集中培训1次，开展发展对象培训2次，开展互联网行业大讲堂5场次，举办专题系列教育活动1次，召开行业党委表彰会、首都互联网协会党委“两优一先”表彰会、述职评议工作会2次，开展10个属地党建业务融合发展示范点培训管理培训2次。</w:t>
      </w:r>
      <w:r>
        <w:rPr>
          <w:rFonts w:ascii="仿宋_GB2312" w:eastAsia="仿宋_GB2312" w:hAnsi="宋体" w:cs="宋体" w:hint="eastAsia"/>
          <w:color w:val="000000"/>
          <w:kern w:val="0"/>
          <w:sz w:val="32"/>
          <w:szCs w:val="32"/>
        </w:rPr>
        <w:tab/>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（2）《北京市“十四五”时期信息化发展规划》编制经费项目：2021年11月前完成调研报告:《北京市“十四五”时期信息化发展规划》1篇、完成专题研究报告9篇，研究课题评审合格率达到100%。</w:t>
      </w:r>
      <w:r>
        <w:rPr>
          <w:rFonts w:ascii="仿宋_GB2312" w:eastAsia="仿宋_GB2312" w:hAnsi="宋体" w:cs="宋体" w:hint="eastAsia"/>
          <w:color w:val="000000"/>
          <w:kern w:val="0"/>
          <w:sz w:val="32"/>
          <w:szCs w:val="32"/>
        </w:rPr>
        <w:tab/>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截止2021年12月底，我办完成以上主要工作内容，产出成本均控制在年初预算金额内，但也存在：</w:t>
      </w:r>
      <w:r>
        <w:rPr>
          <w:rFonts w:ascii="微软雅黑" w:eastAsia="微软雅黑" w:hAnsi="微软雅黑" w:cs="微软雅黑" w:hint="eastAsia"/>
          <w:color w:val="000000"/>
          <w:kern w:val="0"/>
          <w:sz w:val="32"/>
          <w:szCs w:val="32"/>
        </w:rPr>
        <w:t>①</w:t>
      </w:r>
      <w:r>
        <w:rPr>
          <w:rFonts w:ascii="仿宋_GB2312" w:eastAsia="仿宋_GB2312" w:hAnsi="宋体" w:cs="宋体" w:hint="eastAsia"/>
          <w:color w:val="000000"/>
          <w:kern w:val="0"/>
          <w:sz w:val="32"/>
          <w:szCs w:val="32"/>
        </w:rPr>
        <w:t>个别项目未达到预期绩效目标。一是“购买社会化用工服务经费”项目计划社会化用工人数不超过89人，因年中有7人离职，1人入职，故截止2021年12月底实际在岗83人；二是“属地互联网企业党员培训及管理经费”项目受新冠疫情影响，举办培训、表彰会等线下活动受疫情影响未开展，项目进行资金调整，但未调整相应的绩效指标，且预算执行率较低。</w:t>
      </w:r>
      <w:r>
        <w:rPr>
          <w:rFonts w:ascii="微软雅黑" w:eastAsia="微软雅黑" w:hAnsi="微软雅黑" w:cs="微软雅黑" w:hint="eastAsia"/>
          <w:color w:val="000000"/>
          <w:kern w:val="0"/>
          <w:sz w:val="32"/>
          <w:szCs w:val="32"/>
        </w:rPr>
        <w:t>②</w:t>
      </w:r>
      <w:r>
        <w:rPr>
          <w:rFonts w:ascii="仿宋_GB2312" w:eastAsia="仿宋_GB2312" w:hAnsi="宋体" w:cs="宋体" w:hint="eastAsia"/>
          <w:color w:val="000000"/>
          <w:kern w:val="0"/>
          <w:sz w:val="32"/>
          <w:szCs w:val="32"/>
        </w:rPr>
        <w:t>部分项目指标设置不够健全、年初指标值设置偏低、时效指标考虑不够全面等问题。一是如“北京市网络安全工作责任制落实情况检查工作（暨重要业务系统网络安全检查工作）经费”项目，未设置质量指标，数量指标的指标值设置偏低，年初数量指标为“远程技术监测系统数量不少于400套”，</w:t>
      </w:r>
      <w:r>
        <w:rPr>
          <w:rFonts w:ascii="仿宋_GB2312" w:eastAsia="仿宋_GB2312" w:hAnsi="宋体" w:cs="宋体" w:hint="eastAsia"/>
          <w:color w:val="000000"/>
          <w:kern w:val="0"/>
          <w:sz w:val="32"/>
          <w:szCs w:val="32"/>
        </w:rPr>
        <w:lastRenderedPageBreak/>
        <w:t>实际完成了“1430套”；二是如“互联网内容建设、舆论研究和信息管理工作调研经费”项目，时效指标设置为“2021年11月前完成”，时效指标设置较笼统，年初未制定详细的实施计划、实施方案等。</w:t>
      </w:r>
    </w:p>
    <w:p w:rsidR="00F60252" w:rsidRDefault="0035015A">
      <w:pPr>
        <w:spacing w:line="600" w:lineRule="exact"/>
        <w:ind w:leftChars="50" w:left="105" w:firstLineChars="150" w:firstLine="480"/>
        <w:outlineLvl w:val="1"/>
        <w:rPr>
          <w:rFonts w:ascii="楷体_GB2312" w:eastAsia="楷体_GB2312" w:hAnsi="Times New Roman" w:cs="Times New Roman"/>
          <w:sz w:val="32"/>
          <w:szCs w:val="32"/>
        </w:rPr>
      </w:pPr>
      <w:bookmarkStart w:id="10" w:name="_Toc15509"/>
      <w:r>
        <w:rPr>
          <w:rFonts w:ascii="楷体_GB2312" w:eastAsia="楷体_GB2312" w:hAnsi="Times New Roman" w:cs="Times New Roman" w:hint="eastAsia"/>
          <w:sz w:val="32"/>
          <w:szCs w:val="32"/>
        </w:rPr>
        <w:t>（二）效果</w:t>
      </w:r>
      <w:r>
        <w:rPr>
          <w:rFonts w:ascii="楷体_GB2312" w:eastAsia="楷体_GB2312" w:hAnsi="Times New Roman" w:cs="Times New Roman"/>
          <w:sz w:val="32"/>
          <w:szCs w:val="32"/>
        </w:rPr>
        <w:t>实现情况分析</w:t>
      </w:r>
      <w:bookmarkEnd w:id="10"/>
    </w:p>
    <w:p w:rsidR="00F60252" w:rsidRDefault="0035015A">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2021年我办主要完成工作内容的产出效益体现如下：</w:t>
      </w:r>
    </w:p>
    <w:p w:rsidR="00F60252" w:rsidRDefault="0035015A">
      <w:pPr>
        <w:spacing w:line="600" w:lineRule="exact"/>
        <w:ind w:leftChars="200" w:left="420" w:firstLineChars="100" w:firstLine="32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1、社会效益</w:t>
      </w:r>
    </w:p>
    <w:p w:rsidR="00F60252" w:rsidRDefault="0035015A">
      <w:pPr>
        <w:spacing w:line="60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一是做好本市互联网领域的信息内容管理工作，依法查处违法违规行为</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如：（1）购买社会化用工服务经费项目：保障了编制外用工人员的工资、社保等。</w:t>
      </w:r>
    </w:p>
    <w:p w:rsidR="00F60252" w:rsidRDefault="0035015A">
      <w:pPr>
        <w:numPr>
          <w:ilvl w:val="0"/>
          <w:numId w:val="4"/>
        </w:num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购买信息产品、数据等服务费项目：通过及时发现互联网行业中存在的问题及苗头倾向性问题，并在深入调研的基础上，提出有理有据的可行性建议，获得各级领导批示次数大于150篇，从而对互联网行业的科学管理提供重要决策参考，确保了行业发展更加健康有序；通过在互联网网站互动环节多阵地定向发布、手机客户端引导、配置语料库等流程化管理，实现了对多个话题、多个阵地的智能化引导，微博话题阅读量超过了10亿次。</w:t>
      </w:r>
    </w:p>
    <w:p w:rsidR="00F60252" w:rsidRPr="005E620B" w:rsidRDefault="005E620B">
      <w:pPr>
        <w:numPr>
          <w:ilvl w:val="0"/>
          <w:numId w:val="4"/>
        </w:numPr>
        <w:spacing w:line="600" w:lineRule="exact"/>
        <w:ind w:firstLineChars="200" w:firstLine="640"/>
        <w:rPr>
          <w:rFonts w:ascii="仿宋_GB2312" w:eastAsia="仿宋_GB2312" w:hAnsi="宋体" w:cs="宋体"/>
          <w:color w:val="000000"/>
          <w:kern w:val="0"/>
          <w:sz w:val="32"/>
          <w:szCs w:val="32"/>
        </w:rPr>
      </w:pPr>
      <w:r w:rsidRPr="005E620B">
        <w:rPr>
          <w:rFonts w:ascii="仿宋_GB2312" w:eastAsia="仿宋_GB2312" w:hAnsi="宋体" w:cs="宋体" w:hint="eastAsia"/>
          <w:color w:val="000000"/>
          <w:kern w:val="0"/>
          <w:sz w:val="32"/>
          <w:szCs w:val="32"/>
        </w:rPr>
        <w:t>依法</w:t>
      </w:r>
      <w:r w:rsidR="0035015A" w:rsidRPr="005E620B">
        <w:rPr>
          <w:rFonts w:ascii="仿宋_GB2312" w:eastAsia="仿宋_GB2312" w:hAnsi="宋体" w:cs="宋体" w:hint="eastAsia"/>
          <w:color w:val="000000"/>
          <w:kern w:val="0"/>
          <w:sz w:val="32"/>
          <w:szCs w:val="32"/>
        </w:rPr>
        <w:t>查处违法违规行为工作：我办通过捍卫网上信息安全，查处违规行为，促进了经济发展，净化了社会风气，维护了市场经济秩序，营造了良好的社会环境，从长远角度看有利于</w:t>
      </w:r>
      <w:r w:rsidR="0035015A" w:rsidRPr="005E620B">
        <w:rPr>
          <w:rFonts w:ascii="仿宋_GB2312" w:eastAsia="仿宋_GB2312" w:hAnsi="宋体" w:cs="宋体" w:hint="eastAsia"/>
          <w:color w:val="000000"/>
          <w:kern w:val="0"/>
          <w:sz w:val="32"/>
          <w:szCs w:val="32"/>
        </w:rPr>
        <w:lastRenderedPageBreak/>
        <w:t>经济的发展。</w:t>
      </w:r>
    </w:p>
    <w:p w:rsidR="00F60252" w:rsidRDefault="0035015A">
      <w:pPr>
        <w:spacing w:line="60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二是统筹协调网络安全和信息化工作</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如：（1）网络安全宣传周活动经费项目：按照中央网信办总体部署，顺利举办北京市网络安全宣传周活动，普及网络安全相关法律法规、有效提升广大群众的网络安全意识，宣传受众人次达1000万人次。  </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北京市网络安全工作责任制落实情况检查工作（暨重要业务系统网络安全检查工作）经费项目：梳理掌握我市各党政机关、企事业单位党委（党组）网络安全责任制工作落实情况，重点围绕制度建设、安全管理及重要业务系统（信息系统、工控系统等）网络安全风险和防护状况等方面开展了全面检查及督促整改，以查“促建、促管、促改、促防”，推动健全了我市网络安全责任体系和管理体系，提高了我市网络安全保障能力和水平，保证了全市重要业务系统及网络的安全稳定运行。</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（3）北京市重大网络安全事件应急演练工作经费项目：按照市委网信委工作部署，我办邀请了66家单位，顺利举办了北京市重大网络安全事件应急演练活动，有效地提升了全民网络安全意识及技能。</w:t>
      </w:r>
    </w:p>
    <w:p w:rsidR="00F60252" w:rsidRDefault="0035015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（4）北京市IPv6规模部署推进项目工作经费项目：</w:t>
      </w:r>
      <w:r>
        <w:rPr>
          <w:rFonts w:ascii="仿宋" w:eastAsia="仿宋" w:hAnsi="仿宋" w:cs="宋体" w:hint="eastAsia"/>
          <w:color w:val="000000"/>
          <w:kern w:val="0"/>
          <w:sz w:val="32"/>
          <w:szCs w:val="32"/>
        </w:rPr>
        <w:t>①</w:t>
      </w:r>
      <w:r>
        <w:rPr>
          <w:rFonts w:ascii="仿宋_GB2312" w:eastAsia="仿宋_GB2312" w:hAnsi="宋体" w:cs="宋体" w:hint="eastAsia"/>
          <w:color w:val="000000"/>
          <w:kern w:val="0"/>
          <w:sz w:val="32"/>
          <w:szCs w:val="32"/>
        </w:rPr>
        <w:t>通过宣传推广，营造全社会共同参与推进IPv6规模部署和应用的良好氛围。根据国家IPv6发展监测平台数据显示，北京市IPv6综</w:t>
      </w:r>
      <w:r>
        <w:rPr>
          <w:rFonts w:ascii="仿宋_GB2312" w:eastAsia="仿宋_GB2312" w:hAnsi="宋体" w:cs="宋体" w:hint="eastAsia"/>
          <w:color w:val="000000"/>
          <w:kern w:val="0"/>
          <w:sz w:val="32"/>
          <w:szCs w:val="32"/>
        </w:rPr>
        <w:lastRenderedPageBreak/>
        <w:t>合发展指数为76.77%，IPv6活跃终端占比83.79%，居全国第一。</w:t>
      </w:r>
      <w:r>
        <w:rPr>
          <w:rFonts w:ascii="仿宋" w:eastAsia="仿宋" w:hAnsi="仿宋" w:cs="宋体" w:hint="eastAsia"/>
          <w:color w:val="000000"/>
          <w:kern w:val="0"/>
          <w:sz w:val="32"/>
          <w:szCs w:val="32"/>
        </w:rPr>
        <w:t xml:space="preserve"> ②</w:t>
      </w:r>
      <w:r>
        <w:rPr>
          <w:rFonts w:ascii="仿宋_GB2312" w:eastAsia="仿宋_GB2312" w:hAnsi="宋体" w:cs="宋体" w:hint="eastAsia"/>
          <w:color w:val="000000"/>
          <w:kern w:val="0"/>
          <w:sz w:val="32"/>
          <w:szCs w:val="32"/>
        </w:rPr>
        <w:t>全市重点领域网站IPv6监测报告共完成7期，对我市重点领域网站和移动应用改造工作起到了指导作用，加快了升级改造进度。根据中央网信办发布的一至四季度发展情况报告显示，我市重点领域网站IPv6支持率从2021年3月56.03%，上升至12月的100%，全国排名第3。</w:t>
      </w:r>
    </w:p>
    <w:p w:rsidR="00F60252" w:rsidRDefault="0035015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color w:val="000000"/>
          <w:kern w:val="0"/>
          <w:sz w:val="32"/>
          <w:szCs w:val="32"/>
        </w:rPr>
        <w:t>（5）新技术新应用安全评估技术服务费项目：按照《网络安全法》、《互联网新闻信息服务新技术新应用安全评估管理规定》等法规政策要求，加强了对互联网信息服务和相关新技术新应用的安全管理，对各互联网信息服务进行专业、权威的技术分析评估，并建立了样本库和问题库，从而更全面准确地发现风险隐患，维护</w:t>
      </w:r>
      <w:r>
        <w:rPr>
          <w:rFonts w:ascii="仿宋_GB2312" w:eastAsia="仿宋_GB2312" w:hAnsi="宋体" w:cs="宋体" w:hint="eastAsia"/>
          <w:kern w:val="0"/>
          <w:sz w:val="32"/>
          <w:szCs w:val="32"/>
        </w:rPr>
        <w:t>了网络安全。</w:t>
      </w:r>
    </w:p>
    <w:p w:rsidR="00F60252" w:rsidRDefault="0035015A">
      <w:pPr>
        <w:spacing w:line="600" w:lineRule="exact"/>
        <w:ind w:firstLineChars="200" w:firstLine="643"/>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三是承办市委、市政府和市委网络安全和信息化委员会交办的其他事项</w:t>
      </w:r>
    </w:p>
    <w:p w:rsidR="00F60252" w:rsidRDefault="0035015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如：（1）属地互联网企业党员培训及管理经费项目：通过开展发展对象培训、互联网行业大课堂、10个属地党建业务融合发展示范管理培训，举办专题系列教育活动等，有效提高了互联网企业党组织书记、党务工作者能力水平，党组织作用进一步得到发挥，增强了在推动企业发展</w:t>
      </w:r>
      <w:r w:rsidR="005E620B">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助力首都经济社会建设中的作用。</w:t>
      </w:r>
    </w:p>
    <w:p w:rsidR="00F60252" w:rsidRDefault="0035015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（2）《北京市“十四五”时期信息化发展规划》编制经费项目：编制的《北京市“十四五”时期信息化发展规划》调研报</w:t>
      </w:r>
      <w:r>
        <w:rPr>
          <w:rFonts w:ascii="仿宋_GB2312" w:eastAsia="仿宋_GB2312" w:hAnsi="宋体" w:cs="宋体" w:hint="eastAsia"/>
          <w:kern w:val="0"/>
          <w:sz w:val="32"/>
          <w:szCs w:val="32"/>
        </w:rPr>
        <w:lastRenderedPageBreak/>
        <w:t>告，对十四五时期信息化发展的起到顶层设计依据和总体指导作用，为建设国际一流的和谐宜居之都提供了有力地支撑。</w:t>
      </w:r>
    </w:p>
    <w:p w:rsidR="00F60252" w:rsidRDefault="0035015A">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截止2021年12月底，我办基本达到了预期效益指标，效益完成情况较好，但相应效益资料在进行收集整理、对比分析尚需进一步完善，绩效呈现有待进一步提升。</w:t>
      </w:r>
    </w:p>
    <w:p w:rsidR="00F60252" w:rsidRDefault="0035015A">
      <w:pPr>
        <w:spacing w:line="600" w:lineRule="exact"/>
        <w:ind w:leftChars="200" w:left="420" w:firstLineChars="100" w:firstLine="32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2、可持续影响</w:t>
      </w:r>
    </w:p>
    <w:p w:rsidR="00F60252" w:rsidRDefault="0035015A">
      <w:pPr>
        <w:spacing w:line="60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一是落实国家和本市关于互联网信息传播的方针政策和法律法规，推动本市互联网信息传播法制建设</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如：互联网内容建设、舆论研究和信息管理工作调研经费项目：通过开展重大调研课题《首都互联网资源普查调研》，掌握了北京市互联网资源基本情况，形成的调研报告及相关专项报告，推动了北京市互联网健康发展，为北京市信息发展奠定了基础。</w:t>
      </w:r>
    </w:p>
    <w:p w:rsidR="00F60252" w:rsidRDefault="0035015A">
      <w:pPr>
        <w:spacing w:line="60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hint="eastAsia"/>
          <w:b/>
          <w:bCs/>
          <w:color w:val="000000"/>
          <w:kern w:val="0"/>
          <w:sz w:val="32"/>
          <w:szCs w:val="32"/>
        </w:rPr>
        <w:t>二是协调、组织做好网上宣传和舆论引导工作</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如：（1）新媒体发展扶持项目工作经费项目：通过开展“一城三带情 文脉中轴行”、“宝藏大运河”、“多young长城”、“西山文化带 奇妙之旅”等主题线路走访宣传活动，借助网络画面语言讲述北京源远流长的古都文化、丰富了厚重的红色文化、特色鲜明的京味文化等，强化了网络空间的正能量建设，推进了网络传播的吸引力、传播力及影响力。</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（2）北京文化系列网络活动工作经费项目：通过开展短视频征集大赛，深入挖掘展示了北京文化内涵，利用多个平台、多种形式对北京文化进行宣传报道，展现全国文化中心建设亮点成</w:t>
      </w:r>
      <w:r>
        <w:rPr>
          <w:rFonts w:ascii="仿宋_GB2312" w:eastAsia="仿宋_GB2312" w:hAnsi="宋体" w:cs="宋体" w:hint="eastAsia"/>
          <w:color w:val="000000"/>
          <w:kern w:val="0"/>
          <w:sz w:val="32"/>
          <w:szCs w:val="32"/>
        </w:rPr>
        <w:lastRenderedPageBreak/>
        <w:t>效，以网上文化传播的力量持续助力于首都的高质量发展。</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传统节日文化传承推广工作网络传播工作经费项目：通过举办20场次网络文化活动，利用多个平台、多种形式对传统节日文化进行宣传报道，引导网民珍视、享受身边的文化遗产、持续有效地提高了网民对传统文化推广的积极性和主动性。</w:t>
      </w:r>
    </w:p>
    <w:p w:rsidR="00F60252" w:rsidRDefault="0035015A">
      <w:pPr>
        <w:spacing w:line="600" w:lineRule="exact"/>
        <w:ind w:leftChars="50" w:left="105" w:firstLineChars="150" w:firstLine="480"/>
        <w:outlineLvl w:val="0"/>
        <w:rPr>
          <w:rFonts w:ascii="黑体" w:eastAsia="黑体" w:hAnsi="黑体" w:cs="宋体"/>
          <w:color w:val="000000"/>
          <w:kern w:val="0"/>
          <w:sz w:val="32"/>
          <w:szCs w:val="32"/>
        </w:rPr>
      </w:pPr>
      <w:bookmarkStart w:id="11" w:name="_Toc6735"/>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bookmarkEnd w:id="11"/>
    </w:p>
    <w:p w:rsidR="00F60252" w:rsidRDefault="0035015A">
      <w:pPr>
        <w:spacing w:line="600" w:lineRule="exact"/>
        <w:ind w:leftChars="50" w:left="105" w:firstLineChars="150" w:firstLine="480"/>
        <w:outlineLvl w:val="1"/>
        <w:rPr>
          <w:rFonts w:ascii="楷体_GB2312" w:eastAsia="楷体_GB2312" w:hAnsi="Times New Roman" w:cs="Times New Roman"/>
          <w:sz w:val="32"/>
          <w:szCs w:val="32"/>
        </w:rPr>
      </w:pPr>
      <w:bookmarkStart w:id="12" w:name="_Toc3374"/>
      <w:bookmarkStart w:id="13" w:name="_Toc17823"/>
      <w:r>
        <w:rPr>
          <w:rFonts w:ascii="楷体_GB2312" w:eastAsia="楷体_GB2312" w:hAnsi="Times New Roman" w:cs="Times New Roman" w:hint="eastAsia"/>
          <w:sz w:val="32"/>
          <w:szCs w:val="32"/>
        </w:rPr>
        <w:t>（一）财务管理</w:t>
      </w:r>
      <w:bookmarkEnd w:id="12"/>
    </w:p>
    <w:p w:rsidR="00F60252" w:rsidRDefault="0035015A">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1、财务</w:t>
      </w:r>
      <w:r>
        <w:rPr>
          <w:rFonts w:ascii="仿宋_GB2312" w:eastAsia="仿宋_GB2312" w:hAnsi="宋体" w:cs="宋体"/>
          <w:color w:val="000000"/>
          <w:kern w:val="0"/>
          <w:sz w:val="32"/>
          <w:szCs w:val="32"/>
        </w:rPr>
        <w:t>管理制度健全性</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我办</w:t>
      </w:r>
      <w:r>
        <w:rPr>
          <w:rFonts w:ascii="仿宋_GB2312" w:eastAsia="仿宋_GB2312" w:hAnsi="宋体" w:cs="宋体" w:hint="eastAsia"/>
          <w:color w:val="000000"/>
          <w:kern w:val="0"/>
          <w:sz w:val="32"/>
          <w:szCs w:val="32"/>
        </w:rPr>
        <w:t>为提高内部管理水平，加强内部控制和规范单位管理，进一步完善和优化了内部控制制度，根据《行政事业单位内部控制规范（试行）》等相关规定，于2019年初，建立了一套完整、科学的内部控制制度，根据我办实际工作，在建立并实施内部监督和控制制度过程中，制定了《财务管理办法》，在建立和完善各项制度的同时，相关人员在工作过程中严格遵守规章制度，有效地实施了内部监督和控制，保证了会计工作的真实性，完整性以及财产的安全性，加强了对我办财产物资的监督和管理，杜绝了各种漏洞的发生。</w:t>
      </w:r>
    </w:p>
    <w:p w:rsidR="00F60252" w:rsidRDefault="0035015A">
      <w:pPr>
        <w:spacing w:line="60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2、资金使用合规性</w:t>
      </w:r>
      <w:r>
        <w:rPr>
          <w:rFonts w:ascii="仿宋_GB2312" w:eastAsia="仿宋_GB2312" w:hAnsi="宋体" w:cs="宋体"/>
          <w:color w:val="000000"/>
          <w:kern w:val="0"/>
          <w:sz w:val="32"/>
          <w:szCs w:val="32"/>
        </w:rPr>
        <w:t>和安全性</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办为规范本单位经费支出管理，强化预算约束，提高经费使用效益和行政管理能力，依据《中国人民共和国会计法》、《行政单位财务规则》等相关规定，于2020年初新修订了《经费支出管理办法》，所有经费支出按照“支出有预算、事前有审批、</w:t>
      </w:r>
      <w:r>
        <w:rPr>
          <w:rFonts w:ascii="仿宋_GB2312" w:eastAsia="仿宋_GB2312" w:hAnsi="宋体" w:cs="宋体" w:hint="eastAsia"/>
          <w:color w:val="000000"/>
          <w:kern w:val="0"/>
          <w:sz w:val="32"/>
          <w:szCs w:val="32"/>
        </w:rPr>
        <w:lastRenderedPageBreak/>
        <w:t>事后有反馈”的原则，实行申请报批制度。</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从整体情况来看，我办严格按照年初预算进行部门整体支出。在支出过程中，能够严格遵守各项规章制度，大部分项目在年初都详细制定了方案，严格按方案组织实施，并加强了监督。尤其是在专项经费支出上，我办能严格执行专项资金管理办法，专款专用，无截留、无挪用等现象。</w:t>
      </w:r>
    </w:p>
    <w:p w:rsidR="00F60252" w:rsidRDefault="0035015A">
      <w:pPr>
        <w:spacing w:line="600" w:lineRule="exact"/>
        <w:ind w:leftChars="200" w:left="420" w:firstLineChars="100" w:firstLine="32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3、会计</w:t>
      </w:r>
      <w:r>
        <w:rPr>
          <w:rFonts w:ascii="仿宋_GB2312" w:eastAsia="仿宋_GB2312" w:hAnsi="宋体" w:cs="宋体"/>
          <w:color w:val="000000"/>
          <w:kern w:val="0"/>
          <w:sz w:val="32"/>
          <w:szCs w:val="32"/>
        </w:rPr>
        <w:t>基础信息完善性</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我办严格按照《中国人民共和国会计法》和《会计基础工作规范》的要求，依法建帐，原始凭证的格式、内容、填制方法、符合会计制度的要求。</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从整体情况来看，我办的记账凭证内容、填制方法、所附原始凭证等均符合会计制度的要求，字迹清楚，装订整齐，内容完整，并按照规定，定期整理归档并妥善保管。</w:t>
      </w:r>
    </w:p>
    <w:p w:rsidR="00F60252" w:rsidRDefault="0035015A">
      <w:pPr>
        <w:spacing w:line="600" w:lineRule="exact"/>
        <w:ind w:leftChars="50" w:left="105" w:firstLineChars="150" w:firstLine="480"/>
        <w:outlineLvl w:val="1"/>
        <w:rPr>
          <w:rFonts w:ascii="楷体_GB2312" w:eastAsia="楷体_GB2312" w:hAnsi="Times New Roman" w:cs="Times New Roman"/>
          <w:sz w:val="32"/>
          <w:szCs w:val="32"/>
        </w:rPr>
      </w:pPr>
      <w:r>
        <w:rPr>
          <w:rFonts w:ascii="楷体_GB2312" w:eastAsia="楷体_GB2312" w:hAnsi="Times New Roman" w:cs="Times New Roman" w:hint="eastAsia"/>
          <w:sz w:val="32"/>
          <w:szCs w:val="32"/>
        </w:rPr>
        <w:t>（二）资产管理</w:t>
      </w:r>
      <w:bookmarkEnd w:id="13"/>
    </w:p>
    <w:p w:rsidR="00F60252" w:rsidRDefault="0035015A">
      <w:pPr>
        <w:spacing w:line="600" w:lineRule="exact"/>
        <w:ind w:leftChars="200" w:left="420" w:firstLineChars="100" w:firstLine="32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1、资产构成情况</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截至2021年12月底，我办资产总额（账面净值）25,151.38万元，其中资产流动资产6,474.51万元，占资产总额25.74%；固定资产16,094.34万元，占资产总额63.99%；在建工程344.45万元，占资产总额1.37%；长期投资0万元，占资产总额0%；无形资产2,238.08万元，占资产总额8.90%。</w:t>
      </w:r>
    </w:p>
    <w:p w:rsidR="00F60252" w:rsidRDefault="0035015A">
      <w:pPr>
        <w:spacing w:line="600" w:lineRule="exact"/>
        <w:ind w:leftChars="200" w:left="420" w:firstLineChars="100" w:firstLine="32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2、资产管理情况</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我办积极贯彻落实《行政事业性国有资产管理条例》（国务</w:t>
      </w:r>
      <w:r>
        <w:rPr>
          <w:rFonts w:ascii="仿宋_GB2312" w:eastAsia="仿宋_GB2312" w:hAnsi="宋体" w:cs="宋体"/>
          <w:color w:val="000000"/>
          <w:kern w:val="0"/>
          <w:sz w:val="32"/>
          <w:szCs w:val="32"/>
        </w:rPr>
        <w:lastRenderedPageBreak/>
        <w:t>院令第738号）举措，结合</w:t>
      </w:r>
      <w:r>
        <w:rPr>
          <w:rFonts w:ascii="仿宋_GB2312" w:eastAsia="仿宋_GB2312" w:hAnsi="宋体" w:cs="宋体" w:hint="eastAsia"/>
          <w:color w:val="000000"/>
          <w:kern w:val="0"/>
          <w:sz w:val="32"/>
          <w:szCs w:val="32"/>
        </w:rPr>
        <w:t>我办的</w:t>
      </w:r>
      <w:r>
        <w:rPr>
          <w:rFonts w:ascii="仿宋_GB2312" w:eastAsia="仿宋_GB2312" w:hAnsi="宋体" w:cs="宋体"/>
          <w:color w:val="000000"/>
          <w:kern w:val="0"/>
          <w:sz w:val="32"/>
          <w:szCs w:val="32"/>
        </w:rPr>
        <w:t>实际情况，</w:t>
      </w:r>
      <w:r>
        <w:rPr>
          <w:rFonts w:ascii="仿宋_GB2312" w:eastAsia="仿宋_GB2312" w:hAnsi="宋体" w:cs="宋体" w:hint="eastAsia"/>
          <w:color w:val="000000"/>
          <w:kern w:val="0"/>
          <w:sz w:val="32"/>
          <w:szCs w:val="32"/>
        </w:rPr>
        <w:t>于2019年新修订</w:t>
      </w:r>
      <w:r>
        <w:rPr>
          <w:rFonts w:ascii="仿宋_GB2312" w:eastAsia="仿宋_GB2312" w:hAnsi="宋体" w:cs="宋体"/>
          <w:color w:val="000000"/>
          <w:kern w:val="0"/>
          <w:sz w:val="32"/>
          <w:szCs w:val="32"/>
        </w:rPr>
        <w:t>了</w:t>
      </w:r>
      <w:r>
        <w:rPr>
          <w:rFonts w:ascii="仿宋_GB2312" w:eastAsia="仿宋_GB2312" w:hAnsi="宋体" w:cs="宋体" w:hint="eastAsia"/>
          <w:color w:val="000000"/>
          <w:kern w:val="0"/>
          <w:sz w:val="32"/>
          <w:szCs w:val="32"/>
        </w:rPr>
        <w:t>《</w:t>
      </w:r>
      <w:r w:rsidR="00EE5B94">
        <w:rPr>
          <w:rFonts w:ascii="仿宋_GB2312" w:eastAsia="仿宋_GB2312" w:hAnsi="宋体" w:cs="宋体" w:hint="eastAsia"/>
          <w:color w:val="000000"/>
          <w:kern w:val="0"/>
          <w:sz w:val="32"/>
          <w:szCs w:val="32"/>
        </w:rPr>
        <w:t>固定</w:t>
      </w:r>
      <w:r w:rsidR="00EE5B94">
        <w:rPr>
          <w:rFonts w:ascii="仿宋_GB2312" w:eastAsia="仿宋_GB2312" w:hAnsi="宋体" w:cs="宋体"/>
          <w:color w:val="000000"/>
          <w:kern w:val="0"/>
          <w:sz w:val="32"/>
          <w:szCs w:val="32"/>
        </w:rPr>
        <w:t>资产管理</w:t>
      </w:r>
      <w:r w:rsidR="00EE5B94">
        <w:rPr>
          <w:rFonts w:ascii="仿宋_GB2312" w:eastAsia="仿宋_GB2312" w:hAnsi="宋体" w:cs="宋体" w:hint="eastAsia"/>
          <w:color w:val="000000"/>
          <w:kern w:val="0"/>
          <w:sz w:val="32"/>
          <w:szCs w:val="32"/>
        </w:rPr>
        <w:t>办法</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，实现</w:t>
      </w:r>
      <w:r>
        <w:rPr>
          <w:rFonts w:ascii="仿宋_GB2312" w:eastAsia="仿宋_GB2312" w:hAnsi="宋体" w:cs="宋体" w:hint="eastAsia"/>
          <w:color w:val="000000"/>
          <w:kern w:val="0"/>
          <w:sz w:val="32"/>
          <w:szCs w:val="32"/>
        </w:rPr>
        <w:t>了</w:t>
      </w:r>
      <w:r>
        <w:rPr>
          <w:rFonts w:ascii="仿宋_GB2312" w:eastAsia="仿宋_GB2312" w:hAnsi="宋体" w:cs="宋体"/>
          <w:color w:val="000000"/>
          <w:kern w:val="0"/>
          <w:sz w:val="32"/>
          <w:szCs w:val="32"/>
        </w:rPr>
        <w:t>实物管理与价值管理相统一，资产管理与预算管理、财务管理相结合</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为规范国有资产</w:t>
      </w:r>
      <w:r>
        <w:rPr>
          <w:rFonts w:ascii="仿宋_GB2312" w:eastAsia="仿宋_GB2312" w:hAnsi="宋体" w:cs="宋体" w:hint="eastAsia"/>
          <w:color w:val="000000"/>
          <w:kern w:val="0"/>
          <w:sz w:val="32"/>
          <w:szCs w:val="32"/>
        </w:rPr>
        <w:t>的</w:t>
      </w:r>
      <w:r>
        <w:rPr>
          <w:rFonts w:ascii="仿宋_GB2312" w:eastAsia="仿宋_GB2312" w:hAnsi="宋体" w:cs="宋体"/>
          <w:color w:val="000000"/>
          <w:kern w:val="0"/>
          <w:sz w:val="32"/>
          <w:szCs w:val="32"/>
        </w:rPr>
        <w:t>管理，有效维护资产的安全完整</w:t>
      </w:r>
      <w:r>
        <w:rPr>
          <w:rFonts w:ascii="仿宋_GB2312" w:eastAsia="仿宋_GB2312" w:hAnsi="宋体" w:cs="宋体" w:hint="eastAsia"/>
          <w:color w:val="000000"/>
          <w:kern w:val="0"/>
          <w:sz w:val="32"/>
          <w:szCs w:val="32"/>
        </w:rPr>
        <w:t>性</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我办进行了分部门管理，财务处主要负责固定资产的预算编制、核算和处置等各项工作；综合处负责固定资产实物管理工作，为保证本单位信息化设备的正常运转，在固定资产实物管理的总框架下，信息化系统建设有关资产，按照资产分类由网络数据与技术处进行二级管理负责。</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从整体情况来看，我办资产使用状况良好，在管理方面，能够严格执行法律、法规和有关规章制度，固定资产配备、使用、处置都能够按照规定程序进行。但也存在一定的不足，如：存在固定资产定期盘点制度没有充分执行；有些资产管理没有落实到具体人、部门；由于固定资产使用部门分散、变化快、互联网信息化设备多，导致资产管理信息更新不及时等问题。</w:t>
      </w:r>
    </w:p>
    <w:p w:rsidR="00F60252" w:rsidRDefault="0035015A">
      <w:pPr>
        <w:spacing w:line="600" w:lineRule="exact"/>
        <w:ind w:leftChars="50" w:left="105" w:firstLineChars="150" w:firstLine="480"/>
        <w:outlineLvl w:val="1"/>
        <w:rPr>
          <w:rFonts w:ascii="楷体_GB2312" w:eastAsia="楷体_GB2312" w:hAnsi="Times New Roman" w:cs="Times New Roman"/>
          <w:sz w:val="32"/>
          <w:szCs w:val="32"/>
        </w:rPr>
      </w:pPr>
      <w:bookmarkStart w:id="14" w:name="_Toc2452"/>
      <w:r>
        <w:rPr>
          <w:rFonts w:ascii="楷体_GB2312" w:eastAsia="楷体_GB2312" w:hAnsi="Times New Roman" w:cs="Times New Roman" w:hint="eastAsia"/>
          <w:sz w:val="32"/>
          <w:szCs w:val="32"/>
        </w:rPr>
        <w:t>（三）绩效管理</w:t>
      </w:r>
      <w:bookmarkEnd w:id="14"/>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我办根据市绩效管理的相关要求，设绩效工作领导小组，对我办的绩效工作进行部署、督导、检查。各业务</w:t>
      </w:r>
      <w:r w:rsidR="00EE5B94">
        <w:rPr>
          <w:rFonts w:ascii="仿宋_GB2312" w:eastAsia="仿宋_GB2312" w:hAnsi="宋体" w:cs="宋体" w:hint="eastAsia"/>
          <w:color w:val="000000"/>
          <w:kern w:val="0"/>
          <w:sz w:val="32"/>
          <w:szCs w:val="32"/>
        </w:rPr>
        <w:t>部门</w:t>
      </w:r>
      <w:r>
        <w:rPr>
          <w:rFonts w:ascii="仿宋_GB2312" w:eastAsia="仿宋_GB2312" w:hAnsi="宋体" w:cs="宋体" w:hint="eastAsia"/>
          <w:color w:val="000000"/>
          <w:kern w:val="0"/>
          <w:sz w:val="32"/>
          <w:szCs w:val="32"/>
        </w:rPr>
        <w:t>为其负责项目的绩效管理第一责任人，自行设定项目绩效目标，负责项目绩效执行过程中资料的收集、整理、归档工作。</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本次绩效评价工作，我办同样成立了绩效评价工作领导小组（以下简称“领导小组”），由</w:t>
      </w:r>
      <w:r w:rsidR="004A5604">
        <w:rPr>
          <w:rFonts w:ascii="仿宋_GB2312" w:eastAsia="仿宋_GB2312" w:hAnsi="宋体" w:cs="宋体" w:hint="eastAsia"/>
          <w:color w:val="000000"/>
          <w:kern w:val="0"/>
          <w:sz w:val="32"/>
          <w:szCs w:val="32"/>
        </w:rPr>
        <w:t>办领导</w:t>
      </w:r>
      <w:bookmarkStart w:id="15" w:name="_GoBack"/>
      <w:bookmarkEnd w:id="15"/>
      <w:r>
        <w:rPr>
          <w:rFonts w:ascii="仿宋_GB2312" w:eastAsia="仿宋_GB2312" w:hAnsi="宋体" w:cs="宋体" w:hint="eastAsia"/>
          <w:color w:val="000000"/>
          <w:kern w:val="0"/>
          <w:sz w:val="32"/>
          <w:szCs w:val="32"/>
        </w:rPr>
        <w:t>及各部门负责人组成，负责绩效评价工作的组织与协调，明确了人员分工与职责，为部门</w:t>
      </w:r>
      <w:r>
        <w:rPr>
          <w:rFonts w:ascii="仿宋_GB2312" w:eastAsia="仿宋_GB2312" w:hAnsi="宋体" w:cs="宋体" w:hint="eastAsia"/>
          <w:color w:val="000000"/>
          <w:kern w:val="0"/>
          <w:sz w:val="32"/>
          <w:szCs w:val="32"/>
        </w:rPr>
        <w:lastRenderedPageBreak/>
        <w:t>整体绩效评价工作提供了较好的组织结构保障。</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在评价过程中，我办及时归集了绩效资料，但由于我办尚处于绩效意识树立阶段，对部门整体绩效评价工作内容和要求正处于熟悉阶段，本次评价过程中的绩效管理情况仍与财政绩效管理要求存在差距；如：我办2021年初部门整体绩效指标设置较笼统，未做到科学设定细化、量化的绩效指标，绩效资料归集存在一</w:t>
      </w:r>
      <w:r w:rsidR="005E513D">
        <w:rPr>
          <w:rFonts w:ascii="仿宋_GB2312" w:eastAsia="仿宋_GB2312" w:hAnsi="宋体" w:cs="宋体" w:hint="eastAsia"/>
          <w:color w:val="000000"/>
          <w:kern w:val="0"/>
          <w:sz w:val="32"/>
          <w:szCs w:val="32"/>
        </w:rPr>
        <w:t>定</w:t>
      </w:r>
      <w:r>
        <w:rPr>
          <w:rFonts w:ascii="仿宋_GB2312" w:eastAsia="仿宋_GB2312" w:hAnsi="宋体" w:cs="宋体" w:hint="eastAsia"/>
          <w:color w:val="000000"/>
          <w:kern w:val="0"/>
          <w:sz w:val="32"/>
          <w:szCs w:val="32"/>
        </w:rPr>
        <w:t>的不足等情况。</w:t>
      </w:r>
    </w:p>
    <w:p w:rsidR="00F60252" w:rsidRDefault="0035015A">
      <w:pPr>
        <w:spacing w:line="600" w:lineRule="exact"/>
        <w:ind w:leftChars="50" w:left="105" w:firstLineChars="150" w:firstLine="480"/>
        <w:outlineLvl w:val="1"/>
        <w:rPr>
          <w:rFonts w:ascii="楷体_GB2312" w:eastAsia="楷体_GB2312" w:hAnsi="Times New Roman" w:cs="Times New Roman"/>
          <w:sz w:val="32"/>
          <w:szCs w:val="32"/>
        </w:rPr>
      </w:pPr>
      <w:bookmarkStart w:id="16" w:name="_Toc21645"/>
      <w:r>
        <w:rPr>
          <w:rFonts w:ascii="楷体_GB2312" w:eastAsia="楷体_GB2312" w:hAnsi="Times New Roman" w:cs="Times New Roman" w:hint="eastAsia"/>
          <w:sz w:val="32"/>
          <w:szCs w:val="32"/>
        </w:rPr>
        <w:t>（四）结转结余率</w:t>
      </w:r>
      <w:bookmarkEnd w:id="16"/>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2021年，财政批复我办预算实际收入26,748.84万元，其中：财政拨款</w:t>
      </w:r>
      <w:r w:rsidR="005E513D">
        <w:rPr>
          <w:rFonts w:ascii="仿宋_GB2312" w:eastAsia="仿宋_GB2312" w:hAnsi="宋体" w:cs="宋体"/>
          <w:color w:val="000000"/>
          <w:kern w:val="0"/>
          <w:sz w:val="32"/>
          <w:szCs w:val="32"/>
        </w:rPr>
        <w:t>25859.78</w:t>
      </w:r>
      <w:r>
        <w:rPr>
          <w:rFonts w:ascii="仿宋_GB2312" w:eastAsia="仿宋_GB2312" w:hAnsi="宋体" w:cs="宋体" w:hint="eastAsia"/>
          <w:color w:val="000000"/>
          <w:kern w:val="0"/>
          <w:sz w:val="32"/>
          <w:szCs w:val="32"/>
        </w:rPr>
        <w:t>万元，</w:t>
      </w:r>
      <w:r w:rsidR="005E513D">
        <w:rPr>
          <w:rFonts w:ascii="仿宋_GB2312" w:eastAsia="仿宋_GB2312" w:hAnsi="宋体" w:cs="宋体" w:hint="eastAsia"/>
          <w:color w:val="000000"/>
          <w:kern w:val="0"/>
          <w:sz w:val="32"/>
          <w:szCs w:val="32"/>
        </w:rPr>
        <w:t>其他</w:t>
      </w:r>
      <w:r w:rsidR="005E513D">
        <w:rPr>
          <w:rFonts w:ascii="仿宋_GB2312" w:eastAsia="仿宋_GB2312" w:hAnsi="宋体" w:cs="宋体"/>
          <w:color w:val="000000"/>
          <w:kern w:val="0"/>
          <w:sz w:val="32"/>
          <w:szCs w:val="32"/>
        </w:rPr>
        <w:t>收入</w:t>
      </w:r>
      <w:r w:rsidR="005E513D">
        <w:rPr>
          <w:rFonts w:ascii="仿宋_GB2312" w:eastAsia="仿宋_GB2312" w:hAnsi="宋体" w:cs="宋体" w:hint="eastAsia"/>
          <w:color w:val="000000"/>
          <w:kern w:val="0"/>
          <w:sz w:val="32"/>
          <w:szCs w:val="32"/>
        </w:rPr>
        <w:t>170.</w:t>
      </w:r>
      <w:r w:rsidR="005E513D">
        <w:rPr>
          <w:rFonts w:ascii="仿宋_GB2312" w:eastAsia="仿宋_GB2312" w:hAnsi="宋体" w:cs="宋体"/>
          <w:color w:val="000000"/>
          <w:kern w:val="0"/>
          <w:sz w:val="32"/>
          <w:szCs w:val="32"/>
        </w:rPr>
        <w:t>3</w:t>
      </w:r>
      <w:r w:rsidR="005E513D">
        <w:rPr>
          <w:rFonts w:ascii="仿宋_GB2312" w:eastAsia="仿宋_GB2312" w:hAnsi="宋体" w:cs="宋体" w:hint="eastAsia"/>
          <w:color w:val="000000"/>
          <w:kern w:val="0"/>
          <w:sz w:val="32"/>
          <w:szCs w:val="32"/>
        </w:rPr>
        <w:t>6万元</w:t>
      </w:r>
      <w:r w:rsidR="005E513D">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继续使用财政性结转资金718.70万元,实际支出26，514.79万元，年末结转和结余234.06万元。</w:t>
      </w:r>
    </w:p>
    <w:p w:rsidR="00F60252" w:rsidRDefault="0035015A">
      <w:pPr>
        <w:spacing w:line="360" w:lineRule="auto"/>
        <w:jc w:val="center"/>
        <w:rPr>
          <w:rFonts w:ascii="仿宋_GB2312" w:eastAsia="仿宋_GB2312" w:hAnsi="宋体" w:cs="宋体"/>
          <w:color w:val="000000"/>
          <w:kern w:val="0"/>
          <w:sz w:val="28"/>
          <w:szCs w:val="28"/>
        </w:rPr>
      </w:pPr>
      <w:r>
        <w:rPr>
          <w:rFonts w:ascii="仿宋_GB2312" w:eastAsia="仿宋_GB2312" w:hAnsi="宋体" w:cs="宋体" w:hint="eastAsia"/>
          <w:color w:val="000000"/>
          <w:kern w:val="0"/>
          <w:sz w:val="32"/>
          <w:szCs w:val="32"/>
        </w:rPr>
        <w:t>2020年-2021年财政资金明细</w:t>
      </w:r>
      <w:r>
        <w:rPr>
          <w:rFonts w:ascii="仿宋_GB2312" w:eastAsia="仿宋_GB2312" w:hAnsi="宋体" w:cs="宋体" w:hint="eastAsia"/>
          <w:color w:val="000000"/>
          <w:kern w:val="0"/>
          <w:sz w:val="24"/>
        </w:rPr>
        <w:t>（单位：万元）</w:t>
      </w:r>
    </w:p>
    <w:tbl>
      <w:tblPr>
        <w:tblW w:w="8346" w:type="dxa"/>
        <w:jc w:val="center"/>
        <w:tblLayout w:type="fixed"/>
        <w:tblLook w:val="04A0" w:firstRow="1" w:lastRow="0" w:firstColumn="1" w:lastColumn="0" w:noHBand="0" w:noVBand="1"/>
      </w:tblPr>
      <w:tblGrid>
        <w:gridCol w:w="1515"/>
        <w:gridCol w:w="1755"/>
        <w:gridCol w:w="1680"/>
        <w:gridCol w:w="1686"/>
        <w:gridCol w:w="1710"/>
      </w:tblGrid>
      <w:tr w:rsidR="00F60252">
        <w:trPr>
          <w:trHeight w:val="670"/>
          <w:jc w:val="center"/>
        </w:trPr>
        <w:tc>
          <w:tcPr>
            <w:tcW w:w="15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spacing w:line="600" w:lineRule="exact"/>
              <w:jc w:val="center"/>
              <w:rPr>
                <w:rFonts w:ascii="仿宋_GB2312" w:eastAsia="仿宋_GB2312" w:hAnsi="宋体" w:cs="宋体"/>
                <w:b/>
                <w:bCs/>
                <w:color w:val="000000"/>
                <w:kern w:val="0"/>
                <w:sz w:val="28"/>
                <w:szCs w:val="28"/>
              </w:rPr>
            </w:pPr>
            <w:r>
              <w:rPr>
                <w:rFonts w:ascii="仿宋_GB2312" w:eastAsia="仿宋_GB2312" w:hAnsi="宋体" w:cs="宋体" w:hint="eastAsia"/>
                <w:b/>
                <w:bCs/>
                <w:color w:val="000000"/>
                <w:kern w:val="0"/>
                <w:sz w:val="24"/>
              </w:rPr>
              <w:t>年份</w:t>
            </w:r>
          </w:p>
        </w:tc>
        <w:tc>
          <w:tcPr>
            <w:tcW w:w="17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spacing w:line="600" w:lineRule="exact"/>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财政收入金额</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spacing w:line="600" w:lineRule="exact"/>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实际支出金额</w:t>
            </w:r>
          </w:p>
        </w:tc>
        <w:tc>
          <w:tcPr>
            <w:tcW w:w="16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spacing w:line="600" w:lineRule="exact"/>
              <w:jc w:val="center"/>
              <w:rPr>
                <w:rFonts w:ascii="仿宋_GB2312" w:eastAsia="仿宋_GB2312" w:hAnsi="宋体" w:cs="宋体"/>
                <w:b/>
                <w:bCs/>
                <w:color w:val="000000"/>
                <w:kern w:val="0"/>
                <w:sz w:val="28"/>
                <w:szCs w:val="28"/>
              </w:rPr>
            </w:pPr>
            <w:r>
              <w:rPr>
                <w:rFonts w:ascii="仿宋_GB2312" w:eastAsia="仿宋_GB2312" w:hAnsi="宋体" w:cs="宋体" w:hint="eastAsia"/>
                <w:b/>
                <w:bCs/>
                <w:color w:val="000000"/>
                <w:kern w:val="0"/>
                <w:sz w:val="24"/>
              </w:rPr>
              <w:t>结转结余金额</w:t>
            </w:r>
          </w:p>
        </w:tc>
        <w:tc>
          <w:tcPr>
            <w:tcW w:w="17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spacing w:line="600" w:lineRule="exact"/>
              <w:jc w:val="center"/>
              <w:rPr>
                <w:rFonts w:ascii="仿宋_GB2312" w:eastAsia="仿宋_GB2312" w:hAnsi="宋体" w:cs="宋体"/>
                <w:b/>
                <w:bCs/>
                <w:color w:val="000000"/>
                <w:kern w:val="0"/>
                <w:sz w:val="28"/>
                <w:szCs w:val="28"/>
              </w:rPr>
            </w:pPr>
            <w:r>
              <w:rPr>
                <w:rFonts w:ascii="仿宋_GB2312" w:eastAsia="仿宋_GB2312" w:hAnsi="宋体" w:cs="宋体" w:hint="eastAsia"/>
                <w:b/>
                <w:bCs/>
                <w:color w:val="000000"/>
                <w:kern w:val="0"/>
                <w:sz w:val="24"/>
              </w:rPr>
              <w:t>结转结余率</w:t>
            </w:r>
          </w:p>
        </w:tc>
      </w:tr>
      <w:tr w:rsidR="00F60252">
        <w:trPr>
          <w:trHeight w:val="625"/>
          <w:jc w:val="center"/>
        </w:trPr>
        <w:tc>
          <w:tcPr>
            <w:tcW w:w="15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spacing w:line="600" w:lineRule="exact"/>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2020年</w:t>
            </w:r>
          </w:p>
        </w:tc>
        <w:tc>
          <w:tcPr>
            <w:tcW w:w="17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spacing w:line="60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26,145.37</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spacing w:line="60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25,351.36</w:t>
            </w:r>
          </w:p>
        </w:tc>
        <w:tc>
          <w:tcPr>
            <w:tcW w:w="16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spacing w:line="60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794.01</w:t>
            </w:r>
          </w:p>
        </w:tc>
        <w:tc>
          <w:tcPr>
            <w:tcW w:w="17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spacing w:line="60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3.04%</w:t>
            </w:r>
          </w:p>
        </w:tc>
      </w:tr>
      <w:tr w:rsidR="00F60252">
        <w:trPr>
          <w:trHeight w:val="650"/>
          <w:jc w:val="center"/>
        </w:trPr>
        <w:tc>
          <w:tcPr>
            <w:tcW w:w="15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spacing w:line="600" w:lineRule="exact"/>
              <w:jc w:val="center"/>
              <w:rPr>
                <w:rFonts w:ascii="仿宋_GB2312" w:eastAsia="仿宋_GB2312" w:hAnsi="宋体" w:cs="宋体"/>
                <w:b/>
                <w:bCs/>
                <w:color w:val="000000"/>
                <w:kern w:val="0"/>
                <w:sz w:val="24"/>
              </w:rPr>
            </w:pPr>
            <w:r>
              <w:rPr>
                <w:rFonts w:ascii="仿宋_GB2312" w:eastAsia="仿宋_GB2312" w:hAnsi="宋体" w:cs="宋体" w:hint="eastAsia"/>
                <w:b/>
                <w:bCs/>
                <w:color w:val="000000"/>
                <w:kern w:val="0"/>
                <w:sz w:val="24"/>
              </w:rPr>
              <w:t>2021年</w:t>
            </w:r>
          </w:p>
        </w:tc>
        <w:tc>
          <w:tcPr>
            <w:tcW w:w="17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spacing w:line="60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26,748.84</w:t>
            </w:r>
          </w:p>
        </w:tc>
        <w:tc>
          <w:tcPr>
            <w:tcW w:w="16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spacing w:line="60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26,514.79</w:t>
            </w:r>
          </w:p>
        </w:tc>
        <w:tc>
          <w:tcPr>
            <w:tcW w:w="16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spacing w:line="60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234.06</w:t>
            </w:r>
          </w:p>
        </w:tc>
        <w:tc>
          <w:tcPr>
            <w:tcW w:w="17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spacing w:line="60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0.88%</w:t>
            </w:r>
          </w:p>
        </w:tc>
      </w:tr>
    </w:tbl>
    <w:p w:rsidR="00F60252" w:rsidRDefault="0035015A">
      <w:pPr>
        <w:spacing w:line="600" w:lineRule="exact"/>
        <w:ind w:firstLineChars="200" w:firstLine="640"/>
        <w:rPr>
          <w:rFonts w:ascii="楷体_GB2312" w:eastAsia="楷体_GB2312" w:hAnsi="Times New Roman" w:cs="Times New Roman"/>
          <w:sz w:val="32"/>
          <w:szCs w:val="32"/>
        </w:rPr>
      </w:pPr>
      <w:r>
        <w:rPr>
          <w:rFonts w:ascii="仿宋_GB2312" w:eastAsia="仿宋_GB2312" w:hAnsi="宋体" w:cs="宋体" w:hint="eastAsia"/>
          <w:color w:val="000000"/>
          <w:kern w:val="0"/>
          <w:sz w:val="32"/>
          <w:szCs w:val="32"/>
        </w:rPr>
        <w:t>我办在2021年初，加强了项目支出预算管理，提高了预算编制质量，优化了预算资源配置，不断完善了预算评审机制，在申请市级财政资金安排的项目原则上都进行了预算评审；由上表所见，我办2021年财政资金结转结余率明显下降。</w:t>
      </w:r>
    </w:p>
    <w:p w:rsidR="00F60252" w:rsidRDefault="0035015A">
      <w:pPr>
        <w:spacing w:line="600" w:lineRule="exact"/>
        <w:ind w:leftChars="50" w:left="105" w:firstLineChars="150" w:firstLine="480"/>
        <w:outlineLvl w:val="1"/>
        <w:rPr>
          <w:rFonts w:ascii="楷体_GB2312" w:eastAsia="楷体_GB2312" w:hAnsi="Times New Roman" w:cs="Times New Roman"/>
          <w:sz w:val="32"/>
          <w:szCs w:val="32"/>
        </w:rPr>
      </w:pPr>
      <w:bookmarkStart w:id="17" w:name="_Toc21257"/>
      <w:r>
        <w:rPr>
          <w:rFonts w:ascii="楷体_GB2312" w:eastAsia="楷体_GB2312" w:hAnsi="Times New Roman" w:cs="Times New Roman" w:hint="eastAsia"/>
          <w:sz w:val="32"/>
          <w:szCs w:val="32"/>
        </w:rPr>
        <w:t>（五）部门预决算差异率</w:t>
      </w:r>
      <w:bookmarkEnd w:id="17"/>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2021年，财政批复我办预算资金26,748.84万元，决算后实际执行资金26,514.79万元，部门预决算差异率为-0.87%，差异率较低，我办将继续加强部门预决算的可比性，使部门预算、决算编制更加科学化、规范化。</w:t>
      </w:r>
    </w:p>
    <w:p w:rsidR="00F60252" w:rsidRDefault="0035015A">
      <w:pPr>
        <w:spacing w:line="600" w:lineRule="exact"/>
        <w:ind w:leftChars="50" w:left="105" w:firstLineChars="150" w:firstLine="480"/>
        <w:outlineLvl w:val="0"/>
        <w:rPr>
          <w:rFonts w:ascii="黑体" w:eastAsia="黑体" w:hAnsi="黑体" w:cs="Times New Roman"/>
          <w:sz w:val="32"/>
          <w:szCs w:val="32"/>
        </w:rPr>
      </w:pPr>
      <w:bookmarkStart w:id="18" w:name="_Toc3472"/>
      <w:r>
        <w:rPr>
          <w:rFonts w:ascii="黑体" w:eastAsia="黑体" w:hAnsi="黑体" w:cs="Times New Roman" w:hint="eastAsia"/>
          <w:sz w:val="32"/>
          <w:szCs w:val="32"/>
        </w:rPr>
        <w:t>五、总体</w:t>
      </w:r>
      <w:r>
        <w:rPr>
          <w:rFonts w:ascii="黑体" w:eastAsia="黑体" w:hAnsi="黑体" w:cs="Times New Roman"/>
          <w:sz w:val="32"/>
          <w:szCs w:val="32"/>
        </w:rPr>
        <w:t>评价结论</w:t>
      </w:r>
      <w:bookmarkEnd w:id="18"/>
    </w:p>
    <w:p w:rsidR="00F60252" w:rsidRDefault="0035015A">
      <w:pPr>
        <w:spacing w:line="600" w:lineRule="exact"/>
        <w:ind w:leftChars="50" w:left="105" w:firstLineChars="150" w:firstLine="480"/>
        <w:outlineLvl w:val="1"/>
        <w:rPr>
          <w:rFonts w:ascii="楷体_GB2312" w:eastAsia="楷体_GB2312" w:hAnsi="Times New Roman" w:cs="Times New Roman"/>
          <w:sz w:val="32"/>
          <w:szCs w:val="32"/>
        </w:rPr>
      </w:pPr>
      <w:bookmarkStart w:id="19" w:name="_Toc32636"/>
      <w:r>
        <w:rPr>
          <w:rFonts w:ascii="楷体_GB2312" w:eastAsia="楷体_GB2312" w:hAnsi="Times New Roman" w:cs="Times New Roman" w:hint="eastAsia"/>
          <w:sz w:val="32"/>
          <w:szCs w:val="32"/>
        </w:rPr>
        <w:t>（一）评价得分情况</w:t>
      </w:r>
      <w:bookmarkEnd w:id="19"/>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2021年，在中央</w:t>
      </w:r>
      <w:r w:rsidR="005E513D">
        <w:rPr>
          <w:rFonts w:ascii="仿宋_GB2312" w:eastAsia="仿宋_GB2312" w:hAnsi="宋体" w:cs="宋体" w:hint="eastAsia"/>
          <w:color w:val="000000"/>
          <w:kern w:val="0"/>
          <w:sz w:val="32"/>
          <w:szCs w:val="32"/>
        </w:rPr>
        <w:t>和市委</w:t>
      </w:r>
      <w:r>
        <w:rPr>
          <w:rFonts w:ascii="仿宋_GB2312" w:eastAsia="仿宋_GB2312" w:hAnsi="宋体" w:cs="宋体" w:hint="eastAsia"/>
          <w:color w:val="000000"/>
          <w:kern w:val="0"/>
          <w:sz w:val="32"/>
          <w:szCs w:val="32"/>
        </w:rPr>
        <w:t>坚强领导下，我办聚焦建党主题主线，扎实推进各项工作，在服务党和国家、推动首都高质量发展中充分彰显了网信担当。但在绩效目标设定、项目精细化管理、绩效档案归集方面有待进一步加强。</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本次部门整体绩效评价，我办综合得分84.33 分，其中预算执行情况得19.83分，整体绩效目标实现情况得47.50分，预算管理情况得17.00分，项目绩效评定为“良”，具体评分情况见下表：</w:t>
      </w:r>
    </w:p>
    <w:p w:rsidR="00F60252" w:rsidRPr="00327EA7" w:rsidRDefault="0035015A">
      <w:pPr>
        <w:widowControl/>
        <w:ind w:rightChars="-27" w:right="-57"/>
        <w:jc w:val="center"/>
        <w:rPr>
          <w:rFonts w:ascii="仿宋_GB2312" w:eastAsia="仿宋_GB2312" w:hAnsi="Times New Roman" w:cs="Times New Roman"/>
          <w:kern w:val="0"/>
          <w:sz w:val="28"/>
          <w:szCs w:val="28"/>
        </w:rPr>
      </w:pPr>
      <w:r w:rsidRPr="00327EA7">
        <w:rPr>
          <w:rFonts w:ascii="仿宋_GB2312" w:eastAsia="仿宋_GB2312" w:hAnsi="Times New Roman" w:cs="Times New Roman" w:hint="eastAsia"/>
          <w:kern w:val="0"/>
          <w:sz w:val="28"/>
          <w:szCs w:val="28"/>
        </w:rPr>
        <w:t>部门整体绩效评价结论一览表</w:t>
      </w: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972"/>
        <w:gridCol w:w="2977"/>
        <w:gridCol w:w="2828"/>
      </w:tblGrid>
      <w:tr w:rsidR="00F60252" w:rsidRPr="00327EA7">
        <w:trPr>
          <w:cantSplit/>
          <w:trHeight w:val="647"/>
          <w:jc w:val="center"/>
        </w:trPr>
        <w:tc>
          <w:tcPr>
            <w:tcW w:w="2972" w:type="dxa"/>
            <w:shd w:val="clear" w:color="auto" w:fill="auto"/>
            <w:vAlign w:val="center"/>
          </w:tcPr>
          <w:p w:rsidR="00F60252" w:rsidRPr="00327EA7" w:rsidRDefault="0035015A">
            <w:pPr>
              <w:widowControl/>
              <w:adjustRightInd w:val="0"/>
              <w:snapToGrid w:val="0"/>
              <w:spacing w:before="120" w:after="60" w:line="276" w:lineRule="auto"/>
              <w:ind w:rightChars="-27" w:right="-57"/>
              <w:jc w:val="center"/>
              <w:rPr>
                <w:rFonts w:ascii="仿宋_GB2312" w:eastAsia="仿宋_GB2312" w:hAnsi="Times New Roman" w:cs="Times New Roman"/>
                <w:kern w:val="0"/>
                <w:sz w:val="28"/>
                <w:szCs w:val="28"/>
              </w:rPr>
            </w:pPr>
            <w:r w:rsidRPr="00327EA7">
              <w:rPr>
                <w:rFonts w:ascii="仿宋_GB2312" w:eastAsia="仿宋_GB2312" w:hAnsi="Times New Roman" w:cs="Times New Roman" w:hint="eastAsia"/>
                <w:kern w:val="0"/>
                <w:sz w:val="28"/>
                <w:szCs w:val="28"/>
              </w:rPr>
              <w:t>评价内容</w:t>
            </w:r>
          </w:p>
        </w:tc>
        <w:tc>
          <w:tcPr>
            <w:tcW w:w="2977" w:type="dxa"/>
            <w:shd w:val="clear" w:color="auto" w:fill="auto"/>
            <w:vAlign w:val="center"/>
          </w:tcPr>
          <w:p w:rsidR="00F60252" w:rsidRPr="00327EA7" w:rsidRDefault="0035015A">
            <w:pPr>
              <w:widowControl/>
              <w:adjustRightInd w:val="0"/>
              <w:snapToGrid w:val="0"/>
              <w:spacing w:before="120" w:after="60" w:line="276" w:lineRule="auto"/>
              <w:ind w:rightChars="-27" w:right="-57"/>
              <w:jc w:val="center"/>
              <w:rPr>
                <w:rFonts w:ascii="仿宋_GB2312" w:eastAsia="仿宋_GB2312" w:hAnsi="Times New Roman" w:cs="Times New Roman"/>
                <w:kern w:val="0"/>
                <w:sz w:val="28"/>
                <w:szCs w:val="28"/>
              </w:rPr>
            </w:pPr>
            <w:r w:rsidRPr="00327EA7">
              <w:rPr>
                <w:rFonts w:ascii="仿宋_GB2312" w:eastAsia="仿宋_GB2312" w:hAnsi="Times New Roman" w:cs="Times New Roman" w:hint="eastAsia"/>
                <w:kern w:val="0"/>
                <w:sz w:val="28"/>
                <w:szCs w:val="28"/>
              </w:rPr>
              <w:t>分值</w:t>
            </w:r>
          </w:p>
        </w:tc>
        <w:tc>
          <w:tcPr>
            <w:tcW w:w="2828" w:type="dxa"/>
            <w:shd w:val="clear" w:color="auto" w:fill="auto"/>
            <w:vAlign w:val="center"/>
          </w:tcPr>
          <w:p w:rsidR="00F60252" w:rsidRPr="00327EA7" w:rsidRDefault="0035015A">
            <w:pPr>
              <w:widowControl/>
              <w:adjustRightInd w:val="0"/>
              <w:snapToGrid w:val="0"/>
              <w:spacing w:before="120" w:after="60" w:line="276" w:lineRule="auto"/>
              <w:ind w:rightChars="-27" w:right="-57"/>
              <w:jc w:val="center"/>
              <w:rPr>
                <w:rFonts w:ascii="仿宋_GB2312" w:eastAsia="仿宋_GB2312" w:hAnsi="Times New Roman" w:cs="Times New Roman"/>
                <w:kern w:val="0"/>
                <w:sz w:val="28"/>
                <w:szCs w:val="28"/>
              </w:rPr>
            </w:pPr>
            <w:r w:rsidRPr="00327EA7">
              <w:rPr>
                <w:rFonts w:ascii="仿宋_GB2312" w:eastAsia="仿宋_GB2312" w:hAnsi="Times New Roman" w:cs="Times New Roman" w:hint="eastAsia"/>
                <w:kern w:val="0"/>
                <w:sz w:val="28"/>
                <w:szCs w:val="28"/>
              </w:rPr>
              <w:t>评价得分</w:t>
            </w:r>
          </w:p>
        </w:tc>
      </w:tr>
      <w:tr w:rsidR="00F60252" w:rsidRPr="00327EA7">
        <w:trPr>
          <w:cantSplit/>
          <w:trHeight w:val="542"/>
          <w:jc w:val="center"/>
        </w:trPr>
        <w:tc>
          <w:tcPr>
            <w:tcW w:w="2972" w:type="dxa"/>
            <w:shd w:val="clear" w:color="auto" w:fill="auto"/>
            <w:vAlign w:val="center"/>
          </w:tcPr>
          <w:p w:rsidR="00F60252" w:rsidRPr="00327EA7" w:rsidRDefault="0035015A">
            <w:pPr>
              <w:widowControl/>
              <w:adjustRightInd w:val="0"/>
              <w:snapToGrid w:val="0"/>
              <w:spacing w:before="120" w:after="60" w:line="276" w:lineRule="auto"/>
              <w:ind w:rightChars="-27" w:right="-57"/>
              <w:jc w:val="center"/>
              <w:rPr>
                <w:rFonts w:ascii="仿宋_GB2312" w:eastAsia="仿宋_GB2312" w:hAnsi="Times New Roman" w:cs="Times New Roman"/>
                <w:kern w:val="0"/>
                <w:sz w:val="28"/>
                <w:szCs w:val="28"/>
              </w:rPr>
            </w:pPr>
            <w:r w:rsidRPr="00327EA7">
              <w:rPr>
                <w:rFonts w:ascii="仿宋_GB2312" w:eastAsia="仿宋_GB2312" w:hAnsi="Times New Roman" w:cs="Times New Roman" w:hint="eastAsia"/>
                <w:kern w:val="0"/>
                <w:sz w:val="28"/>
                <w:szCs w:val="28"/>
              </w:rPr>
              <w:t>预算执行情况</w:t>
            </w:r>
          </w:p>
        </w:tc>
        <w:tc>
          <w:tcPr>
            <w:tcW w:w="2977" w:type="dxa"/>
            <w:shd w:val="clear" w:color="auto" w:fill="auto"/>
            <w:vAlign w:val="center"/>
          </w:tcPr>
          <w:p w:rsidR="00F60252" w:rsidRPr="00327EA7" w:rsidRDefault="0035015A">
            <w:pPr>
              <w:widowControl/>
              <w:adjustRightInd w:val="0"/>
              <w:snapToGrid w:val="0"/>
              <w:spacing w:before="120" w:after="60" w:line="276" w:lineRule="auto"/>
              <w:ind w:rightChars="-27" w:right="-57"/>
              <w:jc w:val="center"/>
              <w:rPr>
                <w:rFonts w:ascii="仿宋_GB2312" w:eastAsia="仿宋_GB2312" w:hAnsi="Times New Roman" w:cs="Times New Roman"/>
                <w:kern w:val="0"/>
                <w:sz w:val="28"/>
                <w:szCs w:val="28"/>
              </w:rPr>
            </w:pPr>
            <w:r w:rsidRPr="00327EA7">
              <w:rPr>
                <w:rFonts w:ascii="仿宋_GB2312" w:eastAsia="仿宋_GB2312" w:hAnsi="Times New Roman" w:cs="Times New Roman" w:hint="eastAsia"/>
                <w:kern w:val="0"/>
                <w:sz w:val="28"/>
                <w:szCs w:val="28"/>
              </w:rPr>
              <w:t>20</w:t>
            </w:r>
          </w:p>
        </w:tc>
        <w:tc>
          <w:tcPr>
            <w:tcW w:w="2828" w:type="dxa"/>
            <w:shd w:val="clear" w:color="auto" w:fill="auto"/>
            <w:vAlign w:val="center"/>
          </w:tcPr>
          <w:p w:rsidR="00F60252" w:rsidRPr="00327EA7" w:rsidRDefault="0035015A">
            <w:pPr>
              <w:widowControl/>
              <w:adjustRightInd w:val="0"/>
              <w:snapToGrid w:val="0"/>
              <w:spacing w:before="120" w:after="60" w:line="276" w:lineRule="auto"/>
              <w:ind w:rightChars="-27" w:right="-57"/>
              <w:jc w:val="center"/>
              <w:rPr>
                <w:rFonts w:ascii="仿宋_GB2312" w:eastAsia="仿宋_GB2312" w:hAnsi="Times New Roman" w:cs="Times New Roman"/>
                <w:kern w:val="0"/>
                <w:sz w:val="28"/>
                <w:szCs w:val="28"/>
              </w:rPr>
            </w:pPr>
            <w:r w:rsidRPr="00327EA7">
              <w:rPr>
                <w:rFonts w:ascii="仿宋_GB2312" w:eastAsia="仿宋_GB2312" w:hAnsi="Times New Roman" w:cs="Times New Roman" w:hint="eastAsia"/>
                <w:color w:val="000000"/>
                <w:kern w:val="0"/>
                <w:sz w:val="30"/>
                <w:szCs w:val="30"/>
              </w:rPr>
              <w:t>19.83</w:t>
            </w:r>
          </w:p>
        </w:tc>
      </w:tr>
      <w:tr w:rsidR="00F60252" w:rsidRPr="00327EA7">
        <w:trPr>
          <w:cantSplit/>
          <w:trHeight w:val="452"/>
          <w:jc w:val="center"/>
        </w:trPr>
        <w:tc>
          <w:tcPr>
            <w:tcW w:w="2972" w:type="dxa"/>
            <w:shd w:val="clear" w:color="auto" w:fill="auto"/>
            <w:vAlign w:val="center"/>
          </w:tcPr>
          <w:p w:rsidR="00F60252" w:rsidRPr="00327EA7" w:rsidRDefault="0035015A">
            <w:pPr>
              <w:widowControl/>
              <w:adjustRightInd w:val="0"/>
              <w:snapToGrid w:val="0"/>
              <w:spacing w:before="120" w:after="60" w:line="276" w:lineRule="auto"/>
              <w:ind w:rightChars="-27" w:right="-57"/>
              <w:jc w:val="center"/>
              <w:rPr>
                <w:rFonts w:ascii="仿宋_GB2312" w:eastAsia="仿宋_GB2312" w:hAnsi="Times New Roman" w:cs="Times New Roman"/>
                <w:kern w:val="0"/>
                <w:sz w:val="28"/>
                <w:szCs w:val="28"/>
              </w:rPr>
            </w:pPr>
            <w:r w:rsidRPr="00327EA7">
              <w:rPr>
                <w:rFonts w:ascii="仿宋_GB2312" w:eastAsia="仿宋_GB2312" w:hAnsi="Times New Roman" w:cs="Times New Roman" w:hint="eastAsia"/>
                <w:kern w:val="0"/>
                <w:sz w:val="28"/>
                <w:szCs w:val="28"/>
              </w:rPr>
              <w:t>目标实现情况</w:t>
            </w:r>
          </w:p>
        </w:tc>
        <w:tc>
          <w:tcPr>
            <w:tcW w:w="2977" w:type="dxa"/>
            <w:shd w:val="clear" w:color="auto" w:fill="auto"/>
            <w:vAlign w:val="center"/>
          </w:tcPr>
          <w:p w:rsidR="00F60252" w:rsidRPr="00327EA7" w:rsidRDefault="0035015A">
            <w:pPr>
              <w:widowControl/>
              <w:adjustRightInd w:val="0"/>
              <w:snapToGrid w:val="0"/>
              <w:spacing w:line="276" w:lineRule="auto"/>
              <w:ind w:rightChars="-27" w:right="-57"/>
              <w:jc w:val="center"/>
              <w:rPr>
                <w:rFonts w:ascii="仿宋_GB2312" w:eastAsia="仿宋_GB2312" w:hAnsi="Times New Roman" w:cs="Times New Roman"/>
                <w:kern w:val="0"/>
                <w:sz w:val="28"/>
                <w:szCs w:val="28"/>
              </w:rPr>
            </w:pPr>
            <w:r w:rsidRPr="00327EA7">
              <w:rPr>
                <w:rFonts w:ascii="仿宋_GB2312" w:eastAsia="仿宋_GB2312" w:hAnsi="Times New Roman" w:cs="Times New Roman" w:hint="eastAsia"/>
                <w:kern w:val="0"/>
                <w:sz w:val="28"/>
                <w:szCs w:val="28"/>
              </w:rPr>
              <w:t>60</w:t>
            </w:r>
          </w:p>
        </w:tc>
        <w:tc>
          <w:tcPr>
            <w:tcW w:w="2828" w:type="dxa"/>
            <w:shd w:val="clear" w:color="auto" w:fill="auto"/>
            <w:vAlign w:val="center"/>
          </w:tcPr>
          <w:p w:rsidR="00F60252" w:rsidRPr="00327EA7" w:rsidRDefault="0035015A">
            <w:pPr>
              <w:widowControl/>
              <w:adjustRightInd w:val="0"/>
              <w:snapToGrid w:val="0"/>
              <w:spacing w:line="276" w:lineRule="auto"/>
              <w:ind w:rightChars="-27" w:right="-57"/>
              <w:jc w:val="center"/>
              <w:rPr>
                <w:rFonts w:ascii="仿宋_GB2312" w:eastAsia="仿宋_GB2312" w:hAnsi="Times New Roman" w:cs="Times New Roman"/>
                <w:kern w:val="0"/>
                <w:sz w:val="28"/>
                <w:szCs w:val="28"/>
              </w:rPr>
            </w:pPr>
            <w:r w:rsidRPr="00327EA7">
              <w:rPr>
                <w:rFonts w:ascii="仿宋_GB2312" w:eastAsia="仿宋_GB2312" w:hAnsi="Times New Roman" w:cs="Times New Roman" w:hint="eastAsia"/>
                <w:color w:val="000000"/>
                <w:kern w:val="0"/>
                <w:sz w:val="30"/>
                <w:szCs w:val="30"/>
              </w:rPr>
              <w:t>47.50</w:t>
            </w:r>
          </w:p>
        </w:tc>
      </w:tr>
      <w:tr w:rsidR="00F60252" w:rsidRPr="00327EA7">
        <w:trPr>
          <w:cantSplit/>
          <w:trHeight w:val="541"/>
          <w:jc w:val="center"/>
        </w:trPr>
        <w:tc>
          <w:tcPr>
            <w:tcW w:w="2972" w:type="dxa"/>
            <w:shd w:val="clear" w:color="auto" w:fill="auto"/>
            <w:vAlign w:val="center"/>
          </w:tcPr>
          <w:p w:rsidR="00F60252" w:rsidRPr="00327EA7" w:rsidRDefault="0035015A">
            <w:pPr>
              <w:widowControl/>
              <w:adjustRightInd w:val="0"/>
              <w:snapToGrid w:val="0"/>
              <w:spacing w:before="120" w:after="60" w:line="276" w:lineRule="auto"/>
              <w:ind w:rightChars="-27" w:right="-57"/>
              <w:jc w:val="center"/>
              <w:rPr>
                <w:rFonts w:ascii="仿宋_GB2312" w:eastAsia="仿宋_GB2312" w:hAnsi="Times New Roman" w:cs="Times New Roman"/>
                <w:kern w:val="0"/>
                <w:sz w:val="28"/>
                <w:szCs w:val="28"/>
              </w:rPr>
            </w:pPr>
            <w:r w:rsidRPr="00327EA7">
              <w:rPr>
                <w:rFonts w:ascii="仿宋_GB2312" w:eastAsia="仿宋_GB2312" w:hAnsi="Times New Roman" w:cs="Times New Roman" w:hint="eastAsia"/>
                <w:kern w:val="0"/>
                <w:sz w:val="28"/>
                <w:szCs w:val="28"/>
              </w:rPr>
              <w:t>预算管理情况</w:t>
            </w:r>
          </w:p>
        </w:tc>
        <w:tc>
          <w:tcPr>
            <w:tcW w:w="2977" w:type="dxa"/>
            <w:shd w:val="clear" w:color="auto" w:fill="auto"/>
            <w:vAlign w:val="center"/>
          </w:tcPr>
          <w:p w:rsidR="00F60252" w:rsidRPr="00327EA7" w:rsidRDefault="0035015A">
            <w:pPr>
              <w:widowControl/>
              <w:adjustRightInd w:val="0"/>
              <w:snapToGrid w:val="0"/>
              <w:spacing w:line="276" w:lineRule="auto"/>
              <w:ind w:rightChars="-27" w:right="-57"/>
              <w:jc w:val="center"/>
              <w:rPr>
                <w:rFonts w:ascii="仿宋_GB2312" w:eastAsia="仿宋_GB2312" w:hAnsi="Times New Roman" w:cs="Times New Roman"/>
                <w:kern w:val="0"/>
                <w:sz w:val="28"/>
                <w:szCs w:val="28"/>
              </w:rPr>
            </w:pPr>
            <w:r w:rsidRPr="00327EA7">
              <w:rPr>
                <w:rFonts w:ascii="仿宋_GB2312" w:eastAsia="仿宋_GB2312" w:hAnsi="Times New Roman" w:cs="Times New Roman" w:hint="eastAsia"/>
                <w:kern w:val="0"/>
                <w:sz w:val="28"/>
                <w:szCs w:val="28"/>
              </w:rPr>
              <w:t>20</w:t>
            </w:r>
          </w:p>
        </w:tc>
        <w:tc>
          <w:tcPr>
            <w:tcW w:w="2828" w:type="dxa"/>
            <w:shd w:val="clear" w:color="auto" w:fill="auto"/>
            <w:vAlign w:val="center"/>
          </w:tcPr>
          <w:p w:rsidR="00F60252" w:rsidRPr="00327EA7" w:rsidRDefault="0035015A">
            <w:pPr>
              <w:widowControl/>
              <w:adjustRightInd w:val="0"/>
              <w:snapToGrid w:val="0"/>
              <w:spacing w:line="276" w:lineRule="auto"/>
              <w:ind w:rightChars="-27" w:right="-57"/>
              <w:jc w:val="center"/>
              <w:rPr>
                <w:rFonts w:ascii="仿宋_GB2312" w:eastAsia="仿宋_GB2312" w:hAnsi="Times New Roman" w:cs="Times New Roman"/>
                <w:color w:val="000000"/>
                <w:kern w:val="0"/>
                <w:sz w:val="30"/>
                <w:szCs w:val="30"/>
              </w:rPr>
            </w:pPr>
            <w:r w:rsidRPr="00327EA7">
              <w:rPr>
                <w:rFonts w:ascii="仿宋_GB2312" w:eastAsia="仿宋_GB2312" w:hAnsi="Times New Roman" w:cs="Times New Roman" w:hint="eastAsia"/>
                <w:color w:val="000000"/>
                <w:kern w:val="0"/>
                <w:sz w:val="30"/>
                <w:szCs w:val="30"/>
              </w:rPr>
              <w:t>17.00</w:t>
            </w:r>
          </w:p>
        </w:tc>
      </w:tr>
      <w:tr w:rsidR="00F60252" w:rsidRPr="00327EA7">
        <w:trPr>
          <w:cantSplit/>
          <w:trHeight w:val="581"/>
          <w:jc w:val="center"/>
        </w:trPr>
        <w:tc>
          <w:tcPr>
            <w:tcW w:w="2972" w:type="dxa"/>
            <w:shd w:val="clear" w:color="auto" w:fill="auto"/>
            <w:vAlign w:val="center"/>
          </w:tcPr>
          <w:p w:rsidR="00F60252" w:rsidRPr="00327EA7" w:rsidRDefault="0035015A">
            <w:pPr>
              <w:widowControl/>
              <w:adjustRightInd w:val="0"/>
              <w:snapToGrid w:val="0"/>
              <w:spacing w:before="120" w:after="60" w:line="276" w:lineRule="auto"/>
              <w:ind w:rightChars="-27" w:right="-57"/>
              <w:jc w:val="center"/>
              <w:rPr>
                <w:rFonts w:ascii="仿宋_GB2312" w:eastAsia="仿宋_GB2312" w:hAnsi="Times New Roman" w:cs="Times New Roman"/>
                <w:kern w:val="0"/>
                <w:sz w:val="28"/>
                <w:szCs w:val="28"/>
              </w:rPr>
            </w:pPr>
            <w:r w:rsidRPr="00327EA7">
              <w:rPr>
                <w:rFonts w:ascii="仿宋_GB2312" w:eastAsia="仿宋_GB2312" w:hAnsi="Times New Roman" w:cs="Times New Roman" w:hint="eastAsia"/>
                <w:kern w:val="0"/>
                <w:sz w:val="28"/>
                <w:szCs w:val="28"/>
              </w:rPr>
              <w:t>综合得分</w:t>
            </w:r>
          </w:p>
        </w:tc>
        <w:tc>
          <w:tcPr>
            <w:tcW w:w="2977" w:type="dxa"/>
            <w:shd w:val="clear" w:color="auto" w:fill="auto"/>
            <w:vAlign w:val="center"/>
          </w:tcPr>
          <w:p w:rsidR="00F60252" w:rsidRPr="00327EA7" w:rsidRDefault="0035015A">
            <w:pPr>
              <w:widowControl/>
              <w:adjustRightInd w:val="0"/>
              <w:snapToGrid w:val="0"/>
              <w:spacing w:line="276" w:lineRule="auto"/>
              <w:ind w:rightChars="-27" w:right="-57"/>
              <w:jc w:val="center"/>
              <w:rPr>
                <w:rFonts w:ascii="仿宋_GB2312" w:eastAsia="仿宋_GB2312" w:hAnsi="Times New Roman" w:cs="Times New Roman"/>
                <w:kern w:val="0"/>
                <w:sz w:val="28"/>
                <w:szCs w:val="28"/>
              </w:rPr>
            </w:pPr>
            <w:r w:rsidRPr="00327EA7">
              <w:rPr>
                <w:rFonts w:ascii="仿宋_GB2312" w:eastAsia="仿宋_GB2312" w:hAnsi="Times New Roman" w:cs="Times New Roman" w:hint="eastAsia"/>
                <w:kern w:val="0"/>
                <w:sz w:val="28"/>
                <w:szCs w:val="28"/>
              </w:rPr>
              <w:t>100</w:t>
            </w:r>
          </w:p>
        </w:tc>
        <w:tc>
          <w:tcPr>
            <w:tcW w:w="2828" w:type="dxa"/>
            <w:shd w:val="clear" w:color="auto" w:fill="auto"/>
            <w:vAlign w:val="center"/>
          </w:tcPr>
          <w:p w:rsidR="00F60252" w:rsidRPr="00327EA7" w:rsidRDefault="0035015A">
            <w:pPr>
              <w:widowControl/>
              <w:adjustRightInd w:val="0"/>
              <w:snapToGrid w:val="0"/>
              <w:spacing w:line="276" w:lineRule="auto"/>
              <w:ind w:rightChars="-27" w:right="-57"/>
              <w:jc w:val="center"/>
              <w:rPr>
                <w:rFonts w:ascii="仿宋_GB2312" w:eastAsia="仿宋_GB2312" w:hAnsi="Times New Roman" w:cs="Times New Roman"/>
                <w:bCs/>
                <w:kern w:val="0"/>
                <w:sz w:val="28"/>
                <w:szCs w:val="28"/>
              </w:rPr>
            </w:pPr>
            <w:r w:rsidRPr="00327EA7">
              <w:rPr>
                <w:rFonts w:ascii="仿宋_GB2312" w:eastAsia="仿宋_GB2312" w:hAnsi="Times New Roman" w:cs="Times New Roman" w:hint="eastAsia"/>
                <w:bCs/>
                <w:color w:val="000000"/>
                <w:kern w:val="0"/>
                <w:sz w:val="30"/>
                <w:szCs w:val="30"/>
              </w:rPr>
              <w:t>84.33</w:t>
            </w:r>
          </w:p>
        </w:tc>
      </w:tr>
      <w:tr w:rsidR="00F60252" w:rsidRPr="00327EA7">
        <w:trPr>
          <w:cantSplit/>
          <w:trHeight w:val="566"/>
          <w:jc w:val="center"/>
        </w:trPr>
        <w:tc>
          <w:tcPr>
            <w:tcW w:w="2972" w:type="dxa"/>
            <w:shd w:val="clear" w:color="auto" w:fill="auto"/>
            <w:vAlign w:val="center"/>
          </w:tcPr>
          <w:p w:rsidR="00F60252" w:rsidRPr="00327EA7" w:rsidRDefault="0035015A">
            <w:pPr>
              <w:widowControl/>
              <w:adjustRightInd w:val="0"/>
              <w:snapToGrid w:val="0"/>
              <w:spacing w:before="120" w:after="60" w:line="276" w:lineRule="auto"/>
              <w:ind w:rightChars="-27" w:right="-57"/>
              <w:jc w:val="center"/>
              <w:rPr>
                <w:rFonts w:ascii="仿宋_GB2312" w:eastAsia="仿宋_GB2312" w:hAnsi="Times New Roman" w:cs="Times New Roman"/>
                <w:kern w:val="0"/>
                <w:sz w:val="28"/>
                <w:szCs w:val="28"/>
              </w:rPr>
            </w:pPr>
            <w:r w:rsidRPr="00327EA7">
              <w:rPr>
                <w:rFonts w:ascii="仿宋_GB2312" w:eastAsia="仿宋_GB2312" w:hAnsi="Times New Roman" w:cs="Times New Roman" w:hint="eastAsia"/>
                <w:kern w:val="0"/>
                <w:sz w:val="28"/>
                <w:szCs w:val="28"/>
              </w:rPr>
              <w:t>绩效评定级别</w:t>
            </w:r>
          </w:p>
        </w:tc>
        <w:tc>
          <w:tcPr>
            <w:tcW w:w="5805" w:type="dxa"/>
            <w:gridSpan w:val="2"/>
            <w:shd w:val="clear" w:color="auto" w:fill="auto"/>
            <w:vAlign w:val="center"/>
          </w:tcPr>
          <w:p w:rsidR="00F60252" w:rsidRPr="00327EA7" w:rsidRDefault="0035015A">
            <w:pPr>
              <w:widowControl/>
              <w:adjustRightInd w:val="0"/>
              <w:snapToGrid w:val="0"/>
              <w:spacing w:line="276" w:lineRule="auto"/>
              <w:ind w:rightChars="-27" w:right="-57"/>
              <w:jc w:val="center"/>
              <w:rPr>
                <w:rFonts w:ascii="仿宋_GB2312" w:eastAsia="仿宋_GB2312" w:hAnsi="Times New Roman" w:cs="Times New Roman"/>
                <w:kern w:val="0"/>
                <w:sz w:val="28"/>
                <w:szCs w:val="28"/>
              </w:rPr>
            </w:pPr>
            <w:r w:rsidRPr="00327EA7">
              <w:rPr>
                <w:rFonts w:ascii="仿宋_GB2312" w:eastAsia="仿宋_GB2312" w:hAnsi="Times New Roman" w:cs="Times New Roman" w:hint="eastAsia"/>
                <w:kern w:val="0"/>
                <w:sz w:val="28"/>
                <w:szCs w:val="28"/>
              </w:rPr>
              <w:t>良</w:t>
            </w:r>
          </w:p>
        </w:tc>
      </w:tr>
    </w:tbl>
    <w:p w:rsidR="00327EA7" w:rsidRDefault="00327EA7">
      <w:pPr>
        <w:spacing w:line="600" w:lineRule="exact"/>
        <w:ind w:leftChars="50" w:left="105" w:firstLineChars="150" w:firstLine="480"/>
        <w:outlineLvl w:val="1"/>
        <w:rPr>
          <w:rFonts w:ascii="楷体_GB2312" w:eastAsia="楷体_GB2312" w:hAnsi="Times New Roman" w:cs="Times New Roman"/>
          <w:sz w:val="32"/>
          <w:szCs w:val="32"/>
        </w:rPr>
      </w:pPr>
      <w:bookmarkStart w:id="20" w:name="_Toc15075"/>
    </w:p>
    <w:p w:rsidR="00F60252" w:rsidRDefault="0035015A">
      <w:pPr>
        <w:spacing w:line="600" w:lineRule="exact"/>
        <w:ind w:leftChars="50" w:left="105" w:firstLineChars="150" w:firstLine="480"/>
        <w:outlineLvl w:val="1"/>
        <w:rPr>
          <w:rFonts w:ascii="楷体_GB2312" w:eastAsia="楷体_GB2312" w:hAnsi="Times New Roman" w:cs="Times New Roman"/>
          <w:sz w:val="32"/>
          <w:szCs w:val="32"/>
        </w:rPr>
      </w:pPr>
      <w:r>
        <w:rPr>
          <w:rFonts w:ascii="楷体_GB2312" w:eastAsia="楷体_GB2312" w:hAnsi="Times New Roman" w:cs="Times New Roman" w:hint="eastAsia"/>
          <w:sz w:val="32"/>
          <w:szCs w:val="32"/>
        </w:rPr>
        <w:lastRenderedPageBreak/>
        <w:t>（二）存在的问题及原因分析</w:t>
      </w:r>
      <w:bookmarkEnd w:id="20"/>
    </w:p>
    <w:p w:rsidR="00F60252" w:rsidRDefault="0035015A">
      <w:pPr>
        <w:numPr>
          <w:ilvl w:val="0"/>
          <w:numId w:val="5"/>
        </w:numPr>
        <w:spacing w:line="600" w:lineRule="exact"/>
        <w:ind w:leftChars="200" w:left="420" w:firstLineChars="100" w:firstLine="32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预算执行情况</w:t>
      </w:r>
    </w:p>
    <w:p w:rsidR="00F60252" w:rsidRDefault="0035015A">
      <w:pPr>
        <w:spacing w:line="600" w:lineRule="exact"/>
        <w:ind w:firstLineChars="200" w:firstLine="640"/>
        <w:rPr>
          <w:rFonts w:ascii="仿宋_GB2312" w:eastAsia="仿宋_GB2312" w:hAnsi="宋体" w:cs="宋体"/>
          <w:color w:val="000000"/>
          <w:kern w:val="0"/>
          <w:sz w:val="32"/>
          <w:szCs w:val="32"/>
        </w:rPr>
      </w:pPr>
      <w:r w:rsidRPr="00327EA7">
        <w:rPr>
          <w:rFonts w:ascii="仿宋_GB2312" w:eastAsia="仿宋_GB2312" w:hAnsi="宋体" w:cs="宋体" w:hint="eastAsia"/>
          <w:bCs/>
          <w:color w:val="000000"/>
          <w:kern w:val="0"/>
          <w:sz w:val="32"/>
          <w:szCs w:val="32"/>
        </w:rPr>
        <w:t>（1）部门整体绩效目标表中的指标内容细化程度不足，预算编制精细化程度不够。如：</w:t>
      </w:r>
      <w:r>
        <w:rPr>
          <w:rFonts w:ascii="仿宋_GB2312" w:eastAsia="仿宋_GB2312" w:hAnsi="宋体" w:cs="宋体" w:hint="eastAsia"/>
          <w:color w:val="000000"/>
          <w:kern w:val="0"/>
          <w:sz w:val="32"/>
          <w:szCs w:val="32"/>
        </w:rPr>
        <w:t>在部门整体绩效目标表中未设置细化的绩效指标，对后续的可考量性不足；在预算编制过程中，存在编报不细的问题，预算绩效管理意识有待提高。</w:t>
      </w:r>
    </w:p>
    <w:p w:rsidR="00F60252" w:rsidRDefault="0035015A">
      <w:pPr>
        <w:spacing w:line="600" w:lineRule="exact"/>
        <w:ind w:firstLineChars="200" w:firstLine="640"/>
        <w:rPr>
          <w:rFonts w:ascii="仿宋_GB2312" w:eastAsia="仿宋_GB2312" w:hAnsi="宋体" w:cs="宋体"/>
          <w:color w:val="000000"/>
          <w:kern w:val="0"/>
          <w:sz w:val="32"/>
          <w:szCs w:val="32"/>
        </w:rPr>
      </w:pPr>
      <w:r w:rsidRPr="00327EA7">
        <w:rPr>
          <w:rFonts w:ascii="仿宋_GB2312" w:eastAsia="仿宋_GB2312" w:hAnsi="宋体" w:cs="宋体" w:hint="eastAsia"/>
          <w:bCs/>
          <w:color w:val="000000"/>
          <w:kern w:val="0"/>
          <w:sz w:val="32"/>
          <w:szCs w:val="32"/>
        </w:rPr>
        <w:t>（2</w:t>
      </w:r>
      <w:r w:rsidR="00327EA7">
        <w:rPr>
          <w:rFonts w:ascii="仿宋_GB2312" w:eastAsia="仿宋_GB2312" w:hAnsi="宋体" w:cs="宋体" w:hint="eastAsia"/>
          <w:bCs/>
          <w:color w:val="000000"/>
          <w:kern w:val="0"/>
          <w:sz w:val="32"/>
          <w:szCs w:val="32"/>
        </w:rPr>
        <w:t>）个别项目执行进度缓慢，预算执行率较低。如:</w:t>
      </w:r>
      <w:r>
        <w:rPr>
          <w:rFonts w:ascii="仿宋_GB2312" w:eastAsia="仿宋_GB2312" w:hAnsi="宋体" w:cs="宋体" w:hint="eastAsia"/>
          <w:color w:val="000000"/>
          <w:kern w:val="0"/>
          <w:sz w:val="32"/>
          <w:szCs w:val="32"/>
        </w:rPr>
        <w:t>“属地互联网企业党员培训及管理经费”项目，由于受疫情影响，实际参加人数、活动场次等均有调整，部分线下相关活动未开展，导致相应经费未支出。</w:t>
      </w:r>
    </w:p>
    <w:p w:rsidR="00F60252" w:rsidRDefault="0035015A">
      <w:pPr>
        <w:spacing w:line="600" w:lineRule="exact"/>
        <w:ind w:firstLineChars="200" w:firstLine="640"/>
        <w:rPr>
          <w:rFonts w:ascii="仿宋_GB2312" w:eastAsia="仿宋_GB2312" w:hAnsi="宋体" w:cs="宋体"/>
          <w:color w:val="000000"/>
          <w:kern w:val="0"/>
          <w:sz w:val="32"/>
          <w:szCs w:val="32"/>
        </w:rPr>
      </w:pPr>
      <w:r w:rsidRPr="00327EA7">
        <w:rPr>
          <w:rFonts w:ascii="仿宋_GB2312" w:eastAsia="仿宋_GB2312" w:hAnsi="宋体" w:cs="宋体" w:hint="eastAsia"/>
          <w:bCs/>
          <w:color w:val="000000"/>
          <w:kern w:val="0"/>
          <w:sz w:val="32"/>
          <w:szCs w:val="32"/>
        </w:rPr>
        <w:t>（3</w:t>
      </w:r>
      <w:r w:rsidR="00327EA7">
        <w:rPr>
          <w:rFonts w:ascii="仿宋_GB2312" w:eastAsia="仿宋_GB2312" w:hAnsi="宋体" w:cs="宋体" w:hint="eastAsia"/>
          <w:bCs/>
          <w:color w:val="000000"/>
          <w:kern w:val="0"/>
          <w:sz w:val="32"/>
          <w:szCs w:val="32"/>
        </w:rPr>
        <w:t>）部分项目未制定相应实施计划、实施方案。如:</w:t>
      </w:r>
      <w:r w:rsidRPr="00327EA7">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购买信息产品、数据等服务费”项目、“北京市网络安全工作责任制落实情况检查工作（暨重要业务系统网络安全检查工作）经费”等项目，未充分结合本年工作实际情况，完善项目年初计划、实施方案等。</w:t>
      </w:r>
    </w:p>
    <w:p w:rsidR="00F60252" w:rsidRDefault="0035015A">
      <w:pPr>
        <w:spacing w:line="600" w:lineRule="exact"/>
        <w:ind w:leftChars="200" w:left="420" w:firstLineChars="100" w:firstLine="32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color w:val="000000"/>
          <w:kern w:val="0"/>
          <w:sz w:val="32"/>
          <w:szCs w:val="32"/>
        </w:rPr>
        <w:t>目标实现情况</w:t>
      </w:r>
    </w:p>
    <w:p w:rsidR="00F60252" w:rsidRDefault="0035015A">
      <w:pPr>
        <w:spacing w:line="600" w:lineRule="exact"/>
        <w:ind w:firstLineChars="200" w:firstLine="640"/>
        <w:rPr>
          <w:rFonts w:ascii="仿宋_GB2312" w:eastAsia="仿宋_GB2312" w:hAnsi="宋体" w:cs="宋体"/>
          <w:color w:val="000000"/>
          <w:kern w:val="0"/>
          <w:sz w:val="32"/>
          <w:szCs w:val="32"/>
        </w:rPr>
      </w:pPr>
      <w:r w:rsidRPr="00327EA7">
        <w:rPr>
          <w:rFonts w:ascii="仿宋_GB2312" w:eastAsia="仿宋_GB2312" w:hAnsi="宋体" w:cs="宋体" w:hint="eastAsia"/>
          <w:bCs/>
          <w:color w:val="000000"/>
          <w:kern w:val="0"/>
          <w:sz w:val="32"/>
          <w:szCs w:val="32"/>
        </w:rPr>
        <w:t>（1）部分项目绩效目标设定不够规范。如：</w:t>
      </w:r>
      <w:r>
        <w:rPr>
          <w:rFonts w:ascii="仿宋_GB2312" w:eastAsia="仿宋_GB2312" w:hAnsi="宋体" w:cs="宋体" w:hint="eastAsia"/>
          <w:color w:val="000000"/>
          <w:kern w:val="0"/>
          <w:sz w:val="32"/>
          <w:szCs w:val="32"/>
        </w:rPr>
        <w:t>“北京市网络安全工作责任制落实情况检查工作（暨重要业务系统网络安全检查工作）经费”、“互联网内容建设、舆论研究和信息管理工作调研经费”等项目，年初数量指标及效益指标的指标值设定偏低、缺少质量指标设定、时效指标考虑不够全面等。</w:t>
      </w:r>
    </w:p>
    <w:p w:rsidR="00F60252" w:rsidRDefault="0035015A">
      <w:pPr>
        <w:spacing w:line="600" w:lineRule="exact"/>
        <w:ind w:firstLineChars="200" w:firstLine="640"/>
        <w:rPr>
          <w:rFonts w:ascii="仿宋_GB2312" w:eastAsia="仿宋_GB2312" w:hAnsi="宋体" w:cs="宋体"/>
          <w:color w:val="000000"/>
          <w:kern w:val="0"/>
          <w:sz w:val="32"/>
          <w:szCs w:val="32"/>
        </w:rPr>
      </w:pPr>
      <w:r w:rsidRPr="00327EA7">
        <w:rPr>
          <w:rFonts w:ascii="仿宋_GB2312" w:eastAsia="仿宋_GB2312" w:hAnsi="宋体" w:cs="宋体" w:hint="eastAsia"/>
          <w:bCs/>
          <w:color w:val="000000"/>
          <w:kern w:val="0"/>
          <w:sz w:val="32"/>
          <w:szCs w:val="32"/>
        </w:rPr>
        <w:t>（2）反映部门产出效果的相关绩效资料不够完整。具体为：</w:t>
      </w:r>
      <w:r>
        <w:rPr>
          <w:rFonts w:ascii="仿宋_GB2312" w:eastAsia="仿宋_GB2312" w:hAnsi="宋体" w:cs="宋体" w:hint="eastAsia"/>
          <w:color w:val="000000"/>
          <w:kern w:val="0"/>
          <w:sz w:val="32"/>
          <w:szCs w:val="32"/>
        </w:rPr>
        <w:lastRenderedPageBreak/>
        <w:t>项目实施成果绩效材料收集、整理、分析，成果留痕工作有待进一步加强，如：“传统节日文化传承推广工作网络传播项目工作经费”、“互联网内容建设、舆论研究和信息管理工作调研经费”等项目，进一步加强对成果的分析与整理工作。</w:t>
      </w:r>
    </w:p>
    <w:p w:rsidR="00F60252" w:rsidRDefault="0035015A">
      <w:pPr>
        <w:spacing w:line="600" w:lineRule="exact"/>
        <w:ind w:leftChars="200" w:left="420" w:firstLineChars="100" w:firstLine="32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Pr>
          <w:rFonts w:ascii="仿宋_GB2312" w:eastAsia="仿宋_GB2312" w:hAnsi="宋体" w:cs="宋体"/>
          <w:color w:val="000000"/>
          <w:kern w:val="0"/>
          <w:sz w:val="32"/>
          <w:szCs w:val="32"/>
        </w:rPr>
        <w:t>预算管理情况</w:t>
      </w:r>
    </w:p>
    <w:p w:rsidR="00F60252" w:rsidRDefault="0035015A">
      <w:pPr>
        <w:spacing w:line="600" w:lineRule="exact"/>
        <w:ind w:firstLineChars="200" w:firstLine="640"/>
        <w:rPr>
          <w:rFonts w:ascii="仿宋_GB2312" w:eastAsia="仿宋_GB2312" w:hAnsi="宋体" w:cs="宋体"/>
          <w:color w:val="000000"/>
          <w:kern w:val="0"/>
          <w:sz w:val="32"/>
          <w:szCs w:val="32"/>
        </w:rPr>
      </w:pPr>
      <w:r w:rsidRPr="00327EA7">
        <w:rPr>
          <w:rFonts w:ascii="仿宋_GB2312" w:eastAsia="仿宋_GB2312" w:hAnsi="宋体" w:cs="宋体" w:hint="eastAsia"/>
          <w:bCs/>
          <w:color w:val="000000"/>
          <w:kern w:val="0"/>
          <w:sz w:val="32"/>
          <w:szCs w:val="32"/>
        </w:rPr>
        <w:t>（1）资产定期盘点制度执行不到位</w:t>
      </w:r>
      <w:r w:rsidRPr="00327EA7">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未定期进行资产盘点，导致部分资产管理没有落实到使用人、使用部门；由于固定资产使用部门分散、变化快、互联网信息化设备多，导致资产管理信息更新不及时。</w:t>
      </w:r>
    </w:p>
    <w:p w:rsidR="00F60252" w:rsidRDefault="0035015A">
      <w:pPr>
        <w:spacing w:line="600" w:lineRule="exact"/>
        <w:ind w:firstLineChars="200" w:firstLine="640"/>
        <w:rPr>
          <w:rFonts w:ascii="仿宋_GB2312" w:eastAsia="仿宋_GB2312" w:hAnsi="宋体" w:cs="宋体"/>
          <w:color w:val="000000"/>
          <w:kern w:val="0"/>
          <w:sz w:val="32"/>
          <w:szCs w:val="32"/>
        </w:rPr>
      </w:pPr>
      <w:r w:rsidRPr="00327EA7">
        <w:rPr>
          <w:rFonts w:ascii="仿宋_GB2312" w:eastAsia="仿宋_GB2312" w:hAnsi="宋体" w:cs="宋体" w:hint="eastAsia"/>
          <w:bCs/>
          <w:color w:val="000000"/>
          <w:kern w:val="0"/>
          <w:sz w:val="32"/>
          <w:szCs w:val="32"/>
        </w:rPr>
        <w:t>（2）预算绩效管理意识不够强。</w:t>
      </w:r>
      <w:r>
        <w:rPr>
          <w:rFonts w:ascii="仿宋_GB2312" w:eastAsia="仿宋_GB2312" w:hAnsi="宋体" w:cs="宋体" w:hint="eastAsia"/>
          <w:color w:val="000000"/>
          <w:kern w:val="0"/>
          <w:sz w:val="32"/>
          <w:szCs w:val="32"/>
        </w:rPr>
        <w:t>项目在资金调整时，未及时调整绩效目标，如：“属地互联网企业党员培训及管理经费”项目，受新冠疫情影响，相关线下的活动、培训等均未开展，项目资金调整后，未调整相应绩效指标。</w:t>
      </w:r>
    </w:p>
    <w:p w:rsidR="00F60252" w:rsidRDefault="0035015A">
      <w:pPr>
        <w:spacing w:line="600" w:lineRule="exact"/>
        <w:ind w:firstLineChars="200" w:firstLine="640"/>
        <w:outlineLvl w:val="0"/>
        <w:rPr>
          <w:rFonts w:ascii="黑体" w:eastAsia="黑体" w:hAnsi="黑体" w:cs="宋体"/>
          <w:color w:val="000000"/>
          <w:kern w:val="0"/>
          <w:sz w:val="32"/>
          <w:szCs w:val="32"/>
        </w:rPr>
      </w:pPr>
      <w:bookmarkStart w:id="21" w:name="_Toc13341"/>
      <w:r>
        <w:rPr>
          <w:rFonts w:ascii="黑体" w:eastAsia="黑体" w:hAnsi="黑体" w:cs="宋体" w:hint="eastAsia"/>
          <w:color w:val="000000"/>
          <w:kern w:val="0"/>
          <w:sz w:val="32"/>
          <w:szCs w:val="32"/>
        </w:rPr>
        <w:t>六、措施建议</w:t>
      </w:r>
      <w:bookmarkEnd w:id="21"/>
    </w:p>
    <w:p w:rsidR="00F60252" w:rsidRDefault="0035015A">
      <w:pPr>
        <w:spacing w:line="600" w:lineRule="exact"/>
        <w:ind w:leftChars="200" w:left="420" w:firstLineChars="100" w:firstLine="320"/>
        <w:outlineLvl w:val="1"/>
        <w:rPr>
          <w:rFonts w:ascii="仿宋_GB2312" w:eastAsia="仿宋_GB2312" w:hAnsi="宋体" w:cs="宋体"/>
          <w:color w:val="000000"/>
          <w:kern w:val="0"/>
          <w:sz w:val="32"/>
          <w:szCs w:val="32"/>
        </w:rPr>
      </w:pPr>
      <w:bookmarkStart w:id="22" w:name="_Toc26962"/>
      <w:bookmarkStart w:id="23" w:name="_Toc1889"/>
      <w:r>
        <w:rPr>
          <w:rFonts w:ascii="仿宋_GB2312" w:eastAsia="仿宋_GB2312" w:hAnsi="宋体" w:cs="宋体" w:hint="eastAsia"/>
          <w:color w:val="000000"/>
          <w:kern w:val="0"/>
          <w:sz w:val="32"/>
          <w:szCs w:val="32"/>
        </w:rPr>
        <w:t>1、预算执行情况</w:t>
      </w:r>
      <w:bookmarkEnd w:id="22"/>
      <w:bookmarkEnd w:id="23"/>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color w:val="000000"/>
          <w:kern w:val="0"/>
          <w:sz w:val="32"/>
          <w:szCs w:val="32"/>
        </w:rPr>
        <w:t>提高</w:t>
      </w:r>
      <w:r>
        <w:rPr>
          <w:rFonts w:ascii="仿宋_GB2312" w:eastAsia="仿宋_GB2312" w:hAnsi="宋体" w:cs="宋体" w:hint="eastAsia"/>
          <w:color w:val="000000"/>
          <w:kern w:val="0"/>
          <w:sz w:val="32"/>
          <w:szCs w:val="32"/>
        </w:rPr>
        <w:t>部门整体</w:t>
      </w:r>
      <w:r>
        <w:rPr>
          <w:rFonts w:ascii="仿宋_GB2312" w:eastAsia="仿宋_GB2312" w:hAnsi="宋体" w:cs="宋体"/>
          <w:color w:val="000000"/>
          <w:kern w:val="0"/>
          <w:sz w:val="32"/>
          <w:szCs w:val="32"/>
        </w:rPr>
        <w:t>绩效目标设定水平。科学、合理、规范</w:t>
      </w:r>
      <w:r>
        <w:rPr>
          <w:rFonts w:ascii="仿宋_GB2312" w:eastAsia="仿宋_GB2312" w:hAnsi="宋体" w:cs="宋体" w:hint="eastAsia"/>
          <w:color w:val="000000"/>
          <w:kern w:val="0"/>
          <w:sz w:val="32"/>
          <w:szCs w:val="32"/>
        </w:rPr>
        <w:t>的设定</w:t>
      </w:r>
      <w:r>
        <w:rPr>
          <w:rFonts w:ascii="仿宋_GB2312" w:eastAsia="仿宋_GB2312" w:hAnsi="宋体" w:cs="宋体"/>
          <w:color w:val="000000"/>
          <w:kern w:val="0"/>
          <w:sz w:val="32"/>
          <w:szCs w:val="32"/>
        </w:rPr>
        <w:t>部门绩效目标，以部门的职能定位和年度工作任务作为切入点，全面反映部门绩效</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并将各相关职能（或工作）内容反映在分项指标中，将要进行的工作按照数量、质量、进度</w:t>
      </w:r>
      <w:r>
        <w:rPr>
          <w:rFonts w:ascii="仿宋_GB2312" w:eastAsia="仿宋_GB2312" w:hAnsi="宋体" w:cs="宋体" w:hint="eastAsia"/>
          <w:color w:val="000000"/>
          <w:kern w:val="0"/>
          <w:sz w:val="32"/>
          <w:szCs w:val="32"/>
        </w:rPr>
        <w:t>等内容</w:t>
      </w:r>
      <w:r>
        <w:rPr>
          <w:rFonts w:ascii="仿宋_GB2312" w:eastAsia="仿宋_GB2312" w:hAnsi="宋体" w:cs="宋体"/>
          <w:color w:val="000000"/>
          <w:kern w:val="0"/>
          <w:sz w:val="32"/>
          <w:szCs w:val="32"/>
        </w:rPr>
        <w:t>确定，提升各项指标的完整性和可考量性。</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（2）</w:t>
      </w:r>
      <w:r>
        <w:rPr>
          <w:rFonts w:ascii="仿宋_GB2312" w:eastAsia="仿宋_GB2312" w:hAnsi="宋体" w:cs="宋体" w:hint="eastAsia"/>
          <w:color w:val="000000"/>
          <w:kern w:val="0"/>
          <w:sz w:val="32"/>
          <w:szCs w:val="32"/>
        </w:rPr>
        <w:t>进一步</w:t>
      </w:r>
      <w:r>
        <w:rPr>
          <w:rFonts w:ascii="仿宋_GB2312" w:eastAsia="仿宋_GB2312" w:hAnsi="宋体" w:cs="宋体"/>
          <w:color w:val="000000"/>
          <w:kern w:val="0"/>
          <w:sz w:val="32"/>
          <w:szCs w:val="32"/>
        </w:rPr>
        <w:t>落实预算绩效管理的要求。注重项目绩效目标与年度重点计划的明确相关性，完善客观需求的分析，结合项目</w:t>
      </w:r>
      <w:r>
        <w:rPr>
          <w:rFonts w:ascii="仿宋_GB2312" w:eastAsia="仿宋_GB2312" w:hAnsi="宋体" w:cs="宋体"/>
          <w:color w:val="000000"/>
          <w:kern w:val="0"/>
          <w:sz w:val="32"/>
          <w:szCs w:val="32"/>
        </w:rPr>
        <w:lastRenderedPageBreak/>
        <w:t>年度计划明确项目内容构成、进度安排、资金分配等。</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sidR="005E513D">
        <w:rPr>
          <w:rFonts w:ascii="仿宋_GB2312" w:eastAsia="仿宋_GB2312" w:hAnsi="宋体" w:cs="宋体" w:hint="eastAsia"/>
          <w:color w:val="000000"/>
          <w:kern w:val="0"/>
          <w:sz w:val="32"/>
          <w:szCs w:val="32"/>
        </w:rPr>
        <w:t>）科学细化编制预算，提高预算编制的准确性。</w:t>
      </w:r>
      <w:r>
        <w:rPr>
          <w:rFonts w:ascii="仿宋_GB2312" w:eastAsia="仿宋_GB2312" w:hAnsi="宋体" w:cs="宋体" w:hint="eastAsia"/>
          <w:color w:val="000000"/>
          <w:kern w:val="0"/>
          <w:sz w:val="32"/>
          <w:szCs w:val="32"/>
        </w:rPr>
        <w:t>严格按照财政预算管理的要求，牢固树立过“紧日子”思想，可结合以前年度完成情况，明确本年工作的具体内容，将预算编制做到内容详实准确，测算过程明晰；有针对性地安排预算，保证预算编制科学合理、严谨严肃。</w:t>
      </w:r>
    </w:p>
    <w:p w:rsidR="00F60252" w:rsidRDefault="0035015A">
      <w:pPr>
        <w:spacing w:line="600" w:lineRule="exact"/>
        <w:ind w:firstLineChars="200" w:firstLine="640"/>
        <w:outlineLvl w:val="1"/>
        <w:rPr>
          <w:rFonts w:ascii="仿宋_GB2312" w:eastAsia="仿宋_GB2312" w:hAnsi="宋体" w:cs="宋体"/>
          <w:color w:val="000000"/>
          <w:kern w:val="0"/>
          <w:sz w:val="32"/>
          <w:szCs w:val="32"/>
        </w:rPr>
      </w:pPr>
      <w:bookmarkStart w:id="24" w:name="_Toc15737"/>
      <w:bookmarkStart w:id="25" w:name="_Toc9675"/>
      <w:r>
        <w:rPr>
          <w:rFonts w:ascii="仿宋_GB2312" w:eastAsia="仿宋_GB2312" w:hAnsi="宋体" w:cs="宋体"/>
          <w:color w:val="000000"/>
          <w:kern w:val="0"/>
          <w:sz w:val="32"/>
          <w:szCs w:val="32"/>
        </w:rPr>
        <w:t>2、目标实现情况</w:t>
      </w:r>
      <w:bookmarkEnd w:id="24"/>
      <w:bookmarkEnd w:id="25"/>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（1）科学编制项目绩效目标表指标，提高绩效指标的可考量性。建议健全项目绩效目标，并设置符合指向明确、细化量化、合理可行、相应匹配的指标要求。</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（2）加强反映整体及项目绩效成果的资料收集展现工作。及时归集绩效资料，并进行统计分析，进一步扩大对项目绩效成果的应用，提高财政资金使用效益。</w:t>
      </w:r>
    </w:p>
    <w:p w:rsidR="00F60252" w:rsidRDefault="0035015A">
      <w:pPr>
        <w:spacing w:line="600" w:lineRule="exact"/>
        <w:ind w:firstLineChars="200" w:firstLine="640"/>
        <w:outlineLvl w:val="1"/>
        <w:rPr>
          <w:rFonts w:ascii="仿宋_GB2312" w:eastAsia="仿宋_GB2312" w:hAnsi="宋体" w:cs="宋体"/>
          <w:color w:val="000000"/>
          <w:kern w:val="0"/>
          <w:sz w:val="32"/>
          <w:szCs w:val="32"/>
        </w:rPr>
      </w:pPr>
      <w:bookmarkStart w:id="26" w:name="_Toc20672"/>
      <w:bookmarkStart w:id="27" w:name="_Toc8799"/>
      <w:r>
        <w:rPr>
          <w:rFonts w:ascii="仿宋_GB2312" w:eastAsia="仿宋_GB2312" w:hAnsi="宋体" w:cs="宋体"/>
          <w:color w:val="000000"/>
          <w:kern w:val="0"/>
          <w:sz w:val="32"/>
          <w:szCs w:val="32"/>
        </w:rPr>
        <w:t>3、预算管理情况</w:t>
      </w:r>
      <w:bookmarkEnd w:id="26"/>
      <w:bookmarkEnd w:id="27"/>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规范对资产的管理，严格按照《资产管理办法》明确职责和管理人员，定期进行资产盘点工作。对验收合格的固定资产，应及时办理入库、编号、贴签、登记、调配等手续；对存放在办外的资产，明确存放的必要性和职责管理部门和日常管理方式。</w:t>
      </w:r>
    </w:p>
    <w:p w:rsidR="00F60252" w:rsidRDefault="0035015A">
      <w:pPr>
        <w:spacing w:line="60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（2）提高预算绩效管理意识，加强项目绩效管理，确保项目预期计划按期完成。项目执行过程中，确因客观原因需调整项目内容，应严格履行项目调整审批手续，在预算调整同时加强绩</w:t>
      </w:r>
      <w:r>
        <w:rPr>
          <w:rFonts w:ascii="仿宋_GB2312" w:eastAsia="仿宋_GB2312" w:hAnsi="宋体" w:cs="宋体" w:hint="eastAsia"/>
          <w:color w:val="000000"/>
          <w:kern w:val="0"/>
          <w:sz w:val="32"/>
          <w:szCs w:val="32"/>
        </w:rPr>
        <w:lastRenderedPageBreak/>
        <w:t>效目标调整。</w:t>
      </w:r>
    </w:p>
    <w:p w:rsidR="00F60252" w:rsidRDefault="00F60252">
      <w:pPr>
        <w:spacing w:line="600" w:lineRule="exact"/>
        <w:ind w:firstLineChars="200" w:firstLine="640"/>
        <w:rPr>
          <w:rFonts w:ascii="仿宋_GB2312" w:eastAsia="仿宋_GB2312" w:hAnsi="宋体" w:cs="宋体"/>
          <w:color w:val="000000"/>
          <w:kern w:val="0"/>
          <w:sz w:val="32"/>
          <w:szCs w:val="32"/>
        </w:rPr>
      </w:pPr>
    </w:p>
    <w:p w:rsidR="00F60252" w:rsidRDefault="0035015A">
      <w:pPr>
        <w:spacing w:line="600" w:lineRule="exact"/>
        <w:rPr>
          <w:rFonts w:ascii="仿宋_GB2312" w:eastAsia="仿宋_GB2312" w:hAnsi="宋体" w:cs="宋体"/>
          <w:color w:val="000000"/>
          <w:kern w:val="0"/>
          <w:sz w:val="32"/>
          <w:szCs w:val="32"/>
        </w:rPr>
      </w:pPr>
      <w:bookmarkStart w:id="28" w:name="_Toc22928"/>
      <w:bookmarkStart w:id="29" w:name="_Toc22851"/>
      <w:bookmarkStart w:id="30" w:name="_Toc19445"/>
      <w:r>
        <w:rPr>
          <w:rFonts w:ascii="仿宋_GB2312" w:eastAsia="仿宋_GB2312" w:hAnsi="宋体" w:cs="宋体" w:hint="eastAsia"/>
          <w:color w:val="000000"/>
          <w:kern w:val="0"/>
          <w:sz w:val="32"/>
          <w:szCs w:val="32"/>
        </w:rPr>
        <w:t>附件：1.2021年部门收入支出情况决算表</w:t>
      </w:r>
      <w:bookmarkEnd w:id="28"/>
      <w:bookmarkEnd w:id="29"/>
      <w:bookmarkEnd w:id="30"/>
    </w:p>
    <w:p w:rsidR="00F60252" w:rsidRDefault="0035015A">
      <w:pPr>
        <w:spacing w:line="600" w:lineRule="exact"/>
        <w:ind w:firstLineChars="300" w:firstLine="96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2.部门绩效目标完成情况表</w:t>
      </w:r>
    </w:p>
    <w:p w:rsidR="00F60252" w:rsidRDefault="0035015A">
      <w:pPr>
        <w:spacing w:line="600" w:lineRule="exact"/>
        <w:ind w:firstLineChars="300" w:firstLine="96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3.评价指标体系及打分情况表</w:t>
      </w:r>
    </w:p>
    <w:p w:rsidR="00F60252" w:rsidRDefault="00F60252">
      <w:pPr>
        <w:spacing w:line="600" w:lineRule="exact"/>
        <w:rPr>
          <w:rFonts w:ascii="仿宋_GB2312" w:eastAsia="仿宋_GB2312" w:hAnsi="宋体" w:cs="宋体"/>
          <w:color w:val="000000"/>
          <w:kern w:val="0"/>
          <w:sz w:val="32"/>
          <w:szCs w:val="32"/>
        </w:rPr>
      </w:pPr>
    </w:p>
    <w:p w:rsidR="00F60252" w:rsidRDefault="00F60252">
      <w:pPr>
        <w:spacing w:line="600" w:lineRule="exact"/>
        <w:rPr>
          <w:rFonts w:ascii="仿宋_GB2312" w:eastAsia="仿宋_GB2312" w:hAnsi="宋体" w:cs="宋体"/>
          <w:color w:val="000000"/>
          <w:kern w:val="0"/>
          <w:sz w:val="32"/>
          <w:szCs w:val="32"/>
        </w:rPr>
      </w:pPr>
    </w:p>
    <w:p w:rsidR="00F60252" w:rsidRDefault="00F60252">
      <w:pPr>
        <w:spacing w:line="600" w:lineRule="exact"/>
        <w:rPr>
          <w:rFonts w:ascii="仿宋_GB2312" w:eastAsia="仿宋_GB2312" w:hAnsi="宋体" w:cs="宋体"/>
          <w:color w:val="000000"/>
          <w:kern w:val="0"/>
          <w:sz w:val="32"/>
          <w:szCs w:val="32"/>
        </w:rPr>
        <w:sectPr w:rsidR="00F60252">
          <w:footerReference w:type="default" r:id="rId10"/>
          <w:pgSz w:w="11906" w:h="16838"/>
          <w:pgMar w:top="1911" w:right="1474" w:bottom="1418" w:left="1588" w:header="851" w:footer="992" w:gutter="0"/>
          <w:pgNumType w:start="1"/>
          <w:cols w:space="720"/>
          <w:docGrid w:type="lines" w:linePitch="312"/>
        </w:sectPr>
      </w:pPr>
    </w:p>
    <w:p w:rsidR="00F60252" w:rsidRDefault="0035015A">
      <w:pPr>
        <w:spacing w:line="600" w:lineRule="exact"/>
        <w:rPr>
          <w:rFonts w:ascii="仿宋_GB2312" w:eastAsia="仿宋_GB2312" w:hAnsi="宋体" w:cs="宋体"/>
          <w:color w:val="000000"/>
          <w:kern w:val="0"/>
          <w:sz w:val="32"/>
          <w:szCs w:val="32"/>
        </w:rPr>
      </w:pPr>
      <w:bookmarkStart w:id="31" w:name="_Toc26571"/>
      <w:bookmarkStart w:id="32" w:name="_Toc9346"/>
      <w:bookmarkStart w:id="33" w:name="_Toc31242"/>
      <w:r>
        <w:rPr>
          <w:rFonts w:ascii="仿宋_GB2312" w:eastAsia="仿宋_GB2312" w:hAnsi="宋体" w:cs="宋体" w:hint="eastAsia"/>
          <w:color w:val="000000"/>
          <w:kern w:val="0"/>
          <w:sz w:val="32"/>
          <w:szCs w:val="32"/>
        </w:rPr>
        <w:lastRenderedPageBreak/>
        <w:t>附件1</w:t>
      </w:r>
      <w:bookmarkEnd w:id="31"/>
      <w:bookmarkEnd w:id="32"/>
      <w:bookmarkEnd w:id="33"/>
    </w:p>
    <w:p w:rsidR="00F60252" w:rsidRDefault="0035015A">
      <w:pPr>
        <w:rPr>
          <w:rFonts w:ascii="仿宋_GB2312" w:eastAsia="仿宋_GB2312" w:hAnsi="宋体" w:cs="宋体"/>
          <w:color w:val="000000"/>
          <w:kern w:val="0"/>
          <w:sz w:val="32"/>
          <w:szCs w:val="32"/>
        </w:rPr>
      </w:pPr>
      <w:r>
        <w:rPr>
          <w:noProof/>
        </w:rPr>
        <w:drawing>
          <wp:inline distT="0" distB="0" distL="114300" distR="114300">
            <wp:extent cx="8564245" cy="4453255"/>
            <wp:effectExtent l="0" t="0" r="825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8564245" cy="4453255"/>
                    </a:xfrm>
                    <a:prstGeom prst="rect">
                      <a:avLst/>
                    </a:prstGeom>
                    <a:noFill/>
                    <a:ln>
                      <a:noFill/>
                    </a:ln>
                  </pic:spPr>
                </pic:pic>
              </a:graphicData>
            </a:graphic>
          </wp:inline>
        </w:drawing>
      </w:r>
      <w:r>
        <w:rPr>
          <w:rFonts w:ascii="仿宋_GB2312" w:eastAsia="仿宋_GB2312" w:hAnsi="宋体" w:cs="宋体" w:hint="eastAsia"/>
          <w:color w:val="000000"/>
          <w:kern w:val="0"/>
          <w:sz w:val="32"/>
          <w:szCs w:val="32"/>
        </w:rPr>
        <w:br w:type="page"/>
      </w:r>
    </w:p>
    <w:p w:rsidR="00F60252" w:rsidRDefault="0035015A">
      <w:pPr>
        <w:spacing w:line="600" w:lineRule="exact"/>
        <w:rPr>
          <w:rFonts w:ascii="仿宋_GB2312" w:eastAsia="仿宋_GB2312" w:hAnsi="宋体" w:cs="宋体"/>
          <w:color w:val="000000"/>
          <w:kern w:val="0"/>
          <w:sz w:val="32"/>
          <w:szCs w:val="32"/>
        </w:rPr>
      </w:pPr>
      <w:bookmarkStart w:id="34" w:name="_Toc19334"/>
      <w:bookmarkStart w:id="35" w:name="_Toc5346"/>
      <w:bookmarkStart w:id="36" w:name="_Toc2956"/>
      <w:r>
        <w:rPr>
          <w:rFonts w:ascii="仿宋_GB2312" w:eastAsia="仿宋_GB2312" w:hAnsi="宋体" w:cs="宋体" w:hint="eastAsia"/>
          <w:color w:val="000000"/>
          <w:kern w:val="0"/>
          <w:sz w:val="32"/>
          <w:szCs w:val="32"/>
        </w:rPr>
        <w:lastRenderedPageBreak/>
        <w:t>附件2</w:t>
      </w:r>
      <w:bookmarkEnd w:id="34"/>
      <w:bookmarkEnd w:id="35"/>
      <w:bookmarkEnd w:id="36"/>
    </w:p>
    <w:tbl>
      <w:tblPr>
        <w:tblW w:w="13504" w:type="dxa"/>
        <w:tblInd w:w="93" w:type="dxa"/>
        <w:tblLayout w:type="fixed"/>
        <w:tblLook w:val="04A0" w:firstRow="1" w:lastRow="0" w:firstColumn="1" w:lastColumn="0" w:noHBand="0" w:noVBand="1"/>
      </w:tblPr>
      <w:tblGrid>
        <w:gridCol w:w="1369"/>
        <w:gridCol w:w="1650"/>
        <w:gridCol w:w="1725"/>
        <w:gridCol w:w="2130"/>
        <w:gridCol w:w="6630"/>
      </w:tblGrid>
      <w:tr w:rsidR="00F60252">
        <w:trPr>
          <w:trHeight w:val="90"/>
        </w:trPr>
        <w:tc>
          <w:tcPr>
            <w:tcW w:w="13504"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sz w:val="32"/>
                <w:szCs w:val="32"/>
              </w:rPr>
            </w:pPr>
            <w:r>
              <w:rPr>
                <w:rFonts w:ascii="宋体" w:eastAsia="宋体" w:hAnsi="宋体" w:cs="宋体" w:hint="eastAsia"/>
                <w:b/>
                <w:bCs/>
                <w:color w:val="000000"/>
                <w:kern w:val="0"/>
                <w:sz w:val="32"/>
                <w:szCs w:val="32"/>
                <w:lang w:bidi="ar"/>
              </w:rPr>
              <w:t>部门整体支出绩效目标完成情况对比表</w:t>
            </w:r>
          </w:p>
        </w:tc>
      </w:tr>
      <w:tr w:rsidR="00F60252">
        <w:trPr>
          <w:trHeight w:val="510"/>
        </w:trPr>
        <w:tc>
          <w:tcPr>
            <w:tcW w:w="687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rPr>
                <w:rFonts w:ascii="宋体" w:eastAsia="宋体" w:hAnsi="宋体" w:cs="宋体"/>
                <w:b/>
                <w:bCs/>
                <w:color w:val="000000"/>
                <w:sz w:val="22"/>
                <w:szCs w:val="22"/>
              </w:rPr>
            </w:pPr>
            <w:r>
              <w:rPr>
                <w:rFonts w:ascii="宋体" w:eastAsia="宋体" w:hAnsi="宋体" w:cs="宋体" w:hint="eastAsia"/>
                <w:b/>
                <w:bCs/>
                <w:color w:val="000000"/>
                <w:kern w:val="0"/>
                <w:sz w:val="22"/>
                <w:szCs w:val="22"/>
                <w:lang w:bidi="ar"/>
              </w:rPr>
              <w:t>部门名称：中共北京市委网络安全和信息化委员会办公室</w:t>
            </w:r>
          </w:p>
        </w:tc>
        <w:tc>
          <w:tcPr>
            <w:tcW w:w="6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bidi="ar"/>
              </w:rPr>
              <w:t xml:space="preserve">                               年度：2021年</w:t>
            </w:r>
          </w:p>
        </w:tc>
      </w:tr>
      <w:tr w:rsidR="00F60252">
        <w:trPr>
          <w:trHeight w:val="415"/>
        </w:trPr>
        <w:tc>
          <w:tcPr>
            <w:tcW w:w="301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bidi="ar"/>
              </w:rPr>
              <w:t>指标内容</w:t>
            </w:r>
          </w:p>
        </w:tc>
        <w:tc>
          <w:tcPr>
            <w:tcW w:w="385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bidi="ar"/>
              </w:rPr>
              <w:t>计划内容</w:t>
            </w:r>
          </w:p>
        </w:tc>
        <w:tc>
          <w:tcPr>
            <w:tcW w:w="6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bidi="ar"/>
              </w:rPr>
              <w:t>实际完成情况</w:t>
            </w:r>
          </w:p>
        </w:tc>
      </w:tr>
      <w:tr w:rsidR="00F60252">
        <w:trPr>
          <w:trHeight w:val="320"/>
        </w:trPr>
        <w:tc>
          <w:tcPr>
            <w:tcW w:w="687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bidi="ar"/>
              </w:rPr>
              <w:t>部门（单位）绩效目标</w:t>
            </w:r>
          </w:p>
        </w:tc>
        <w:tc>
          <w:tcPr>
            <w:tcW w:w="6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F60252">
            <w:pPr>
              <w:rPr>
                <w:rFonts w:ascii="宋体" w:eastAsia="宋体" w:hAnsi="宋体" w:cs="宋体"/>
                <w:b/>
                <w:bCs/>
                <w:color w:val="000000"/>
                <w:sz w:val="22"/>
                <w:szCs w:val="22"/>
              </w:rPr>
            </w:pPr>
          </w:p>
        </w:tc>
      </w:tr>
      <w:tr w:rsidR="00F60252">
        <w:trPr>
          <w:trHeight w:val="505"/>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bidi="ar"/>
              </w:rPr>
              <w:t>绩效指标</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bidi="ar"/>
              </w:rPr>
              <w:t>一级指标</w:t>
            </w:r>
          </w:p>
        </w:tc>
        <w:tc>
          <w:tcPr>
            <w:tcW w:w="1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bidi="ar"/>
              </w:rPr>
              <w:t>二级指标</w:t>
            </w:r>
          </w:p>
        </w:tc>
        <w:tc>
          <w:tcPr>
            <w:tcW w:w="21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bidi="ar"/>
              </w:rPr>
              <w:t>具体指标</w:t>
            </w:r>
          </w:p>
        </w:tc>
        <w:tc>
          <w:tcPr>
            <w:tcW w:w="6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bidi="ar"/>
              </w:rPr>
              <w:t>已落实情况</w:t>
            </w:r>
          </w:p>
        </w:tc>
      </w:tr>
      <w:tr w:rsidR="00F60252">
        <w:trPr>
          <w:trHeight w:val="2072"/>
        </w:trPr>
        <w:tc>
          <w:tcPr>
            <w:tcW w:w="1369" w:type="dxa"/>
            <w:vMerge w:val="restart"/>
            <w:tcBorders>
              <w:top w:val="single" w:sz="4" w:space="0" w:color="000000"/>
              <w:left w:val="single" w:sz="4" w:space="0" w:color="000000"/>
              <w:right w:val="single" w:sz="4" w:space="0" w:color="000000"/>
            </w:tcBorders>
            <w:shd w:val="clear" w:color="auto" w:fill="auto"/>
            <w:noWrap/>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绩效指标</w:t>
            </w:r>
          </w:p>
        </w:tc>
        <w:tc>
          <w:tcPr>
            <w:tcW w:w="1650" w:type="dxa"/>
            <w:vMerge w:val="restart"/>
            <w:tcBorders>
              <w:top w:val="single" w:sz="4" w:space="0" w:color="000000"/>
              <w:left w:val="single" w:sz="4" w:space="0" w:color="000000"/>
              <w:right w:val="single" w:sz="4" w:space="0" w:color="000000"/>
            </w:tcBorders>
            <w:shd w:val="clear" w:color="auto" w:fill="auto"/>
            <w:noWrap/>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产出指标</w:t>
            </w: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落实国家和本市关于互联网信息传播的方针政策和法律法规，推动本市互联网信息传播法制建设</w:t>
            </w:r>
          </w:p>
        </w:tc>
        <w:tc>
          <w:tcPr>
            <w:tcW w:w="21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达到预期指标</w:t>
            </w:r>
          </w:p>
        </w:tc>
        <w:tc>
          <w:tcPr>
            <w:tcW w:w="6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（1）互联网内容建设、舆论研究和信息管理工作调研经费项目：截止2021年11月底已完成1项重大调研课题《首都互联网资源普查调研》。</w:t>
            </w:r>
          </w:p>
        </w:tc>
      </w:tr>
      <w:tr w:rsidR="00F60252">
        <w:trPr>
          <w:trHeight w:val="3510"/>
        </w:trPr>
        <w:tc>
          <w:tcPr>
            <w:tcW w:w="1369" w:type="dxa"/>
            <w:vMerge/>
            <w:tcBorders>
              <w:left w:val="single" w:sz="4" w:space="0" w:color="000000"/>
              <w:bottom w:val="single" w:sz="4" w:space="0" w:color="000000"/>
              <w:right w:val="single" w:sz="4" w:space="0" w:color="000000"/>
            </w:tcBorders>
            <w:shd w:val="clear" w:color="auto" w:fill="auto"/>
            <w:noWrap/>
            <w:vAlign w:val="center"/>
          </w:tcPr>
          <w:p w:rsidR="00F60252" w:rsidRDefault="00F60252">
            <w:pPr>
              <w:rPr>
                <w:rFonts w:ascii="宋体" w:eastAsia="宋体" w:hAnsi="宋体" w:cs="宋体"/>
                <w:color w:val="000000"/>
                <w:sz w:val="20"/>
                <w:szCs w:val="20"/>
              </w:rPr>
            </w:pPr>
          </w:p>
        </w:tc>
        <w:tc>
          <w:tcPr>
            <w:tcW w:w="1650" w:type="dxa"/>
            <w:vMerge/>
            <w:tcBorders>
              <w:left w:val="single" w:sz="4" w:space="0" w:color="000000"/>
              <w:bottom w:val="single" w:sz="4" w:space="0" w:color="000000"/>
              <w:right w:val="single" w:sz="4" w:space="0" w:color="000000"/>
            </w:tcBorders>
            <w:shd w:val="clear" w:color="auto" w:fill="auto"/>
            <w:noWrap/>
            <w:vAlign w:val="center"/>
          </w:tcPr>
          <w:p w:rsidR="00F60252" w:rsidRDefault="00F60252">
            <w:pPr>
              <w:rPr>
                <w:rFonts w:ascii="宋体" w:eastAsia="宋体" w:hAnsi="宋体" w:cs="宋体"/>
                <w:color w:val="000000"/>
                <w:sz w:val="20"/>
                <w:szCs w:val="20"/>
              </w:rPr>
            </w:pP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做好本市互联网领域的信息内容管理工作，依法查处违法违规行为</w:t>
            </w:r>
          </w:p>
        </w:tc>
        <w:tc>
          <w:tcPr>
            <w:tcW w:w="21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达到预期指标</w:t>
            </w:r>
          </w:p>
        </w:tc>
        <w:tc>
          <w:tcPr>
            <w:tcW w:w="6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购买社会化用工服务经费项目：根据岗位不同，用工人员具有相应的学历学位以及专业技术职称，具备了与岗位要求相符的工作能力，圆满完成了相应岗位工作的质量要求，每月并足额保障编制外用工工资、社保、工会经费等；截止2021年底，我办社会化用工人数83人。</w:t>
            </w:r>
            <w:r>
              <w:rPr>
                <w:rFonts w:ascii="宋体" w:eastAsia="宋体" w:hAnsi="宋体" w:cs="宋体" w:hint="eastAsia"/>
                <w:color w:val="000000"/>
                <w:kern w:val="0"/>
                <w:sz w:val="20"/>
                <w:szCs w:val="20"/>
                <w:lang w:bidi="ar"/>
              </w:rPr>
              <w:br/>
              <w:t>（2）购买信息产品、数据等服务费项目：按照我办任务的时间要求提供服务，完成了分析研判网上舆情热点、发展态势，撰写专题报告365篇；上报热点舆情事件建议、意见等198篇；正能量内容转载30.71万条；完成的工作质量符合网络舆情工作的中心明确、数据收集全面、分析深入的要求。</w:t>
            </w:r>
          </w:p>
        </w:tc>
      </w:tr>
      <w:tr w:rsidR="00F60252">
        <w:trPr>
          <w:trHeight w:val="475"/>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jc w:val="center"/>
              <w:rPr>
                <w:rFonts w:ascii="宋体" w:eastAsia="宋体" w:hAnsi="宋体" w:cs="宋体"/>
                <w:b/>
                <w:bCs/>
                <w:color w:val="000000"/>
                <w:sz w:val="20"/>
                <w:szCs w:val="20"/>
              </w:rPr>
            </w:pPr>
            <w:r>
              <w:rPr>
                <w:rFonts w:ascii="宋体" w:eastAsia="宋体" w:hAnsi="宋体" w:cs="宋体" w:hint="eastAsia"/>
                <w:b/>
                <w:bCs/>
                <w:color w:val="000000"/>
                <w:sz w:val="20"/>
                <w:szCs w:val="20"/>
              </w:rPr>
              <w:lastRenderedPageBreak/>
              <w:t>绩效指标</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jc w:val="center"/>
              <w:rPr>
                <w:rFonts w:ascii="宋体" w:eastAsia="宋体" w:hAnsi="宋体" w:cs="宋体"/>
                <w:b/>
                <w:bCs/>
                <w:color w:val="000000"/>
                <w:sz w:val="20"/>
                <w:szCs w:val="20"/>
              </w:rPr>
            </w:pPr>
            <w:r>
              <w:rPr>
                <w:rFonts w:ascii="宋体" w:eastAsia="宋体" w:hAnsi="宋体" w:cs="宋体" w:hint="eastAsia"/>
                <w:b/>
                <w:bCs/>
                <w:color w:val="000000"/>
                <w:sz w:val="20"/>
                <w:szCs w:val="20"/>
              </w:rPr>
              <w:t>一级指标</w:t>
            </w: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二级指标</w:t>
            </w:r>
          </w:p>
        </w:tc>
        <w:tc>
          <w:tcPr>
            <w:tcW w:w="21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具体指标</w:t>
            </w:r>
          </w:p>
        </w:tc>
        <w:tc>
          <w:tcPr>
            <w:tcW w:w="6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已落实情况</w:t>
            </w:r>
          </w:p>
        </w:tc>
      </w:tr>
      <w:tr w:rsidR="00F60252">
        <w:trPr>
          <w:trHeight w:val="8063"/>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rPr>
                <w:rFonts w:ascii="宋体" w:eastAsia="宋体" w:hAnsi="宋体" w:cs="宋体"/>
                <w:color w:val="000000"/>
                <w:sz w:val="20"/>
                <w:szCs w:val="20"/>
              </w:rPr>
            </w:pPr>
            <w:r>
              <w:rPr>
                <w:rFonts w:ascii="宋体" w:eastAsia="宋体" w:hAnsi="宋体" w:cs="宋体" w:hint="eastAsia"/>
                <w:color w:val="000000"/>
                <w:sz w:val="20"/>
                <w:szCs w:val="20"/>
              </w:rPr>
              <w:t>绩效指标</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rPr>
                <w:rFonts w:ascii="宋体" w:eastAsia="宋体" w:hAnsi="宋体" w:cs="宋体"/>
                <w:color w:val="000000"/>
                <w:sz w:val="20"/>
                <w:szCs w:val="20"/>
              </w:rPr>
            </w:pPr>
            <w:r>
              <w:rPr>
                <w:rFonts w:ascii="宋体" w:eastAsia="宋体" w:hAnsi="宋体" w:cs="宋体" w:hint="eastAsia"/>
                <w:color w:val="000000"/>
                <w:sz w:val="20"/>
                <w:szCs w:val="20"/>
              </w:rPr>
              <w:t>产出指标</w:t>
            </w: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统筹协调网络安全和信息化工作</w:t>
            </w:r>
          </w:p>
        </w:tc>
        <w:tc>
          <w:tcPr>
            <w:tcW w:w="21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达到预期指标</w:t>
            </w:r>
          </w:p>
        </w:tc>
        <w:tc>
          <w:tcPr>
            <w:tcW w:w="6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（1）网络安全宣传周活动经费项目：2021年8月按照中央有关方案要求，完成印发方案；2021年9月活动实施，2021年10月底前完成了网络安全巡展、演出等活动7次，发放张贴宣传材料3.4万份。  </w:t>
            </w:r>
            <w:r>
              <w:rPr>
                <w:rFonts w:ascii="宋体" w:eastAsia="宋体" w:hAnsi="宋体" w:cs="宋体" w:hint="eastAsia"/>
                <w:color w:val="000000"/>
                <w:kern w:val="0"/>
                <w:sz w:val="20"/>
                <w:szCs w:val="20"/>
                <w:lang w:bidi="ar"/>
              </w:rPr>
              <w:br/>
              <w:t>（2）北京市网络安全工作责任制落实情况检查工作（暨重要业务系统网络安全检查工作）经费项目：通过2021年4月完成招投标，2021年5月完成合同签订，远程检查在线业务系统1430套，发现各类漏洞2689个，现场检查涉及28家单位, 93套系统,发现各类漏洞195个。此次检查共生成报告735份（含734份抽查结果报告及1份总结报告），远程检查和现场检查共发现各类应用层漏洞2884个。</w:t>
            </w:r>
            <w:r>
              <w:rPr>
                <w:rFonts w:ascii="宋体" w:eastAsia="宋体" w:hAnsi="宋体" w:cs="宋体" w:hint="eastAsia"/>
                <w:color w:val="000000"/>
                <w:kern w:val="0"/>
                <w:sz w:val="20"/>
                <w:szCs w:val="20"/>
                <w:lang w:bidi="ar"/>
              </w:rPr>
              <w:br/>
              <w:t>（3）北京市重大网络安全事件应急演练工作经费项目：2021年9月完成方案制定，2021年11月底前完成演练实施，参演单位66家，技术队伍21支，每次演练的时长均大于等于30分钟，于2021年12月底前完成项目总结。</w:t>
            </w:r>
            <w:r>
              <w:rPr>
                <w:rFonts w:ascii="宋体" w:eastAsia="宋体" w:hAnsi="宋体" w:cs="宋体" w:hint="eastAsia"/>
                <w:color w:val="000000"/>
                <w:kern w:val="0"/>
                <w:sz w:val="20"/>
                <w:szCs w:val="20"/>
                <w:lang w:bidi="ar"/>
              </w:rPr>
              <w:br/>
              <w:t>（4）北京市IPv6规模部署推进项目工作经费项目：通过全市16区委网信办于2021年8月完成20万把广告扇发放，2021年10月完成7800张海报张贴工作，宣传推广覆盖20万人次，通过6月签订监测合同，截至12月共发布IPv6监测报告7期，IPv6监测报告中监测数据正确率达到100%。</w:t>
            </w:r>
            <w:r>
              <w:rPr>
                <w:rFonts w:ascii="宋体" w:eastAsia="宋体" w:hAnsi="宋体" w:cs="宋体" w:hint="eastAsia"/>
                <w:color w:val="000000"/>
                <w:kern w:val="0"/>
                <w:sz w:val="20"/>
                <w:szCs w:val="20"/>
                <w:lang w:bidi="ar"/>
              </w:rPr>
              <w:br/>
              <w:t>（5）新技术新应用安全评估技术服务费项目：2021年3月完成安全评估技术服务方案制定、机制建立，开展安全评估工作，初步建立样本库和问题库时间；2021年9月完成一定数量的安全评估工作；2021年12月完成25个信息服务安全评估技术服务工作，完善样本库和问题库。共完成29个评估、15期主动监测报告（含75个监测线索）、建立了1项样本库和问题库，技术检测质量和报告完成质量达到了100%。</w:t>
            </w:r>
          </w:p>
        </w:tc>
      </w:tr>
      <w:tr w:rsidR="00F60252">
        <w:trPr>
          <w:trHeight w:val="515"/>
        </w:trPr>
        <w:tc>
          <w:tcPr>
            <w:tcW w:w="13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jc w:val="center"/>
              <w:rPr>
                <w:rFonts w:ascii="宋体" w:eastAsia="宋体" w:hAnsi="宋体" w:cs="宋体"/>
                <w:b/>
                <w:bCs/>
                <w:color w:val="000000"/>
                <w:sz w:val="20"/>
                <w:szCs w:val="20"/>
              </w:rPr>
            </w:pPr>
            <w:r>
              <w:rPr>
                <w:rFonts w:ascii="宋体" w:eastAsia="宋体" w:hAnsi="宋体" w:cs="宋体" w:hint="eastAsia"/>
                <w:b/>
                <w:bCs/>
                <w:color w:val="000000"/>
                <w:sz w:val="20"/>
                <w:szCs w:val="20"/>
              </w:rPr>
              <w:lastRenderedPageBreak/>
              <w:t>绩效指标</w:t>
            </w: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jc w:val="center"/>
              <w:rPr>
                <w:rFonts w:ascii="宋体" w:eastAsia="宋体" w:hAnsi="宋体" w:cs="宋体"/>
                <w:b/>
                <w:bCs/>
                <w:color w:val="000000"/>
                <w:sz w:val="20"/>
                <w:szCs w:val="20"/>
              </w:rPr>
            </w:pPr>
            <w:r>
              <w:rPr>
                <w:rFonts w:ascii="宋体" w:eastAsia="宋体" w:hAnsi="宋体" w:cs="宋体" w:hint="eastAsia"/>
                <w:b/>
                <w:bCs/>
                <w:color w:val="000000"/>
                <w:sz w:val="20"/>
                <w:szCs w:val="20"/>
              </w:rPr>
              <w:t>一级指标</w:t>
            </w: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二级指标</w:t>
            </w:r>
          </w:p>
        </w:tc>
        <w:tc>
          <w:tcPr>
            <w:tcW w:w="21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具体指标</w:t>
            </w:r>
          </w:p>
        </w:tc>
        <w:tc>
          <w:tcPr>
            <w:tcW w:w="6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已落实情况</w:t>
            </w:r>
          </w:p>
        </w:tc>
      </w:tr>
      <w:tr w:rsidR="00F60252">
        <w:trPr>
          <w:trHeight w:val="2520"/>
        </w:trPr>
        <w:tc>
          <w:tcPr>
            <w:tcW w:w="1369" w:type="dxa"/>
            <w:vMerge w:val="restart"/>
            <w:tcBorders>
              <w:top w:val="single" w:sz="4" w:space="0" w:color="000000"/>
              <w:left w:val="single" w:sz="4" w:space="0" w:color="000000"/>
              <w:right w:val="single" w:sz="4" w:space="0" w:color="000000"/>
            </w:tcBorders>
            <w:shd w:val="clear" w:color="auto" w:fill="auto"/>
            <w:noWrap/>
            <w:vAlign w:val="center"/>
          </w:tcPr>
          <w:p w:rsidR="00F60252" w:rsidRDefault="0035015A">
            <w:pPr>
              <w:rPr>
                <w:rFonts w:ascii="宋体" w:eastAsia="宋体" w:hAnsi="宋体" w:cs="宋体"/>
                <w:color w:val="000000"/>
                <w:sz w:val="20"/>
                <w:szCs w:val="20"/>
              </w:rPr>
            </w:pPr>
            <w:r>
              <w:rPr>
                <w:rFonts w:ascii="宋体" w:eastAsia="宋体" w:hAnsi="宋体" w:cs="宋体" w:hint="eastAsia"/>
                <w:color w:val="000000"/>
                <w:sz w:val="20"/>
                <w:szCs w:val="20"/>
              </w:rPr>
              <w:t>绩效指标</w:t>
            </w:r>
          </w:p>
          <w:p w:rsidR="00F60252" w:rsidRDefault="00F60252">
            <w:pPr>
              <w:widowControl/>
              <w:jc w:val="left"/>
              <w:textAlignment w:val="center"/>
              <w:rPr>
                <w:rFonts w:ascii="宋体" w:eastAsia="宋体" w:hAnsi="宋体" w:cs="宋体"/>
                <w:color w:val="000000"/>
                <w:sz w:val="20"/>
                <w:szCs w:val="20"/>
              </w:rPr>
            </w:pPr>
          </w:p>
        </w:tc>
        <w:tc>
          <w:tcPr>
            <w:tcW w:w="1650" w:type="dxa"/>
            <w:vMerge w:val="restart"/>
            <w:tcBorders>
              <w:top w:val="single" w:sz="4" w:space="0" w:color="000000"/>
              <w:left w:val="single" w:sz="4" w:space="0" w:color="000000"/>
              <w:right w:val="single" w:sz="4" w:space="0" w:color="000000"/>
            </w:tcBorders>
            <w:shd w:val="clear" w:color="auto" w:fill="auto"/>
            <w:noWrap/>
            <w:vAlign w:val="center"/>
          </w:tcPr>
          <w:p w:rsidR="00F60252" w:rsidRDefault="0035015A">
            <w:pPr>
              <w:rPr>
                <w:rFonts w:ascii="宋体" w:eastAsia="宋体" w:hAnsi="宋体" w:cs="宋体"/>
                <w:color w:val="000000"/>
                <w:sz w:val="20"/>
                <w:szCs w:val="20"/>
              </w:rPr>
            </w:pPr>
            <w:r>
              <w:rPr>
                <w:rFonts w:ascii="宋体" w:eastAsia="宋体" w:hAnsi="宋体" w:cs="宋体" w:hint="eastAsia"/>
                <w:color w:val="000000"/>
                <w:sz w:val="20"/>
                <w:szCs w:val="20"/>
              </w:rPr>
              <w:t>产出指标</w:t>
            </w:r>
          </w:p>
          <w:p w:rsidR="00F60252" w:rsidRDefault="00F60252">
            <w:pPr>
              <w:rPr>
                <w:rFonts w:ascii="宋体" w:eastAsia="宋体" w:hAnsi="宋体" w:cs="宋体"/>
                <w:color w:val="000000"/>
                <w:sz w:val="20"/>
                <w:szCs w:val="20"/>
              </w:rPr>
            </w:pP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协调、组织做好网上宣传和舆论引导工作</w:t>
            </w:r>
          </w:p>
        </w:tc>
        <w:tc>
          <w:tcPr>
            <w:tcW w:w="21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达到预期指标</w:t>
            </w:r>
          </w:p>
        </w:tc>
        <w:tc>
          <w:tcPr>
            <w:tcW w:w="6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（1）新媒体发展扶持项目工作经费项目：2021年6月前确定扶持方向和对象，2021年11月前通过开展网上主题宣传活动，完成扶持网络新媒体产品12个，受众人次达到23亿。</w:t>
            </w:r>
            <w:r>
              <w:rPr>
                <w:rFonts w:ascii="宋体" w:eastAsia="宋体" w:hAnsi="宋体" w:cs="宋体" w:hint="eastAsia"/>
                <w:color w:val="000000"/>
                <w:kern w:val="0"/>
                <w:sz w:val="20"/>
                <w:szCs w:val="20"/>
                <w:lang w:bidi="ar"/>
              </w:rPr>
              <w:br/>
              <w:t>（2）北京文化系列网络活动工作经费项目：2021年5月召开京彩启动仪式，2021年12月开展总结交流闭幕式；通过开展短视频征集大赛线上线下活动40余场，参加网站数量33个。</w:t>
            </w:r>
            <w:r>
              <w:rPr>
                <w:rFonts w:ascii="宋体" w:eastAsia="宋体" w:hAnsi="宋体" w:cs="宋体" w:hint="eastAsia"/>
                <w:color w:val="000000"/>
                <w:kern w:val="0"/>
                <w:sz w:val="20"/>
                <w:szCs w:val="20"/>
                <w:lang w:bidi="ar"/>
              </w:rPr>
              <w:br/>
              <w:t>（3）传统节日文化传承推广工作网络传播项目工作经费项目：2021年9月前通过举办33场次网络文化活动，受众人次达到3亿人次，参加网站数量33个，2021年11月完成了项目总结交流。</w:t>
            </w:r>
          </w:p>
        </w:tc>
      </w:tr>
      <w:tr w:rsidR="00F60252">
        <w:trPr>
          <w:trHeight w:val="2400"/>
        </w:trPr>
        <w:tc>
          <w:tcPr>
            <w:tcW w:w="1369" w:type="dxa"/>
            <w:vMerge/>
            <w:tcBorders>
              <w:left w:val="single" w:sz="4" w:space="0" w:color="000000"/>
              <w:right w:val="single" w:sz="4" w:space="0" w:color="000000"/>
            </w:tcBorders>
            <w:shd w:val="clear" w:color="auto" w:fill="auto"/>
            <w:noWrap/>
            <w:vAlign w:val="center"/>
          </w:tcPr>
          <w:p w:rsidR="00F60252" w:rsidRDefault="00F60252">
            <w:pPr>
              <w:rPr>
                <w:rFonts w:ascii="宋体" w:eastAsia="宋体" w:hAnsi="宋体" w:cs="宋体"/>
                <w:color w:val="000000"/>
                <w:sz w:val="20"/>
                <w:szCs w:val="20"/>
              </w:rPr>
            </w:pPr>
          </w:p>
        </w:tc>
        <w:tc>
          <w:tcPr>
            <w:tcW w:w="1650" w:type="dxa"/>
            <w:vMerge/>
            <w:tcBorders>
              <w:left w:val="single" w:sz="4" w:space="0" w:color="000000"/>
              <w:bottom w:val="single" w:sz="4" w:space="0" w:color="000000"/>
              <w:right w:val="single" w:sz="4" w:space="0" w:color="000000"/>
            </w:tcBorders>
            <w:shd w:val="clear" w:color="auto" w:fill="auto"/>
            <w:noWrap/>
            <w:vAlign w:val="center"/>
          </w:tcPr>
          <w:p w:rsidR="00F60252" w:rsidRDefault="00F60252">
            <w:pPr>
              <w:rPr>
                <w:rFonts w:ascii="宋体" w:eastAsia="宋体" w:hAnsi="宋体" w:cs="宋体"/>
                <w:color w:val="000000"/>
                <w:sz w:val="20"/>
                <w:szCs w:val="20"/>
              </w:rPr>
            </w:pP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承办市委、市政府和市委网络安全和信息化委员会交办的其他事项</w:t>
            </w:r>
          </w:p>
        </w:tc>
        <w:tc>
          <w:tcPr>
            <w:tcW w:w="21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达到预期指标</w:t>
            </w:r>
          </w:p>
        </w:tc>
        <w:tc>
          <w:tcPr>
            <w:tcW w:w="6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1）属地互联网企业党员培训及管理经费项目：2021年12月底之前完成开展党建业务集中培训1次，开展发展对象培训2次，开展互联网行业大讲堂5场次，举办专题系列教育活动1次，召开行业党委表彰会、首都互联网协会党委“两优一先”表彰会、述职评议工作会2次，开展10个属地党建业务融合发展示范点培训管理培训2次。 </w:t>
            </w:r>
            <w:r>
              <w:rPr>
                <w:rFonts w:ascii="宋体" w:eastAsia="宋体" w:hAnsi="宋体" w:cs="宋体" w:hint="eastAsia"/>
                <w:color w:val="000000"/>
                <w:kern w:val="0"/>
                <w:sz w:val="20"/>
                <w:szCs w:val="20"/>
                <w:lang w:bidi="ar"/>
              </w:rPr>
              <w:br/>
              <w:t>（2）《北京市“十四五”时期信息化发展规划》编制经费项目：2021年11月前完成调研报告:《北京市“十四五”时期信息化发展规划》1篇、完成专题研究报告9篇，研究课题评审合格率达到100%。</w:t>
            </w:r>
          </w:p>
        </w:tc>
      </w:tr>
      <w:tr w:rsidR="00F60252">
        <w:trPr>
          <w:trHeight w:val="2680"/>
        </w:trPr>
        <w:tc>
          <w:tcPr>
            <w:tcW w:w="1369" w:type="dxa"/>
            <w:vMerge/>
            <w:tcBorders>
              <w:left w:val="single" w:sz="4" w:space="0" w:color="000000"/>
              <w:bottom w:val="single" w:sz="4" w:space="0" w:color="auto"/>
              <w:right w:val="single" w:sz="4" w:space="0" w:color="000000"/>
            </w:tcBorders>
            <w:shd w:val="clear" w:color="auto" w:fill="auto"/>
            <w:noWrap/>
            <w:vAlign w:val="center"/>
          </w:tcPr>
          <w:p w:rsidR="00F60252" w:rsidRDefault="00F60252">
            <w:pPr>
              <w:widowControl/>
              <w:jc w:val="left"/>
              <w:textAlignment w:val="center"/>
              <w:rPr>
                <w:rFonts w:ascii="宋体" w:eastAsia="宋体" w:hAnsi="宋体" w:cs="宋体"/>
                <w:color w:val="000000"/>
                <w:sz w:val="20"/>
                <w:szCs w:val="20"/>
              </w:rPr>
            </w:pPr>
          </w:p>
        </w:tc>
        <w:tc>
          <w:tcPr>
            <w:tcW w:w="1650" w:type="dxa"/>
            <w:tcBorders>
              <w:top w:val="single" w:sz="4" w:space="0" w:color="000000"/>
              <w:left w:val="single" w:sz="4" w:space="0" w:color="000000"/>
              <w:bottom w:val="single" w:sz="4" w:space="0" w:color="auto"/>
              <w:right w:val="single" w:sz="4" w:space="0" w:color="000000"/>
            </w:tcBorders>
            <w:shd w:val="clear" w:color="auto" w:fill="auto"/>
            <w:noWrap/>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效果指标</w:t>
            </w:r>
          </w:p>
        </w:tc>
        <w:tc>
          <w:tcPr>
            <w:tcW w:w="1725" w:type="dxa"/>
            <w:tcBorders>
              <w:top w:val="single" w:sz="4" w:space="0" w:color="000000"/>
              <w:left w:val="single" w:sz="4" w:space="0" w:color="000000"/>
              <w:bottom w:val="single" w:sz="4" w:space="0" w:color="auto"/>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社会效益</w:t>
            </w:r>
          </w:p>
        </w:tc>
        <w:tc>
          <w:tcPr>
            <w:tcW w:w="2130" w:type="dxa"/>
            <w:tcBorders>
              <w:top w:val="single" w:sz="4" w:space="0" w:color="000000"/>
              <w:left w:val="single" w:sz="4" w:space="0" w:color="000000"/>
              <w:bottom w:val="single" w:sz="4" w:space="0" w:color="auto"/>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做好本市互联网领域的信息内容管理工作，依法查处违法违规行为</w:t>
            </w:r>
          </w:p>
        </w:tc>
        <w:tc>
          <w:tcPr>
            <w:tcW w:w="6630" w:type="dxa"/>
            <w:tcBorders>
              <w:top w:val="single" w:sz="4" w:space="0" w:color="000000"/>
              <w:left w:val="single" w:sz="4" w:space="0" w:color="000000"/>
              <w:bottom w:val="single" w:sz="4" w:space="0" w:color="auto"/>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（1）购买社会化用工服务经费项目：保障了编制外用工人员的工资、社保、工会经费等。</w:t>
            </w:r>
            <w:r>
              <w:rPr>
                <w:rFonts w:ascii="宋体" w:eastAsia="宋体" w:hAnsi="宋体" w:cs="宋体" w:hint="eastAsia"/>
                <w:color w:val="000000"/>
                <w:kern w:val="0"/>
                <w:sz w:val="20"/>
                <w:szCs w:val="20"/>
                <w:lang w:bidi="ar"/>
              </w:rPr>
              <w:br/>
              <w:t>（2）购买信息产品、数据等服务费项目：通过及时发现互联网行业中存在的问题及苗头倾向性问题，并在深入调研的基础上，提出有理有据的可行性建议，获得各级领导批示次数大于150篇，从而对互联网行业的科学管理提供重要决策参考，确保了行业发展更加健康有序；通过在互联网网站互动环节多阵地定向发布、手机客户端引导、配置语料库等流程化管理，实现了对多个话题、多个阵地的智能化引导，微博话题阅读量超过了10亿次。</w:t>
            </w:r>
          </w:p>
        </w:tc>
      </w:tr>
      <w:tr w:rsidR="00F60252">
        <w:trPr>
          <w:trHeight w:val="487"/>
        </w:trPr>
        <w:tc>
          <w:tcPr>
            <w:tcW w:w="1369" w:type="dxa"/>
            <w:tcBorders>
              <w:top w:val="single" w:sz="4" w:space="0" w:color="000000"/>
              <w:left w:val="single" w:sz="4" w:space="0" w:color="000000"/>
              <w:bottom w:val="single" w:sz="4" w:space="0" w:color="auto"/>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kern w:val="0"/>
                <w:szCs w:val="21"/>
                <w:lang w:bidi="ar"/>
              </w:rPr>
            </w:pPr>
            <w:r>
              <w:rPr>
                <w:rFonts w:ascii="宋体" w:eastAsia="宋体" w:hAnsi="宋体" w:cs="宋体" w:hint="eastAsia"/>
                <w:b/>
                <w:bCs/>
                <w:color w:val="000000"/>
                <w:kern w:val="0"/>
                <w:szCs w:val="21"/>
                <w:lang w:bidi="ar"/>
              </w:rPr>
              <w:lastRenderedPageBreak/>
              <w:t>绩效指标</w:t>
            </w:r>
          </w:p>
        </w:tc>
        <w:tc>
          <w:tcPr>
            <w:tcW w:w="1650" w:type="dxa"/>
            <w:tcBorders>
              <w:top w:val="single" w:sz="4" w:space="0" w:color="000000"/>
              <w:left w:val="single" w:sz="4" w:space="0" w:color="000000"/>
              <w:bottom w:val="single" w:sz="4" w:space="0" w:color="auto"/>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kern w:val="0"/>
                <w:szCs w:val="21"/>
                <w:lang w:bidi="ar"/>
              </w:rPr>
            </w:pPr>
            <w:r>
              <w:rPr>
                <w:rFonts w:ascii="宋体" w:eastAsia="宋体" w:hAnsi="宋体" w:cs="宋体" w:hint="eastAsia"/>
                <w:b/>
                <w:bCs/>
                <w:color w:val="000000"/>
                <w:kern w:val="0"/>
                <w:szCs w:val="21"/>
                <w:lang w:bidi="ar"/>
              </w:rPr>
              <w:t>一级指标</w:t>
            </w:r>
          </w:p>
        </w:tc>
        <w:tc>
          <w:tcPr>
            <w:tcW w:w="1725" w:type="dxa"/>
            <w:tcBorders>
              <w:top w:val="single" w:sz="4" w:space="0" w:color="000000"/>
              <w:left w:val="single" w:sz="4" w:space="0" w:color="000000"/>
              <w:bottom w:val="single" w:sz="4" w:space="0" w:color="auto"/>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kern w:val="0"/>
                <w:szCs w:val="21"/>
                <w:lang w:bidi="ar"/>
              </w:rPr>
            </w:pPr>
            <w:r>
              <w:rPr>
                <w:rFonts w:ascii="宋体" w:eastAsia="宋体" w:hAnsi="宋体" w:cs="宋体" w:hint="eastAsia"/>
                <w:b/>
                <w:bCs/>
                <w:color w:val="000000"/>
                <w:kern w:val="0"/>
                <w:szCs w:val="21"/>
                <w:lang w:bidi="ar"/>
              </w:rPr>
              <w:t>二级指标</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Cs w:val="21"/>
                <w:lang w:bidi="ar"/>
              </w:rPr>
            </w:pPr>
            <w:r>
              <w:rPr>
                <w:rFonts w:ascii="宋体" w:eastAsia="宋体" w:hAnsi="宋体" w:cs="宋体" w:hint="eastAsia"/>
                <w:b/>
                <w:bCs/>
                <w:color w:val="000000"/>
                <w:kern w:val="0"/>
                <w:szCs w:val="21"/>
                <w:lang w:bidi="ar"/>
              </w:rPr>
              <w:t>具体指标</w:t>
            </w:r>
          </w:p>
        </w:tc>
        <w:tc>
          <w:tcPr>
            <w:tcW w:w="6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Cs w:val="21"/>
                <w:lang w:bidi="ar"/>
              </w:rPr>
            </w:pPr>
            <w:r>
              <w:rPr>
                <w:rFonts w:ascii="宋体" w:eastAsia="宋体" w:hAnsi="宋体" w:cs="宋体" w:hint="eastAsia"/>
                <w:b/>
                <w:bCs/>
                <w:color w:val="000000"/>
                <w:kern w:val="0"/>
                <w:szCs w:val="21"/>
                <w:lang w:bidi="ar"/>
              </w:rPr>
              <w:t>已落实情况</w:t>
            </w:r>
          </w:p>
        </w:tc>
      </w:tr>
      <w:tr w:rsidR="00F60252">
        <w:trPr>
          <w:trHeight w:val="8170"/>
        </w:trPr>
        <w:tc>
          <w:tcPr>
            <w:tcW w:w="13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绩效指标</w:t>
            </w:r>
          </w:p>
        </w:tc>
        <w:tc>
          <w:tcPr>
            <w:tcW w:w="16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效果指标</w:t>
            </w:r>
          </w:p>
        </w:tc>
        <w:tc>
          <w:tcPr>
            <w:tcW w:w="17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社会效益</w:t>
            </w:r>
          </w:p>
        </w:tc>
        <w:tc>
          <w:tcPr>
            <w:tcW w:w="2130" w:type="dxa"/>
            <w:tcBorders>
              <w:top w:val="single" w:sz="4" w:space="0" w:color="000000"/>
              <w:left w:val="single" w:sz="4" w:space="0" w:color="auto"/>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统筹协调网络安全和信息化工作</w:t>
            </w:r>
          </w:p>
        </w:tc>
        <w:tc>
          <w:tcPr>
            <w:tcW w:w="6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（1）网络安全宣传周活动经费项目：按照中央网信办总体部署，顺利举办北京市网络安全宣传周活动，普及网络安全相关法律法规、有效提升广大群众的网络安全意识，宣传受众人次达1000万人次。  </w:t>
            </w:r>
            <w:r>
              <w:rPr>
                <w:rFonts w:ascii="宋体" w:eastAsia="宋体" w:hAnsi="宋体" w:cs="宋体" w:hint="eastAsia"/>
                <w:color w:val="000000"/>
                <w:kern w:val="0"/>
                <w:sz w:val="20"/>
                <w:szCs w:val="20"/>
                <w:lang w:bidi="ar"/>
              </w:rPr>
              <w:br/>
              <w:t>（2）北京市网络安全工作责任制落实情况检查工作（暨重要业务系统网络安全检查工作）经费项目：梳理掌握我市各党政机关、企事业单位党委（党组）网络安全责任制工作落实情况，重点围绕制度建设、安全管理及重要业务系统（信息系统、工控系统等）网络安全风险和防护状况等方面开展了全面检查及督促整改，以查“促建、促管、促改、促防”，推动健全了我市网络安全责任体系和管理体系，提高了我市网络安全保障能力和水平，保证了全市重要业务系统及网络的安全稳定运行。（3）北京市重大网络安全事件应急演练工作经费项目：按照市委网信委工作部署，我办邀请了66家单位，顺利举办了北京市重大网络安全事件应急演练活动，有效地提升了全民网络安全意识及技能。（4）北京市IPv6规模部署推进项目工作经费项目：①通过宣传推广，营造全社会共同参与推进IPv6规模部署和应用的良好氛围。根据国家IPv6发展监测平台数据显示，北京市IPv6综合发展指数为76.77%，IPv6活跃终端占比83.79%，居全国第一。 ②全市重点领域网站IPv6监测报告共完成7期，对我市重点领域网站和移动应用改造工作起到了指导作用，加快了升级改造进度。根据中央网信办发布的一至四季度发展情况报告显示，我市重点领域网站IPv6支持率从2021年3月56.03%，上升至12月的100%，全国排名第3。（5）新技术新应用安全评估技术服务费项目：按照《网络安全法》、《互联网新闻信息服务新技术新应用安全评估管理规定》等法规政策要求，加强了对互联网信息服务和相关新技术新应用的安全管理，对各互联网信息服务进行专业、权威的技术分析评估，并建立了样本库和问题库，从而更全面准确地发现风险隐患，维护了网络安全。</w:t>
            </w:r>
          </w:p>
        </w:tc>
      </w:tr>
      <w:tr w:rsidR="00F60252">
        <w:trPr>
          <w:trHeight w:val="582"/>
        </w:trPr>
        <w:tc>
          <w:tcPr>
            <w:tcW w:w="1369" w:type="dxa"/>
            <w:tcBorders>
              <w:top w:val="single" w:sz="4" w:space="0" w:color="auto"/>
              <w:left w:val="single" w:sz="4" w:space="0" w:color="000000"/>
              <w:bottom w:val="nil"/>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hint="eastAsia"/>
                <w:b/>
                <w:bCs/>
                <w:sz w:val="18"/>
                <w:szCs w:val="21"/>
              </w:rPr>
              <w:lastRenderedPageBreak/>
              <w:t>绩效指标</w:t>
            </w:r>
          </w:p>
        </w:tc>
        <w:tc>
          <w:tcPr>
            <w:tcW w:w="1650"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hint="eastAsia"/>
                <w:b/>
                <w:bCs/>
                <w:sz w:val="18"/>
                <w:szCs w:val="21"/>
              </w:rPr>
              <w:t>一级指标</w:t>
            </w:r>
          </w:p>
        </w:tc>
        <w:tc>
          <w:tcPr>
            <w:tcW w:w="1725"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hint="eastAsia"/>
                <w:b/>
                <w:bCs/>
                <w:sz w:val="18"/>
                <w:szCs w:val="21"/>
              </w:rPr>
              <w:t>二级指标</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hint="eastAsia"/>
                <w:b/>
                <w:bCs/>
                <w:sz w:val="18"/>
                <w:szCs w:val="21"/>
              </w:rPr>
              <w:t>具体指标</w:t>
            </w:r>
          </w:p>
        </w:tc>
        <w:tc>
          <w:tcPr>
            <w:tcW w:w="6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hint="eastAsia"/>
                <w:b/>
                <w:bCs/>
                <w:sz w:val="18"/>
                <w:szCs w:val="21"/>
              </w:rPr>
              <w:t>已落实情况</w:t>
            </w:r>
          </w:p>
        </w:tc>
      </w:tr>
      <w:tr w:rsidR="00F60252">
        <w:trPr>
          <w:trHeight w:val="4367"/>
        </w:trPr>
        <w:tc>
          <w:tcPr>
            <w:tcW w:w="1369" w:type="dxa"/>
            <w:vMerge w:val="restart"/>
            <w:tcBorders>
              <w:top w:val="single" w:sz="4" w:space="0" w:color="000000"/>
              <w:left w:val="single" w:sz="4" w:space="0" w:color="000000"/>
              <w:right w:val="single" w:sz="4" w:space="0" w:color="000000"/>
            </w:tcBorders>
            <w:shd w:val="clear" w:color="auto" w:fill="auto"/>
            <w:noWrap/>
            <w:vAlign w:val="center"/>
          </w:tcPr>
          <w:p w:rsidR="00F60252" w:rsidRDefault="0035015A">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绩效指标</w:t>
            </w:r>
          </w:p>
          <w:p w:rsidR="00F60252" w:rsidRDefault="00F60252">
            <w:pPr>
              <w:widowControl/>
              <w:jc w:val="left"/>
              <w:textAlignment w:val="center"/>
              <w:rPr>
                <w:rFonts w:ascii="宋体" w:eastAsia="宋体" w:hAnsi="宋体" w:cs="宋体"/>
                <w:color w:val="000000"/>
                <w:sz w:val="20"/>
                <w:szCs w:val="20"/>
              </w:rPr>
            </w:pPr>
          </w:p>
        </w:tc>
        <w:tc>
          <w:tcPr>
            <w:tcW w:w="1650" w:type="dxa"/>
            <w:vMerge w:val="restart"/>
            <w:tcBorders>
              <w:top w:val="single" w:sz="4" w:space="0" w:color="000000"/>
              <w:left w:val="single" w:sz="4" w:space="0" w:color="000000"/>
              <w:right w:val="single" w:sz="4" w:space="0" w:color="000000"/>
            </w:tcBorders>
            <w:shd w:val="clear" w:color="auto" w:fill="auto"/>
            <w:noWrap/>
            <w:vAlign w:val="center"/>
          </w:tcPr>
          <w:p w:rsidR="00F60252" w:rsidRDefault="0035015A">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效果指标</w:t>
            </w:r>
          </w:p>
          <w:p w:rsidR="00F60252" w:rsidRDefault="00F60252">
            <w:pPr>
              <w:widowControl/>
              <w:jc w:val="left"/>
              <w:textAlignment w:val="center"/>
              <w:rPr>
                <w:rFonts w:ascii="宋体" w:eastAsia="宋体" w:hAnsi="宋体" w:cs="宋体"/>
                <w:color w:val="000000"/>
                <w:sz w:val="20"/>
                <w:szCs w:val="20"/>
              </w:rPr>
            </w:pPr>
          </w:p>
        </w:tc>
        <w:tc>
          <w:tcPr>
            <w:tcW w:w="1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社会效益</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承办市委、市政府和市委网络安全和信息化委员会交办的其他事项</w:t>
            </w:r>
          </w:p>
        </w:tc>
        <w:tc>
          <w:tcPr>
            <w:tcW w:w="6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属地互联网企业党员培训及管理经费项目：通过开展发展对象培训、互联网行业大课堂、10个属地党建业务融合发展示范管理培训，举办专题系列教育活动等，有效提高了互联网企业党组织书记、党务工作者能力水平，党组织作用进一步得到发挥，增强了在推动企业发展，助力首都经济社会建设中的作用。（2）《北京市“十四五”时期信息化发展规划》编制经费项目：编制的《北京市“十四五”时期信息化发展规划》调研报告，对十四五时期信息化发展的起到顶层设计依据和总体指导作用，为建设国际一流的和谐宜居之都提供了有力地支撑。</w:t>
            </w:r>
            <w:r>
              <w:rPr>
                <w:rFonts w:ascii="宋体" w:eastAsia="宋体" w:hAnsi="宋体" w:cs="宋体" w:hint="eastAsia"/>
                <w:color w:val="000000"/>
                <w:kern w:val="0"/>
                <w:sz w:val="20"/>
                <w:szCs w:val="20"/>
                <w:lang w:bidi="ar"/>
              </w:rPr>
              <w:br/>
              <w:t>截止2021年12月底，我办基本达到了预期效益指标，效益完成情况较好，但相应效益资料在进行收集整理、对比分析尚需进一步完善，绩效呈现有待进一步提升。</w:t>
            </w:r>
          </w:p>
        </w:tc>
      </w:tr>
      <w:tr w:rsidR="00F60252">
        <w:trPr>
          <w:trHeight w:val="3375"/>
        </w:trPr>
        <w:tc>
          <w:tcPr>
            <w:tcW w:w="1369" w:type="dxa"/>
            <w:vMerge/>
            <w:tcBorders>
              <w:left w:val="single" w:sz="4" w:space="0" w:color="000000"/>
              <w:bottom w:val="single" w:sz="4" w:space="0" w:color="auto"/>
              <w:right w:val="single" w:sz="4" w:space="0" w:color="000000"/>
            </w:tcBorders>
            <w:shd w:val="clear" w:color="auto" w:fill="auto"/>
            <w:noWrap/>
            <w:vAlign w:val="center"/>
          </w:tcPr>
          <w:p w:rsidR="00F60252" w:rsidRDefault="00F60252">
            <w:pPr>
              <w:widowControl/>
              <w:jc w:val="left"/>
              <w:textAlignment w:val="center"/>
              <w:rPr>
                <w:rFonts w:ascii="宋体" w:eastAsia="宋体" w:hAnsi="宋体" w:cs="宋体"/>
                <w:color w:val="000000"/>
                <w:sz w:val="20"/>
                <w:szCs w:val="20"/>
              </w:rPr>
            </w:pPr>
          </w:p>
        </w:tc>
        <w:tc>
          <w:tcPr>
            <w:tcW w:w="1650" w:type="dxa"/>
            <w:vMerge/>
            <w:tcBorders>
              <w:left w:val="single" w:sz="4" w:space="0" w:color="000000"/>
              <w:bottom w:val="single" w:sz="4" w:space="0" w:color="auto"/>
              <w:right w:val="single" w:sz="4" w:space="0" w:color="000000"/>
            </w:tcBorders>
            <w:shd w:val="clear" w:color="auto" w:fill="auto"/>
            <w:noWrap/>
            <w:vAlign w:val="center"/>
          </w:tcPr>
          <w:p w:rsidR="00F60252" w:rsidRDefault="00F60252">
            <w:pPr>
              <w:widowControl/>
              <w:jc w:val="left"/>
              <w:textAlignment w:val="center"/>
              <w:rPr>
                <w:rFonts w:ascii="宋体" w:eastAsia="宋体" w:hAnsi="宋体" w:cs="宋体"/>
                <w:color w:val="000000"/>
                <w:sz w:val="20"/>
                <w:szCs w:val="20"/>
              </w:rPr>
            </w:pPr>
          </w:p>
        </w:tc>
        <w:tc>
          <w:tcPr>
            <w:tcW w:w="1725" w:type="dxa"/>
            <w:tcBorders>
              <w:top w:val="single" w:sz="4" w:space="0" w:color="000000"/>
              <w:left w:val="single" w:sz="4" w:space="0" w:color="auto"/>
              <w:bottom w:val="single" w:sz="4" w:space="0" w:color="000000"/>
              <w:right w:val="single" w:sz="4" w:space="0" w:color="000000"/>
            </w:tcBorders>
            <w:shd w:val="clear" w:color="auto" w:fill="auto"/>
            <w:noWrap/>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可持续影响</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落实国家和本市关于互联网信息传播的方针政策和法律法规，推动本市互联网信息传播法制建设</w:t>
            </w:r>
          </w:p>
        </w:tc>
        <w:tc>
          <w:tcPr>
            <w:tcW w:w="6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互联网内容建设、舆论研究和信息管理工作调研经费项目：通过开展重大调研课题《首都互联网资源普查调研》，掌握了北京市互联网资源基本情况，形成的调研报告及相关专项报告，推动了北京市互联网健康发展，为北京市信息发展奠定了基础。</w:t>
            </w:r>
          </w:p>
        </w:tc>
      </w:tr>
      <w:tr w:rsidR="00F60252">
        <w:trPr>
          <w:trHeight w:val="693"/>
        </w:trPr>
        <w:tc>
          <w:tcPr>
            <w:tcW w:w="1369" w:type="dxa"/>
            <w:tcBorders>
              <w:top w:val="single" w:sz="4" w:space="0" w:color="auto"/>
              <w:left w:val="single" w:sz="4" w:space="0" w:color="000000"/>
              <w:bottom w:val="single" w:sz="4" w:space="0" w:color="auto"/>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lastRenderedPageBreak/>
              <w:t>绩效指标</w:t>
            </w:r>
          </w:p>
        </w:tc>
        <w:tc>
          <w:tcPr>
            <w:tcW w:w="1650" w:type="dxa"/>
            <w:tcBorders>
              <w:top w:val="single" w:sz="4" w:space="0" w:color="auto"/>
              <w:left w:val="single" w:sz="4" w:space="0" w:color="000000"/>
              <w:bottom w:val="single" w:sz="4" w:space="0" w:color="auto"/>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一级指标</w:t>
            </w:r>
          </w:p>
        </w:tc>
        <w:tc>
          <w:tcPr>
            <w:tcW w:w="1725" w:type="dxa"/>
            <w:tcBorders>
              <w:top w:val="single" w:sz="4" w:space="0" w:color="000000"/>
              <w:left w:val="single" w:sz="4" w:space="0" w:color="000000"/>
              <w:bottom w:val="single" w:sz="4" w:space="0" w:color="auto"/>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二级指标</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具体指标</w:t>
            </w:r>
          </w:p>
        </w:tc>
        <w:tc>
          <w:tcPr>
            <w:tcW w:w="6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已落实情况</w:t>
            </w:r>
          </w:p>
        </w:tc>
      </w:tr>
      <w:tr w:rsidR="00F60252">
        <w:trPr>
          <w:trHeight w:val="5201"/>
        </w:trPr>
        <w:tc>
          <w:tcPr>
            <w:tcW w:w="13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绩效指标</w:t>
            </w:r>
          </w:p>
        </w:tc>
        <w:tc>
          <w:tcPr>
            <w:tcW w:w="16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效果指标</w:t>
            </w:r>
          </w:p>
        </w:tc>
        <w:tc>
          <w:tcPr>
            <w:tcW w:w="17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可持续影响</w:t>
            </w:r>
          </w:p>
        </w:tc>
        <w:tc>
          <w:tcPr>
            <w:tcW w:w="2130" w:type="dxa"/>
            <w:tcBorders>
              <w:top w:val="single" w:sz="4" w:space="0" w:color="000000"/>
              <w:left w:val="single" w:sz="4" w:space="0" w:color="auto"/>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协调、组织做好网上宣传和舆论引导工作</w:t>
            </w:r>
          </w:p>
        </w:tc>
        <w:tc>
          <w:tcPr>
            <w:tcW w:w="6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（1）新媒体发展扶持项目工作经费项目：通过开展“一城三带情 文脉中轴行”、“宝藏大运河”、“多young长城”、“西山文化带 奇妙之旅”等主题线路走访宣传活动，借助网络画面语言讲述北京源远流长的古都文化、丰富了厚重的红色文化、特色鲜明的京味文化等，强化了网络空间的正能量建设，推进了网络传播的吸引力、传播力及影响力。</w:t>
            </w:r>
            <w:r>
              <w:rPr>
                <w:rFonts w:ascii="宋体" w:eastAsia="宋体" w:hAnsi="宋体" w:cs="宋体" w:hint="eastAsia"/>
                <w:color w:val="000000"/>
                <w:kern w:val="0"/>
                <w:sz w:val="20"/>
                <w:szCs w:val="20"/>
                <w:lang w:bidi="ar"/>
              </w:rPr>
              <w:br/>
              <w:t>（2）北京文化系列网络活动工作经费项目：通过开展短视频征集大赛，深入挖掘展示了北京文化内涵，利用多个平台、多种形式对北京文化进行宣传报道，展现全国文化中心建设亮点成效，以网上文化传播的力量持续助力于首都的高质量发展。</w:t>
            </w:r>
            <w:r>
              <w:rPr>
                <w:rFonts w:ascii="宋体" w:eastAsia="宋体" w:hAnsi="宋体" w:cs="宋体" w:hint="eastAsia"/>
                <w:color w:val="000000"/>
                <w:kern w:val="0"/>
                <w:sz w:val="20"/>
                <w:szCs w:val="20"/>
                <w:lang w:bidi="ar"/>
              </w:rPr>
              <w:br/>
              <w:t>（3）传统节日文化传承推广工作网络传播工作经费项目：通过举办20场次网络文化活动，利用多个平台、多种形式对传统节日文化进行宣传报道，引导网民珍视、享受身边的文化遗产、持续有效地提高了网民对传统文化推广的积极性和主动性。</w:t>
            </w:r>
          </w:p>
        </w:tc>
      </w:tr>
    </w:tbl>
    <w:p w:rsidR="00F60252" w:rsidRDefault="00F60252">
      <w:pPr>
        <w:spacing w:line="600" w:lineRule="exact"/>
        <w:rPr>
          <w:rFonts w:ascii="仿宋_GB2312" w:eastAsia="仿宋_GB2312" w:hAnsi="宋体" w:cs="宋体"/>
          <w:color w:val="000000"/>
          <w:kern w:val="0"/>
          <w:sz w:val="28"/>
          <w:szCs w:val="28"/>
        </w:rPr>
      </w:pPr>
    </w:p>
    <w:p w:rsidR="00F60252" w:rsidRDefault="00F60252">
      <w:pPr>
        <w:spacing w:line="600" w:lineRule="exact"/>
        <w:rPr>
          <w:rFonts w:ascii="仿宋_GB2312" w:eastAsia="仿宋_GB2312" w:hAnsi="宋体" w:cs="宋体"/>
          <w:color w:val="000000"/>
          <w:kern w:val="0"/>
          <w:sz w:val="32"/>
          <w:szCs w:val="32"/>
        </w:rPr>
      </w:pPr>
    </w:p>
    <w:p w:rsidR="00F60252" w:rsidRDefault="00F60252">
      <w:pPr>
        <w:spacing w:line="600" w:lineRule="exact"/>
        <w:rPr>
          <w:rFonts w:ascii="仿宋_GB2312" w:eastAsia="仿宋_GB2312" w:hAnsi="宋体" w:cs="宋体"/>
          <w:color w:val="000000"/>
          <w:kern w:val="0"/>
          <w:sz w:val="32"/>
          <w:szCs w:val="32"/>
        </w:rPr>
      </w:pPr>
    </w:p>
    <w:p w:rsidR="00F60252" w:rsidRDefault="00F60252">
      <w:pPr>
        <w:spacing w:line="600" w:lineRule="exact"/>
        <w:rPr>
          <w:rFonts w:ascii="仿宋_GB2312" w:eastAsia="仿宋_GB2312" w:hAnsi="宋体" w:cs="宋体"/>
          <w:color w:val="000000"/>
          <w:kern w:val="0"/>
          <w:sz w:val="32"/>
          <w:szCs w:val="32"/>
        </w:rPr>
      </w:pPr>
    </w:p>
    <w:p w:rsidR="00F60252" w:rsidRDefault="00F60252">
      <w:pPr>
        <w:spacing w:line="600" w:lineRule="exact"/>
        <w:rPr>
          <w:rFonts w:ascii="仿宋_GB2312" w:eastAsia="仿宋_GB2312" w:hAnsi="宋体" w:cs="宋体"/>
          <w:color w:val="000000"/>
          <w:kern w:val="0"/>
          <w:sz w:val="32"/>
          <w:szCs w:val="32"/>
        </w:rPr>
        <w:sectPr w:rsidR="00F60252">
          <w:pgSz w:w="16838" w:h="11906" w:orient="landscape"/>
          <w:pgMar w:top="1588" w:right="1911" w:bottom="1474" w:left="1418" w:header="851" w:footer="992" w:gutter="0"/>
          <w:cols w:space="720"/>
          <w:docGrid w:type="lines" w:linePitch="312"/>
        </w:sectPr>
      </w:pPr>
    </w:p>
    <w:p w:rsidR="00F60252" w:rsidRDefault="0035015A">
      <w:pPr>
        <w:rPr>
          <w:rFonts w:ascii="仿宋_GB2312" w:eastAsia="仿宋_GB2312" w:hAnsi="仿宋_GB2312" w:cs="仿宋_GB2312"/>
          <w:sz w:val="32"/>
          <w:szCs w:val="32"/>
        </w:rPr>
      </w:pPr>
      <w:bookmarkStart w:id="37" w:name="_Toc8688"/>
      <w:bookmarkStart w:id="38" w:name="_Toc2183"/>
      <w:bookmarkStart w:id="39" w:name="_Toc29344"/>
      <w:r>
        <w:rPr>
          <w:rFonts w:ascii="仿宋_GB2312" w:eastAsia="仿宋_GB2312" w:hAnsi="仿宋_GB2312" w:cs="仿宋_GB2312" w:hint="eastAsia"/>
          <w:sz w:val="32"/>
          <w:szCs w:val="32"/>
        </w:rPr>
        <w:lastRenderedPageBreak/>
        <w:t>附件3</w:t>
      </w:r>
      <w:bookmarkEnd w:id="37"/>
      <w:bookmarkEnd w:id="38"/>
      <w:bookmarkEnd w:id="39"/>
    </w:p>
    <w:tbl>
      <w:tblPr>
        <w:tblW w:w="13992" w:type="dxa"/>
        <w:tblInd w:w="93" w:type="dxa"/>
        <w:tblLayout w:type="fixed"/>
        <w:tblLook w:val="04A0" w:firstRow="1" w:lastRow="0" w:firstColumn="1" w:lastColumn="0" w:noHBand="0" w:noVBand="1"/>
      </w:tblPr>
      <w:tblGrid>
        <w:gridCol w:w="1665"/>
        <w:gridCol w:w="1216"/>
        <w:gridCol w:w="1620"/>
        <w:gridCol w:w="1527"/>
        <w:gridCol w:w="3570"/>
        <w:gridCol w:w="900"/>
        <w:gridCol w:w="795"/>
        <w:gridCol w:w="2699"/>
      </w:tblGrid>
      <w:tr w:rsidR="00F60252">
        <w:trPr>
          <w:trHeight w:val="769"/>
        </w:trPr>
        <w:tc>
          <w:tcPr>
            <w:tcW w:w="1399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方正小标宋简体" w:eastAsia="方正小标宋简体" w:hAnsi="方正小标宋简体" w:cs="方正小标宋简体"/>
                <w:b/>
                <w:bCs/>
                <w:color w:val="000000"/>
                <w:sz w:val="44"/>
                <w:szCs w:val="44"/>
              </w:rPr>
            </w:pPr>
            <w:r>
              <w:rPr>
                <w:rFonts w:ascii="方正小标宋简体" w:eastAsia="方正小标宋简体" w:hAnsi="方正小标宋简体" w:cs="方正小标宋简体"/>
                <w:b/>
                <w:bCs/>
                <w:color w:val="000000"/>
                <w:kern w:val="0"/>
                <w:sz w:val="44"/>
                <w:szCs w:val="44"/>
                <w:lang w:bidi="ar"/>
              </w:rPr>
              <w:t>2021年部门整体绩效评价指标体系评分表</w:t>
            </w:r>
          </w:p>
        </w:tc>
      </w:tr>
      <w:tr w:rsidR="00F60252">
        <w:trPr>
          <w:trHeight w:val="420"/>
        </w:trPr>
        <w:tc>
          <w:tcPr>
            <w:tcW w:w="1399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left"/>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lang w:bidi="ar"/>
              </w:rPr>
              <w:t>一、</w:t>
            </w:r>
            <w:r>
              <w:rPr>
                <w:rStyle w:val="font51"/>
                <w:rFonts w:hint="default"/>
                <w:lang w:bidi="ar"/>
              </w:rPr>
              <w:t>当年预算执行情况（20分）</w:t>
            </w:r>
          </w:p>
        </w:tc>
      </w:tr>
      <w:tr w:rsidR="00F60252">
        <w:trPr>
          <w:trHeight w:val="600"/>
        </w:trPr>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 xml:space="preserve">一级指标　</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 xml:space="preserve">二级指标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预算数（万元）(A)</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执行数（万元）(B)</w:t>
            </w:r>
          </w:p>
        </w:tc>
        <w:tc>
          <w:tcPr>
            <w:tcW w:w="3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预算执行率（C)</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分值</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得分</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打分分析</w:t>
            </w:r>
          </w:p>
        </w:tc>
      </w:tr>
      <w:tr w:rsidR="00F60252">
        <w:trPr>
          <w:trHeight w:val="840"/>
        </w:trPr>
        <w:tc>
          <w:tcPr>
            <w:tcW w:w="1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当年预算执行情况（20）</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资金总体</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26,748.84</w:t>
            </w:r>
          </w:p>
        </w:tc>
        <w:tc>
          <w:tcPr>
            <w:tcW w:w="15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26,514.79</w:t>
            </w:r>
          </w:p>
        </w:tc>
        <w:tc>
          <w:tcPr>
            <w:tcW w:w="3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99.13%</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w:t>
            </w:r>
          </w:p>
        </w:tc>
        <w:tc>
          <w:tcPr>
            <w:tcW w:w="79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 xml:space="preserve">19.83 </w:t>
            </w:r>
          </w:p>
        </w:tc>
        <w:tc>
          <w:tcPr>
            <w:tcW w:w="269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C=（B/A)*100%</w:t>
            </w:r>
          </w:p>
        </w:tc>
      </w:tr>
      <w:tr w:rsidR="00F60252">
        <w:trPr>
          <w:trHeight w:val="840"/>
        </w:trPr>
        <w:tc>
          <w:tcPr>
            <w:tcW w:w="1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F60252">
            <w:pPr>
              <w:jc w:val="center"/>
              <w:rPr>
                <w:rFonts w:ascii="宋体" w:eastAsia="宋体" w:hAnsi="宋体" w:cs="宋体"/>
                <w:color w:val="000000"/>
                <w:sz w:val="20"/>
                <w:szCs w:val="20"/>
              </w:rPr>
            </w:pP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基本支出</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6,657.40</w:t>
            </w:r>
          </w:p>
        </w:tc>
        <w:tc>
          <w:tcPr>
            <w:tcW w:w="15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6,596.59</w:t>
            </w:r>
          </w:p>
        </w:tc>
        <w:tc>
          <w:tcPr>
            <w:tcW w:w="357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w:t>
            </w: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F60252">
            <w:pPr>
              <w:jc w:val="center"/>
              <w:rPr>
                <w:rFonts w:ascii="宋体" w:eastAsia="宋体" w:hAnsi="宋体" w:cs="宋体"/>
                <w:color w:val="000000"/>
                <w:sz w:val="20"/>
                <w:szCs w:val="20"/>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F60252">
            <w:pPr>
              <w:jc w:val="center"/>
              <w:rPr>
                <w:rFonts w:ascii="宋体" w:eastAsia="宋体" w:hAnsi="宋体" w:cs="宋体"/>
                <w:color w:val="000000"/>
                <w:sz w:val="22"/>
                <w:szCs w:val="22"/>
              </w:rPr>
            </w:pPr>
          </w:p>
        </w:tc>
        <w:tc>
          <w:tcPr>
            <w:tcW w:w="269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F60252">
            <w:pPr>
              <w:jc w:val="center"/>
              <w:rPr>
                <w:rFonts w:ascii="宋体" w:eastAsia="宋体" w:hAnsi="宋体" w:cs="宋体"/>
                <w:color w:val="000000"/>
                <w:sz w:val="22"/>
                <w:szCs w:val="22"/>
              </w:rPr>
            </w:pPr>
          </w:p>
        </w:tc>
      </w:tr>
      <w:tr w:rsidR="00F60252">
        <w:trPr>
          <w:trHeight w:val="840"/>
        </w:trPr>
        <w:tc>
          <w:tcPr>
            <w:tcW w:w="1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F60252">
            <w:pPr>
              <w:jc w:val="center"/>
              <w:rPr>
                <w:rFonts w:ascii="宋体" w:eastAsia="宋体" w:hAnsi="宋体" w:cs="宋体"/>
                <w:color w:val="000000"/>
                <w:sz w:val="20"/>
                <w:szCs w:val="20"/>
              </w:rPr>
            </w:pP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项目支出</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20,091.44</w:t>
            </w:r>
          </w:p>
        </w:tc>
        <w:tc>
          <w:tcPr>
            <w:tcW w:w="15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right"/>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19,918.20</w:t>
            </w:r>
          </w:p>
        </w:tc>
        <w:tc>
          <w:tcPr>
            <w:tcW w:w="357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F60252">
            <w:pPr>
              <w:jc w:val="center"/>
              <w:rPr>
                <w:rFonts w:ascii="宋体" w:eastAsia="宋体" w:hAnsi="宋体" w:cs="宋体"/>
                <w:color w:val="000000"/>
                <w:sz w:val="22"/>
                <w:szCs w:val="22"/>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F60252">
            <w:pPr>
              <w:jc w:val="center"/>
              <w:rPr>
                <w:rFonts w:ascii="宋体" w:eastAsia="宋体" w:hAnsi="宋体" w:cs="宋体"/>
                <w:color w:val="000000"/>
                <w:sz w:val="20"/>
                <w:szCs w:val="20"/>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F60252">
            <w:pPr>
              <w:jc w:val="center"/>
              <w:rPr>
                <w:rFonts w:ascii="宋体" w:eastAsia="宋体" w:hAnsi="宋体" w:cs="宋体"/>
                <w:color w:val="000000"/>
                <w:sz w:val="22"/>
                <w:szCs w:val="22"/>
              </w:rPr>
            </w:pPr>
          </w:p>
        </w:tc>
        <w:tc>
          <w:tcPr>
            <w:tcW w:w="269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F60252">
            <w:pPr>
              <w:jc w:val="center"/>
              <w:rPr>
                <w:rFonts w:ascii="宋体" w:eastAsia="宋体" w:hAnsi="宋体" w:cs="宋体"/>
                <w:color w:val="000000"/>
                <w:sz w:val="22"/>
                <w:szCs w:val="22"/>
              </w:rPr>
            </w:pPr>
          </w:p>
        </w:tc>
      </w:tr>
      <w:tr w:rsidR="00F60252">
        <w:trPr>
          <w:trHeight w:val="840"/>
        </w:trPr>
        <w:tc>
          <w:tcPr>
            <w:tcW w:w="16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F60252">
            <w:pPr>
              <w:jc w:val="center"/>
              <w:rPr>
                <w:rFonts w:ascii="宋体" w:eastAsia="宋体" w:hAnsi="宋体" w:cs="宋体"/>
                <w:color w:val="000000"/>
                <w:sz w:val="20"/>
                <w:szCs w:val="20"/>
              </w:rPr>
            </w:pP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w:t>
            </w:r>
          </w:p>
        </w:tc>
        <w:tc>
          <w:tcPr>
            <w:tcW w:w="15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w:t>
            </w:r>
          </w:p>
        </w:tc>
        <w:tc>
          <w:tcPr>
            <w:tcW w:w="357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F60252">
            <w:pPr>
              <w:jc w:val="center"/>
              <w:rPr>
                <w:rFonts w:ascii="宋体" w:eastAsia="宋体" w:hAnsi="宋体" w:cs="宋体"/>
                <w:color w:val="000000"/>
                <w:sz w:val="22"/>
                <w:szCs w:val="22"/>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F60252">
            <w:pPr>
              <w:jc w:val="center"/>
              <w:rPr>
                <w:rFonts w:ascii="宋体" w:eastAsia="宋体" w:hAnsi="宋体" w:cs="宋体"/>
                <w:color w:val="000000"/>
                <w:sz w:val="20"/>
                <w:szCs w:val="20"/>
              </w:rPr>
            </w:pPr>
          </w:p>
        </w:tc>
        <w:tc>
          <w:tcPr>
            <w:tcW w:w="79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F60252">
            <w:pPr>
              <w:jc w:val="center"/>
              <w:rPr>
                <w:rFonts w:ascii="宋体" w:eastAsia="宋体" w:hAnsi="宋体" w:cs="宋体"/>
                <w:color w:val="000000"/>
                <w:sz w:val="22"/>
                <w:szCs w:val="22"/>
              </w:rPr>
            </w:pPr>
          </w:p>
        </w:tc>
        <w:tc>
          <w:tcPr>
            <w:tcW w:w="269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F60252">
            <w:pPr>
              <w:jc w:val="center"/>
              <w:rPr>
                <w:rFonts w:ascii="宋体" w:eastAsia="宋体" w:hAnsi="宋体" w:cs="宋体"/>
                <w:color w:val="000000"/>
                <w:sz w:val="22"/>
                <w:szCs w:val="22"/>
              </w:rPr>
            </w:pPr>
          </w:p>
        </w:tc>
      </w:tr>
      <w:tr w:rsidR="00F60252">
        <w:trPr>
          <w:trHeight w:val="439"/>
        </w:trPr>
        <w:tc>
          <w:tcPr>
            <w:tcW w:w="1399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left"/>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lang w:bidi="ar"/>
              </w:rPr>
              <w:t>二、</w:t>
            </w:r>
            <w:r>
              <w:rPr>
                <w:rStyle w:val="font51"/>
                <w:rFonts w:hint="default"/>
                <w:lang w:bidi="ar"/>
              </w:rPr>
              <w:t>整体绩效目标实现情况（60分）</w:t>
            </w:r>
          </w:p>
        </w:tc>
      </w:tr>
      <w:tr w:rsidR="00F60252">
        <w:trPr>
          <w:trHeight w:val="487"/>
        </w:trPr>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 xml:space="preserve">一级指标　</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二级指标</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 xml:space="preserve">三级指标　</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指标值</w:t>
            </w:r>
          </w:p>
        </w:tc>
        <w:tc>
          <w:tcPr>
            <w:tcW w:w="3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完成值</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分值</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得分</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打分分析</w:t>
            </w:r>
          </w:p>
        </w:tc>
      </w:tr>
      <w:tr w:rsidR="00F60252">
        <w:trPr>
          <w:trHeight w:val="1250"/>
        </w:trPr>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b/>
                <w:bCs/>
                <w:color w:val="000000"/>
                <w:kern w:val="0"/>
                <w:sz w:val="20"/>
                <w:szCs w:val="20"/>
                <w:lang w:bidi="ar"/>
              </w:rPr>
              <w:t>整体绩效目标实现情况（共60）</w:t>
            </w:r>
          </w:p>
        </w:tc>
        <w:tc>
          <w:tcPr>
            <w:tcW w:w="12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产出</w:t>
            </w:r>
          </w:p>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（共30）</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产出数量</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各项任务是否按照预期完成</w:t>
            </w:r>
          </w:p>
        </w:tc>
        <w:tc>
          <w:tcPr>
            <w:tcW w:w="3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各项任务基本按照预期完成</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各项任务基本按照预期完成，个别项目部分内容因疫情原因未实施</w:t>
            </w:r>
          </w:p>
        </w:tc>
      </w:tr>
      <w:tr w:rsidR="00F60252">
        <w:trPr>
          <w:trHeight w:val="537"/>
        </w:trPr>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lastRenderedPageBreak/>
              <w:t xml:space="preserve">一级指标　</w:t>
            </w:r>
          </w:p>
        </w:tc>
        <w:tc>
          <w:tcPr>
            <w:tcW w:w="12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二级指标</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三级指标</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指标值</w:t>
            </w:r>
          </w:p>
        </w:tc>
        <w:tc>
          <w:tcPr>
            <w:tcW w:w="3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完成值</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分值</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得分</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打分分析</w:t>
            </w:r>
          </w:p>
        </w:tc>
      </w:tr>
      <w:tr w:rsidR="00F60252">
        <w:trPr>
          <w:trHeight w:val="1320"/>
        </w:trPr>
        <w:tc>
          <w:tcPr>
            <w:tcW w:w="1665" w:type="dxa"/>
            <w:vMerge w:val="restart"/>
            <w:tcBorders>
              <w:top w:val="single" w:sz="4" w:space="0" w:color="000000"/>
              <w:left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整体绩效目标实现情况</w:t>
            </w:r>
          </w:p>
        </w:tc>
        <w:tc>
          <w:tcPr>
            <w:tcW w:w="1216" w:type="dxa"/>
            <w:vMerge w:val="restart"/>
            <w:tcBorders>
              <w:top w:val="single" w:sz="4" w:space="0" w:color="000000"/>
              <w:left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产出</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产出质量</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各项任务是否按照预期质量要求完成</w:t>
            </w:r>
          </w:p>
        </w:tc>
        <w:tc>
          <w:tcPr>
            <w:tcW w:w="3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各项任务基本达到质量要求</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8</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6.5</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各项任务基本按照预期质量要求完成</w:t>
            </w:r>
          </w:p>
        </w:tc>
      </w:tr>
      <w:tr w:rsidR="00F60252">
        <w:trPr>
          <w:trHeight w:val="1765"/>
        </w:trPr>
        <w:tc>
          <w:tcPr>
            <w:tcW w:w="1665" w:type="dxa"/>
            <w:vMerge/>
            <w:tcBorders>
              <w:left w:val="single" w:sz="4" w:space="0" w:color="000000"/>
              <w:right w:val="single" w:sz="4" w:space="0" w:color="000000"/>
            </w:tcBorders>
            <w:shd w:val="clear" w:color="auto" w:fill="auto"/>
            <w:vAlign w:val="center"/>
          </w:tcPr>
          <w:p w:rsidR="00F60252" w:rsidRDefault="00F60252">
            <w:pPr>
              <w:widowControl/>
              <w:jc w:val="left"/>
              <w:textAlignment w:val="center"/>
              <w:rPr>
                <w:rFonts w:ascii="宋体" w:eastAsia="宋体" w:hAnsi="宋体" w:cs="宋体"/>
                <w:color w:val="000000"/>
                <w:sz w:val="20"/>
                <w:szCs w:val="20"/>
              </w:rPr>
            </w:pPr>
          </w:p>
        </w:tc>
        <w:tc>
          <w:tcPr>
            <w:tcW w:w="1216" w:type="dxa"/>
            <w:vMerge/>
            <w:tcBorders>
              <w:left w:val="single" w:sz="4" w:space="0" w:color="000000"/>
              <w:right w:val="single" w:sz="4" w:space="0" w:color="000000"/>
            </w:tcBorders>
            <w:shd w:val="clear" w:color="auto" w:fill="auto"/>
            <w:noWrap/>
            <w:vAlign w:val="center"/>
          </w:tcPr>
          <w:p w:rsidR="00F60252" w:rsidRDefault="00F60252">
            <w:pPr>
              <w:widowControl/>
              <w:jc w:val="center"/>
              <w:textAlignment w:val="center"/>
              <w:rPr>
                <w:rFonts w:ascii="宋体" w:eastAsia="宋体" w:hAnsi="宋体" w:cs="宋体"/>
                <w:color w:val="000000"/>
                <w:sz w:val="20"/>
                <w:szCs w:val="20"/>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产出进度</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2020年上半年完成支出进度50%，2019下半年完成支出进度50%</w:t>
            </w:r>
          </w:p>
        </w:tc>
        <w:tc>
          <w:tcPr>
            <w:tcW w:w="3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部分项目资金存在结转结余和预算调整</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5.5</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部分项目资金存在结转结余和预算调整</w:t>
            </w:r>
          </w:p>
        </w:tc>
      </w:tr>
      <w:tr w:rsidR="00F60252">
        <w:trPr>
          <w:trHeight w:val="1145"/>
        </w:trPr>
        <w:tc>
          <w:tcPr>
            <w:tcW w:w="1665" w:type="dxa"/>
            <w:vMerge/>
            <w:tcBorders>
              <w:left w:val="single" w:sz="4" w:space="0" w:color="000000"/>
              <w:right w:val="single" w:sz="4" w:space="0" w:color="000000"/>
            </w:tcBorders>
            <w:shd w:val="clear" w:color="auto" w:fill="auto"/>
            <w:vAlign w:val="center"/>
          </w:tcPr>
          <w:p w:rsidR="00F60252" w:rsidRDefault="00F60252">
            <w:pPr>
              <w:widowControl/>
              <w:jc w:val="left"/>
              <w:textAlignment w:val="center"/>
              <w:rPr>
                <w:rFonts w:ascii="宋体" w:eastAsia="宋体" w:hAnsi="宋体" w:cs="宋体"/>
                <w:color w:val="000000"/>
                <w:sz w:val="20"/>
                <w:szCs w:val="20"/>
              </w:rPr>
            </w:pPr>
          </w:p>
        </w:tc>
        <w:tc>
          <w:tcPr>
            <w:tcW w:w="1216" w:type="dxa"/>
            <w:vMerge/>
            <w:tcBorders>
              <w:left w:val="single" w:sz="4" w:space="0" w:color="000000"/>
              <w:bottom w:val="single" w:sz="4" w:space="0" w:color="auto"/>
              <w:right w:val="single" w:sz="4" w:space="0" w:color="000000"/>
            </w:tcBorders>
            <w:shd w:val="clear" w:color="auto" w:fill="auto"/>
            <w:noWrap/>
            <w:vAlign w:val="center"/>
          </w:tcPr>
          <w:p w:rsidR="00F60252" w:rsidRDefault="00F60252">
            <w:pPr>
              <w:widowControl/>
              <w:jc w:val="center"/>
              <w:textAlignment w:val="center"/>
              <w:rPr>
                <w:rFonts w:ascii="宋体" w:eastAsia="宋体" w:hAnsi="宋体" w:cs="宋体"/>
                <w:color w:val="000000"/>
                <w:sz w:val="20"/>
                <w:szCs w:val="20"/>
              </w:rPr>
            </w:pPr>
          </w:p>
        </w:tc>
        <w:tc>
          <w:tcPr>
            <w:tcW w:w="1620" w:type="dxa"/>
            <w:tcBorders>
              <w:top w:val="single" w:sz="4" w:space="0" w:color="000000"/>
              <w:left w:val="single" w:sz="4" w:space="0" w:color="000000"/>
              <w:bottom w:val="single" w:sz="4" w:space="0" w:color="auto"/>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产出成本</w:t>
            </w:r>
          </w:p>
        </w:tc>
        <w:tc>
          <w:tcPr>
            <w:tcW w:w="1527" w:type="dxa"/>
            <w:tcBorders>
              <w:top w:val="single" w:sz="4" w:space="0" w:color="000000"/>
              <w:left w:val="single" w:sz="4" w:space="0" w:color="000000"/>
              <w:bottom w:val="single" w:sz="4" w:space="0" w:color="auto"/>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严格将成本控制在部门预算范围内</w:t>
            </w:r>
          </w:p>
        </w:tc>
        <w:tc>
          <w:tcPr>
            <w:tcW w:w="3570" w:type="dxa"/>
            <w:tcBorders>
              <w:top w:val="single" w:sz="4" w:space="0" w:color="000000"/>
              <w:left w:val="single" w:sz="4" w:space="0" w:color="000000"/>
              <w:bottom w:val="single" w:sz="4" w:space="0" w:color="auto"/>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实际支出26514.79万元</w:t>
            </w:r>
          </w:p>
        </w:tc>
        <w:tc>
          <w:tcPr>
            <w:tcW w:w="900" w:type="dxa"/>
            <w:tcBorders>
              <w:top w:val="single" w:sz="4" w:space="0" w:color="000000"/>
              <w:left w:val="single" w:sz="4" w:space="0" w:color="000000"/>
              <w:bottom w:val="single" w:sz="4" w:space="0" w:color="auto"/>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7</w:t>
            </w:r>
          </w:p>
        </w:tc>
        <w:tc>
          <w:tcPr>
            <w:tcW w:w="795" w:type="dxa"/>
            <w:tcBorders>
              <w:top w:val="single" w:sz="4" w:space="0" w:color="000000"/>
              <w:left w:val="single" w:sz="4" w:space="0" w:color="000000"/>
              <w:bottom w:val="single" w:sz="4" w:space="0" w:color="auto"/>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w:t>
            </w:r>
          </w:p>
        </w:tc>
        <w:tc>
          <w:tcPr>
            <w:tcW w:w="2699" w:type="dxa"/>
            <w:tcBorders>
              <w:top w:val="single" w:sz="4" w:space="0" w:color="000000"/>
              <w:left w:val="single" w:sz="4" w:space="0" w:color="000000"/>
              <w:bottom w:val="single" w:sz="4" w:space="0" w:color="auto"/>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成本控制在在部门预算范围内</w:t>
            </w:r>
          </w:p>
        </w:tc>
      </w:tr>
      <w:tr w:rsidR="00F60252">
        <w:trPr>
          <w:trHeight w:val="3056"/>
        </w:trPr>
        <w:tc>
          <w:tcPr>
            <w:tcW w:w="1665" w:type="dxa"/>
            <w:vMerge/>
            <w:tcBorders>
              <w:left w:val="single" w:sz="4" w:space="0" w:color="000000"/>
              <w:bottom w:val="single" w:sz="4" w:space="0" w:color="auto"/>
              <w:right w:val="single" w:sz="4" w:space="0" w:color="000000"/>
            </w:tcBorders>
            <w:shd w:val="clear" w:color="auto" w:fill="auto"/>
            <w:vAlign w:val="center"/>
          </w:tcPr>
          <w:p w:rsidR="00F60252" w:rsidRDefault="00F60252">
            <w:pPr>
              <w:widowControl/>
              <w:jc w:val="left"/>
              <w:textAlignment w:val="center"/>
              <w:rPr>
                <w:rFonts w:ascii="宋体" w:eastAsia="宋体" w:hAnsi="宋体" w:cs="宋体"/>
                <w:color w:val="000000"/>
                <w:sz w:val="20"/>
                <w:szCs w:val="20"/>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效益指标</w:t>
            </w:r>
          </w:p>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（共30）</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社会效益</w:t>
            </w:r>
          </w:p>
        </w:tc>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做好本市互联网领域的信息内容管理工作，依法查处违法违规行为</w:t>
            </w:r>
          </w:p>
        </w:tc>
        <w:tc>
          <w:tcPr>
            <w:tcW w:w="3570"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通过坚持严抓严管、敢于亮剑，坚决维护政治安全和网络意识形态安全，进一步强化有责要担当、失责要问责鲜明导向；压实主体责任不留死角；处置有害信息要抓早抓小，清理网上各类杂音噪音；开展专项治理净化生态，联合处置“饭圈”、“双减”乱象等；强化执法治网重拳打击，切实数据安全。</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0252" w:rsidRDefault="0035015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6</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4.5</w:t>
            </w: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社会效益较为明显</w:t>
            </w:r>
          </w:p>
        </w:tc>
      </w:tr>
      <w:tr w:rsidR="00F60252">
        <w:trPr>
          <w:trHeight w:val="482"/>
        </w:trPr>
        <w:tc>
          <w:tcPr>
            <w:tcW w:w="1665"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lastRenderedPageBreak/>
              <w:t xml:space="preserve">一级指标　</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二级指标</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三级指标</w:t>
            </w:r>
          </w:p>
        </w:tc>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指标值</w:t>
            </w:r>
          </w:p>
        </w:tc>
        <w:tc>
          <w:tcPr>
            <w:tcW w:w="3570"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完成值</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分值</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得分</w:t>
            </w: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打分分析</w:t>
            </w:r>
          </w:p>
        </w:tc>
      </w:tr>
      <w:tr w:rsidR="00F60252">
        <w:trPr>
          <w:trHeight w:val="1759"/>
        </w:trPr>
        <w:tc>
          <w:tcPr>
            <w:tcW w:w="1665" w:type="dxa"/>
            <w:vMerge w:val="restart"/>
            <w:tcBorders>
              <w:top w:val="single" w:sz="4" w:space="0" w:color="auto"/>
              <w:left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整体绩效目标实现情况</w:t>
            </w:r>
          </w:p>
        </w:tc>
        <w:tc>
          <w:tcPr>
            <w:tcW w:w="1216" w:type="dxa"/>
            <w:vMerge w:val="restart"/>
            <w:tcBorders>
              <w:top w:val="single" w:sz="4" w:space="0" w:color="auto"/>
              <w:left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效益指标</w:t>
            </w:r>
          </w:p>
          <w:p w:rsidR="00F60252" w:rsidRDefault="00F60252">
            <w:pPr>
              <w:widowControl/>
              <w:jc w:val="center"/>
              <w:textAlignment w:val="center"/>
              <w:rPr>
                <w:rFonts w:ascii="宋体" w:eastAsia="宋体" w:hAnsi="宋体" w:cs="宋体"/>
                <w:color w:val="000000"/>
                <w:sz w:val="20"/>
                <w:szCs w:val="20"/>
              </w:rPr>
            </w:pPr>
          </w:p>
        </w:tc>
        <w:tc>
          <w:tcPr>
            <w:tcW w:w="1620" w:type="dxa"/>
            <w:tcBorders>
              <w:top w:val="single" w:sz="4" w:space="0" w:color="auto"/>
              <w:left w:val="single" w:sz="4" w:space="0" w:color="000000"/>
              <w:bottom w:val="single" w:sz="4" w:space="0" w:color="auto"/>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社会效益</w:t>
            </w:r>
          </w:p>
        </w:tc>
        <w:tc>
          <w:tcPr>
            <w:tcW w:w="1527" w:type="dxa"/>
            <w:tcBorders>
              <w:top w:val="single" w:sz="4" w:space="0" w:color="auto"/>
              <w:left w:val="single" w:sz="4" w:space="0" w:color="000000"/>
              <w:bottom w:val="single" w:sz="4" w:space="0" w:color="auto"/>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统筹协调网络安全和信息化工作</w:t>
            </w:r>
          </w:p>
        </w:tc>
        <w:tc>
          <w:tcPr>
            <w:tcW w:w="3570" w:type="dxa"/>
            <w:tcBorders>
              <w:top w:val="single" w:sz="4" w:space="0" w:color="auto"/>
              <w:left w:val="single" w:sz="4" w:space="0" w:color="000000"/>
              <w:bottom w:val="single" w:sz="4" w:space="0" w:color="auto"/>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通过坚持保障发展、赋能增效，统筹推进网络安全和信息化融入服务首都发展全局，充分发挥统筹协调职能；高质量编制网信规划，安全保障能力得到全面提升，并助力数字经济发展，增添动力</w:t>
            </w:r>
          </w:p>
        </w:tc>
        <w:tc>
          <w:tcPr>
            <w:tcW w:w="900" w:type="dxa"/>
            <w:tcBorders>
              <w:top w:val="single" w:sz="4" w:space="0" w:color="auto"/>
              <w:left w:val="single" w:sz="4" w:space="0" w:color="000000"/>
              <w:bottom w:val="single" w:sz="4" w:space="0" w:color="auto"/>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6</w:t>
            </w:r>
          </w:p>
        </w:tc>
        <w:tc>
          <w:tcPr>
            <w:tcW w:w="795" w:type="dxa"/>
            <w:tcBorders>
              <w:top w:val="single" w:sz="4" w:space="0" w:color="auto"/>
              <w:left w:val="single" w:sz="4" w:space="0" w:color="000000"/>
              <w:bottom w:val="single" w:sz="4" w:space="0" w:color="auto"/>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4.5</w:t>
            </w:r>
          </w:p>
        </w:tc>
        <w:tc>
          <w:tcPr>
            <w:tcW w:w="2699" w:type="dxa"/>
            <w:tcBorders>
              <w:top w:val="single" w:sz="4" w:space="0" w:color="auto"/>
              <w:left w:val="single" w:sz="4" w:space="0" w:color="000000"/>
              <w:bottom w:val="single" w:sz="4" w:space="0" w:color="auto"/>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社会效益较为明显</w:t>
            </w:r>
          </w:p>
        </w:tc>
      </w:tr>
      <w:tr w:rsidR="00F60252">
        <w:trPr>
          <w:trHeight w:val="2606"/>
        </w:trPr>
        <w:tc>
          <w:tcPr>
            <w:tcW w:w="1665" w:type="dxa"/>
            <w:vMerge/>
            <w:tcBorders>
              <w:left w:val="single" w:sz="4" w:space="0" w:color="000000"/>
              <w:right w:val="single" w:sz="4" w:space="0" w:color="000000"/>
            </w:tcBorders>
            <w:shd w:val="clear" w:color="auto" w:fill="auto"/>
            <w:vAlign w:val="center"/>
          </w:tcPr>
          <w:p w:rsidR="00F60252" w:rsidRDefault="00F60252">
            <w:pPr>
              <w:widowControl/>
              <w:jc w:val="left"/>
              <w:textAlignment w:val="center"/>
              <w:rPr>
                <w:rFonts w:ascii="宋体" w:eastAsia="宋体" w:hAnsi="宋体" w:cs="宋体"/>
                <w:color w:val="000000"/>
                <w:sz w:val="20"/>
                <w:szCs w:val="20"/>
              </w:rPr>
            </w:pPr>
          </w:p>
        </w:tc>
        <w:tc>
          <w:tcPr>
            <w:tcW w:w="1216" w:type="dxa"/>
            <w:vMerge/>
            <w:tcBorders>
              <w:left w:val="single" w:sz="4" w:space="0" w:color="000000"/>
              <w:right w:val="single" w:sz="4" w:space="0" w:color="000000"/>
            </w:tcBorders>
            <w:shd w:val="clear" w:color="auto" w:fill="auto"/>
            <w:vAlign w:val="center"/>
          </w:tcPr>
          <w:p w:rsidR="00F60252" w:rsidRDefault="00F60252">
            <w:pPr>
              <w:widowControl/>
              <w:jc w:val="center"/>
              <w:textAlignment w:val="center"/>
              <w:rPr>
                <w:rFonts w:ascii="宋体" w:eastAsia="宋体" w:hAnsi="宋体" w:cs="宋体"/>
                <w:color w:val="000000"/>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社会效益</w:t>
            </w:r>
          </w:p>
        </w:tc>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承办市委、市政府和市委网络安全和信息化委员会交办的其他事项</w:t>
            </w:r>
          </w:p>
        </w:tc>
        <w:tc>
          <w:tcPr>
            <w:tcW w:w="3570"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通过坚持党建引领、先行先试，率先推进网络领域党的建设开创性新的局面，促进网络企业健康发展；组建互联网企业党工委，全面加强党对互联网的领导；强化党建组织引领作用；健全完善党建工作制度，制定《党组织书参与重大决策的指导意见》，夯实基层党组织建设</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0252" w:rsidRDefault="0035015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6</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4.5</w:t>
            </w: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社会效益较为明显</w:t>
            </w:r>
          </w:p>
        </w:tc>
      </w:tr>
      <w:tr w:rsidR="00F60252">
        <w:trPr>
          <w:trHeight w:val="3073"/>
        </w:trPr>
        <w:tc>
          <w:tcPr>
            <w:tcW w:w="1665" w:type="dxa"/>
            <w:vMerge/>
            <w:tcBorders>
              <w:left w:val="single" w:sz="4" w:space="0" w:color="000000"/>
              <w:bottom w:val="single" w:sz="4" w:space="0" w:color="auto"/>
              <w:right w:val="single" w:sz="4" w:space="0" w:color="000000"/>
            </w:tcBorders>
            <w:shd w:val="clear" w:color="auto" w:fill="auto"/>
            <w:vAlign w:val="center"/>
          </w:tcPr>
          <w:p w:rsidR="00F60252" w:rsidRDefault="00F60252">
            <w:pPr>
              <w:widowControl/>
              <w:jc w:val="left"/>
              <w:textAlignment w:val="center"/>
              <w:rPr>
                <w:rFonts w:ascii="宋体" w:eastAsia="宋体" w:hAnsi="宋体" w:cs="宋体"/>
                <w:color w:val="000000"/>
                <w:sz w:val="20"/>
                <w:szCs w:val="20"/>
              </w:rPr>
            </w:pPr>
          </w:p>
        </w:tc>
        <w:tc>
          <w:tcPr>
            <w:tcW w:w="1216" w:type="dxa"/>
            <w:vMerge/>
            <w:tcBorders>
              <w:left w:val="single" w:sz="4" w:space="0" w:color="000000"/>
              <w:bottom w:val="single" w:sz="4" w:space="0" w:color="auto"/>
              <w:right w:val="single" w:sz="4" w:space="0" w:color="000000"/>
            </w:tcBorders>
            <w:shd w:val="clear" w:color="auto" w:fill="auto"/>
            <w:vAlign w:val="center"/>
          </w:tcPr>
          <w:p w:rsidR="00F60252" w:rsidRDefault="00F60252">
            <w:pPr>
              <w:widowControl/>
              <w:jc w:val="center"/>
              <w:textAlignment w:val="center"/>
              <w:rPr>
                <w:rFonts w:ascii="宋体" w:eastAsia="宋体" w:hAnsi="宋体" w:cs="宋体"/>
                <w:color w:val="000000"/>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可持续影响</w:t>
            </w:r>
          </w:p>
        </w:tc>
        <w:tc>
          <w:tcPr>
            <w:tcW w:w="1527"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落实国家和本市关于互联网信息传播的方针政策和法律法规，推动本市互联网信息传播法制建设</w:t>
            </w:r>
          </w:p>
        </w:tc>
        <w:tc>
          <w:tcPr>
            <w:tcW w:w="3570"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通过持续思想引领、培根铸魂，全力推动新时代中国特色社会主义思想形成最强音；网上宣传总书记重要讲话权威稿件更加深入人心；聚焦建党100周年主题主线，做大做强网络正能量宣传激发广泛认同；网上选出首都发展鼓舞士气；2022年北京冬奥会网上传播持续发力；持续促进广大网民的爱国热情，推动本市互联网信息传播法制建设</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0252" w:rsidRDefault="0035015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6</w:t>
            </w:r>
          </w:p>
        </w:tc>
        <w:tc>
          <w:tcPr>
            <w:tcW w:w="795"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4.5</w:t>
            </w: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可持续影响较为明显</w:t>
            </w:r>
          </w:p>
        </w:tc>
      </w:tr>
      <w:tr w:rsidR="00F60252">
        <w:trPr>
          <w:trHeight w:val="435"/>
        </w:trPr>
        <w:tc>
          <w:tcPr>
            <w:tcW w:w="1665" w:type="dxa"/>
            <w:tcBorders>
              <w:top w:val="single" w:sz="4" w:space="0" w:color="auto"/>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lastRenderedPageBreak/>
              <w:t>一级指标</w:t>
            </w:r>
          </w:p>
        </w:tc>
        <w:tc>
          <w:tcPr>
            <w:tcW w:w="1216" w:type="dxa"/>
            <w:tcBorders>
              <w:top w:val="single" w:sz="4" w:space="0" w:color="auto"/>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二级指标</w:t>
            </w:r>
          </w:p>
        </w:tc>
        <w:tc>
          <w:tcPr>
            <w:tcW w:w="1620" w:type="dxa"/>
            <w:tcBorders>
              <w:top w:val="single" w:sz="4" w:space="0" w:color="auto"/>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三级指标</w:t>
            </w:r>
          </w:p>
        </w:tc>
        <w:tc>
          <w:tcPr>
            <w:tcW w:w="1527" w:type="dxa"/>
            <w:tcBorders>
              <w:top w:val="single" w:sz="4" w:space="0" w:color="auto"/>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指标值</w:t>
            </w:r>
          </w:p>
        </w:tc>
        <w:tc>
          <w:tcPr>
            <w:tcW w:w="3570" w:type="dxa"/>
            <w:tcBorders>
              <w:top w:val="single" w:sz="4" w:space="0" w:color="auto"/>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完成值</w:t>
            </w:r>
          </w:p>
        </w:tc>
        <w:tc>
          <w:tcPr>
            <w:tcW w:w="900"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分值</w:t>
            </w:r>
          </w:p>
        </w:tc>
        <w:tc>
          <w:tcPr>
            <w:tcW w:w="795" w:type="dxa"/>
            <w:tcBorders>
              <w:top w:val="single" w:sz="4" w:space="0" w:color="auto"/>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得分</w:t>
            </w:r>
          </w:p>
        </w:tc>
        <w:tc>
          <w:tcPr>
            <w:tcW w:w="2699" w:type="dxa"/>
            <w:tcBorders>
              <w:top w:val="single" w:sz="4" w:space="0" w:color="auto"/>
              <w:left w:val="single" w:sz="4" w:space="0" w:color="000000"/>
              <w:bottom w:val="nil"/>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打分分析</w:t>
            </w:r>
          </w:p>
        </w:tc>
      </w:tr>
      <w:tr w:rsidR="00F60252">
        <w:trPr>
          <w:trHeight w:val="2301"/>
        </w:trPr>
        <w:tc>
          <w:tcPr>
            <w:tcW w:w="1665" w:type="dxa"/>
            <w:tcBorders>
              <w:top w:val="single" w:sz="4" w:space="0" w:color="auto"/>
              <w:left w:val="single" w:sz="4" w:space="0" w:color="000000"/>
              <w:bottom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整体绩效目标实现情况</w:t>
            </w:r>
          </w:p>
        </w:tc>
        <w:tc>
          <w:tcPr>
            <w:tcW w:w="1216" w:type="dxa"/>
            <w:tcBorders>
              <w:top w:val="single" w:sz="4" w:space="0" w:color="auto"/>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效益指标</w:t>
            </w:r>
          </w:p>
        </w:tc>
        <w:tc>
          <w:tcPr>
            <w:tcW w:w="1620" w:type="dxa"/>
            <w:tcBorders>
              <w:top w:val="single" w:sz="4" w:space="0" w:color="auto"/>
              <w:left w:val="single" w:sz="4" w:space="0" w:color="000000"/>
              <w:bottom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可持续影响</w:t>
            </w:r>
          </w:p>
        </w:tc>
        <w:tc>
          <w:tcPr>
            <w:tcW w:w="1527" w:type="dxa"/>
            <w:tcBorders>
              <w:top w:val="single" w:sz="4" w:space="0" w:color="auto"/>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协调、组织做好网上宣传和舆论引导工作</w:t>
            </w:r>
          </w:p>
        </w:tc>
        <w:tc>
          <w:tcPr>
            <w:tcW w:w="3570" w:type="dxa"/>
            <w:tcBorders>
              <w:top w:val="single" w:sz="4" w:space="0" w:color="auto"/>
              <w:left w:val="single" w:sz="4" w:space="0" w:color="000000"/>
              <w:bottom w:val="single" w:sz="4" w:space="0" w:color="000000"/>
              <w:right w:val="single" w:sz="4" w:space="0" w:color="000000"/>
            </w:tcBorders>
            <w:shd w:val="clear" w:color="auto" w:fill="auto"/>
            <w:vAlign w:val="center"/>
          </w:tcPr>
          <w:p w:rsidR="00F60252" w:rsidRDefault="0035015A">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通过坚持守正创新、服务人民，系统谋划网络文明建设取得突出成效；成功承办首届网络文明大会，推动网络精神家园；网络文化建设形成品牌；评论引导能力持续提升，为建党百年营造了良好网络舆论氛围、网络导向管理更加规范、舆情服务保障显著增强</w:t>
            </w:r>
          </w:p>
        </w:tc>
        <w:tc>
          <w:tcPr>
            <w:tcW w:w="900"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6</w:t>
            </w:r>
          </w:p>
        </w:tc>
        <w:tc>
          <w:tcPr>
            <w:tcW w:w="795" w:type="dxa"/>
            <w:tcBorders>
              <w:top w:val="single" w:sz="4" w:space="0" w:color="auto"/>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4.5</w:t>
            </w:r>
          </w:p>
        </w:tc>
        <w:tc>
          <w:tcPr>
            <w:tcW w:w="2699" w:type="dxa"/>
            <w:tcBorders>
              <w:top w:val="single" w:sz="4" w:space="0" w:color="auto"/>
              <w:left w:val="single" w:sz="4" w:space="0" w:color="000000"/>
              <w:bottom w:val="nil"/>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可持续影响较为明显</w:t>
            </w:r>
          </w:p>
        </w:tc>
      </w:tr>
      <w:tr w:rsidR="00F60252">
        <w:trPr>
          <w:trHeight w:val="379"/>
        </w:trPr>
        <w:tc>
          <w:tcPr>
            <w:tcW w:w="1399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lang w:bidi="ar"/>
              </w:rPr>
              <w:t>三、</w:t>
            </w:r>
            <w:r>
              <w:rPr>
                <w:rStyle w:val="font51"/>
                <w:rFonts w:hint="default"/>
                <w:lang w:bidi="ar"/>
              </w:rPr>
              <w:t>预算管理情况（20分）</w:t>
            </w:r>
          </w:p>
        </w:tc>
      </w:tr>
      <w:tr w:rsidR="00F60252">
        <w:trPr>
          <w:trHeight w:val="405"/>
        </w:trPr>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一级指标</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二级指标</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三级指标</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指标值</w:t>
            </w:r>
          </w:p>
        </w:tc>
        <w:tc>
          <w:tcPr>
            <w:tcW w:w="3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完成值</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分值</w:t>
            </w: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得分</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打分分析</w:t>
            </w:r>
          </w:p>
        </w:tc>
      </w:tr>
      <w:tr w:rsidR="00F60252">
        <w:trPr>
          <w:trHeight w:val="960"/>
        </w:trPr>
        <w:tc>
          <w:tcPr>
            <w:tcW w:w="1665" w:type="dxa"/>
            <w:vMerge w:val="restart"/>
            <w:tcBorders>
              <w:top w:val="single" w:sz="4" w:space="0" w:color="000000"/>
              <w:left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预算管理情况（共20）</w:t>
            </w:r>
          </w:p>
          <w:p w:rsidR="00F60252" w:rsidRDefault="00F60252">
            <w:pPr>
              <w:widowControl/>
              <w:jc w:val="left"/>
              <w:textAlignment w:val="center"/>
              <w:rPr>
                <w:rFonts w:ascii="宋体" w:eastAsia="宋体" w:hAnsi="宋体" w:cs="宋体"/>
                <w:color w:val="000000"/>
                <w:sz w:val="20"/>
                <w:szCs w:val="20"/>
              </w:rPr>
            </w:pP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财务管理（共4）</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财务管理制度健全性</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财务管理制度是否健全</w:t>
            </w:r>
          </w:p>
        </w:tc>
        <w:tc>
          <w:tcPr>
            <w:tcW w:w="3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财务制度健全</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①预算资金管理办法、绩效跟踪管理办法、资产管理办法等各项制度健全；②部门内部财务管理制度完整、合规；③会计核算制度完整、合规。</w:t>
            </w:r>
          </w:p>
        </w:tc>
      </w:tr>
      <w:tr w:rsidR="00F60252">
        <w:trPr>
          <w:trHeight w:val="2933"/>
        </w:trPr>
        <w:tc>
          <w:tcPr>
            <w:tcW w:w="1665" w:type="dxa"/>
            <w:vMerge/>
            <w:tcBorders>
              <w:left w:val="single" w:sz="4" w:space="0" w:color="000000"/>
              <w:bottom w:val="single" w:sz="4" w:space="0" w:color="000000"/>
              <w:right w:val="single" w:sz="4" w:space="0" w:color="000000"/>
            </w:tcBorders>
            <w:shd w:val="clear" w:color="auto" w:fill="auto"/>
            <w:vAlign w:val="center"/>
          </w:tcPr>
          <w:p w:rsidR="00F60252" w:rsidRDefault="00F60252">
            <w:pPr>
              <w:widowControl/>
              <w:jc w:val="left"/>
              <w:textAlignment w:val="center"/>
              <w:rPr>
                <w:rFonts w:ascii="宋体" w:eastAsia="宋体" w:hAnsi="宋体" w:cs="宋体"/>
                <w:color w:val="000000"/>
                <w:sz w:val="20"/>
                <w:szCs w:val="20"/>
              </w:rPr>
            </w:pP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rPr>
              <w:t>财务管理</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资金使用合规性和安全性</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资金使用是否合规和安全</w:t>
            </w:r>
          </w:p>
        </w:tc>
        <w:tc>
          <w:tcPr>
            <w:tcW w:w="3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资金使用合规安全</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w:t>
            </w: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①符合国家财经法规和财务管理制度规定以及有关专项资金管理办法的规定；②资金的拨付有完整的审批程序和手续；③项目的重大开支经过评估论证；④符合部门预算批复的用途；⑤不存在截留、挤占、挪用情况；⑥资金使用符合政府采购的程序和流程；⑦资金使用符合公务卡结算相关制度和规定。</w:t>
            </w:r>
          </w:p>
        </w:tc>
      </w:tr>
      <w:tr w:rsidR="00F60252">
        <w:trPr>
          <w:trHeight w:val="450"/>
        </w:trPr>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lastRenderedPageBreak/>
              <w:t>一级指标</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二级指标</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三级指标</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指标值</w:t>
            </w:r>
          </w:p>
        </w:tc>
        <w:tc>
          <w:tcPr>
            <w:tcW w:w="3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完成值</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分值</w:t>
            </w: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得分</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打分分析</w:t>
            </w:r>
          </w:p>
        </w:tc>
      </w:tr>
      <w:tr w:rsidR="00F60252">
        <w:trPr>
          <w:trHeight w:val="1313"/>
        </w:trPr>
        <w:tc>
          <w:tcPr>
            <w:tcW w:w="1665" w:type="dxa"/>
            <w:vMerge w:val="restart"/>
            <w:tcBorders>
              <w:top w:val="single" w:sz="4" w:space="0" w:color="000000"/>
              <w:left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预算管理情况</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财务管理</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会计基础信息完善性</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会计基础信息是否完善</w:t>
            </w:r>
          </w:p>
        </w:tc>
        <w:tc>
          <w:tcPr>
            <w:tcW w:w="3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会计基础信息完善</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①基础数据信息和会计信息资料真实；②基础数据信息和会计信息资料完整；③基础数据信息和会计信息资料准确。</w:t>
            </w:r>
          </w:p>
        </w:tc>
      </w:tr>
      <w:tr w:rsidR="00F60252">
        <w:trPr>
          <w:trHeight w:val="1535"/>
        </w:trPr>
        <w:tc>
          <w:tcPr>
            <w:tcW w:w="1665" w:type="dxa"/>
            <w:vMerge/>
            <w:tcBorders>
              <w:left w:val="single" w:sz="4" w:space="0" w:color="000000"/>
              <w:right w:val="single" w:sz="4" w:space="0" w:color="000000"/>
            </w:tcBorders>
            <w:shd w:val="clear" w:color="auto" w:fill="auto"/>
            <w:vAlign w:val="center"/>
          </w:tcPr>
          <w:p w:rsidR="00F60252" w:rsidRDefault="00F60252">
            <w:pPr>
              <w:widowControl/>
              <w:jc w:val="left"/>
              <w:textAlignment w:val="center"/>
              <w:rPr>
                <w:rFonts w:ascii="宋体" w:eastAsia="宋体" w:hAnsi="宋体" w:cs="宋体"/>
                <w:color w:val="000000"/>
                <w:sz w:val="20"/>
                <w:szCs w:val="20"/>
              </w:rPr>
            </w:pP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资产管理（4）</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资产管理规范性</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资产管理是否规范</w:t>
            </w:r>
          </w:p>
        </w:tc>
        <w:tc>
          <w:tcPr>
            <w:tcW w:w="3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资产管理较规范，但未执行定期盘点</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①资产管理较为规范，不存在超标准配置资产，但没有充分执行定期盘点制度；②资产使用规范，无出租、出借资产行为；③资产处置规范。</w:t>
            </w:r>
          </w:p>
        </w:tc>
      </w:tr>
      <w:tr w:rsidR="00F60252">
        <w:trPr>
          <w:trHeight w:val="1122"/>
        </w:trPr>
        <w:tc>
          <w:tcPr>
            <w:tcW w:w="1665" w:type="dxa"/>
            <w:vMerge/>
            <w:tcBorders>
              <w:left w:val="single" w:sz="4" w:space="0" w:color="000000"/>
              <w:bottom w:val="single" w:sz="4" w:space="0" w:color="000000"/>
              <w:right w:val="single" w:sz="4" w:space="0" w:color="000000"/>
            </w:tcBorders>
            <w:shd w:val="clear" w:color="auto" w:fill="auto"/>
            <w:vAlign w:val="center"/>
          </w:tcPr>
          <w:p w:rsidR="00F60252" w:rsidRDefault="00F60252">
            <w:pPr>
              <w:widowControl/>
              <w:jc w:val="left"/>
              <w:textAlignment w:val="center"/>
              <w:rPr>
                <w:rFonts w:ascii="宋体" w:eastAsia="宋体" w:hAnsi="宋体" w:cs="宋体"/>
                <w:color w:val="000000"/>
                <w:sz w:val="20"/>
                <w:szCs w:val="20"/>
              </w:rPr>
            </w:pP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绩效管理（4）</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绩效管理情况</w:t>
            </w:r>
          </w:p>
        </w:tc>
        <w:tc>
          <w:tcPr>
            <w:tcW w:w="15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绩效管理是否规范</w:t>
            </w:r>
          </w:p>
        </w:tc>
        <w:tc>
          <w:tcPr>
            <w:tcW w:w="3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绩效管理较规范，个别项目对绩效目标偏离情况未及时矫正</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①绩效信息文档归集较为及时、规范；②绩效跟踪管理较为有效，个别项目对绩效目标偏离情况未及时矫正。</w:t>
            </w:r>
          </w:p>
        </w:tc>
      </w:tr>
      <w:tr w:rsidR="00F60252">
        <w:trPr>
          <w:trHeight w:val="462"/>
        </w:trPr>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F60252">
            <w:pPr>
              <w:rPr>
                <w:rFonts w:ascii="宋体" w:eastAsia="宋体" w:hAnsi="宋体" w:cs="宋体"/>
                <w:color w:val="000000"/>
                <w:sz w:val="20"/>
                <w:szCs w:val="20"/>
              </w:rPr>
            </w:pP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 xml:space="preserve">指标　</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2020年</w:t>
            </w:r>
          </w:p>
        </w:tc>
        <w:tc>
          <w:tcPr>
            <w:tcW w:w="35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2021年</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分值</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得分</w:t>
            </w:r>
          </w:p>
        </w:tc>
        <w:tc>
          <w:tcPr>
            <w:tcW w:w="26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F60252">
            <w:pPr>
              <w:rPr>
                <w:rFonts w:ascii="宋体" w:eastAsia="宋体" w:hAnsi="宋体" w:cs="宋体"/>
                <w:b/>
                <w:bCs/>
                <w:color w:val="000000"/>
                <w:sz w:val="22"/>
                <w:szCs w:val="22"/>
              </w:rPr>
            </w:pPr>
          </w:p>
        </w:tc>
      </w:tr>
      <w:tr w:rsidR="00F60252">
        <w:trPr>
          <w:trHeight w:val="1148"/>
        </w:trPr>
        <w:tc>
          <w:tcPr>
            <w:tcW w:w="1665" w:type="dxa"/>
            <w:vMerge w:val="restart"/>
            <w:tcBorders>
              <w:top w:val="single" w:sz="4" w:space="0" w:color="000000"/>
              <w:left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预算管理情况</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结转结余率（4）</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3.04%</w:t>
            </w:r>
          </w:p>
        </w:tc>
        <w:tc>
          <w:tcPr>
            <w:tcW w:w="3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0.88%</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①2020年结转结余率=794.01/26145.37*100% ②2021年结转结余率=234.06/26748.84*100%</w:t>
            </w:r>
          </w:p>
        </w:tc>
      </w:tr>
      <w:tr w:rsidR="00F60252">
        <w:trPr>
          <w:trHeight w:val="901"/>
        </w:trPr>
        <w:tc>
          <w:tcPr>
            <w:tcW w:w="1665" w:type="dxa"/>
            <w:vMerge/>
            <w:tcBorders>
              <w:left w:val="single" w:sz="4" w:space="0" w:color="000000"/>
              <w:bottom w:val="single" w:sz="4" w:space="0" w:color="000000"/>
              <w:right w:val="single" w:sz="4" w:space="0" w:color="000000"/>
            </w:tcBorders>
            <w:shd w:val="clear" w:color="auto" w:fill="auto"/>
            <w:vAlign w:val="center"/>
          </w:tcPr>
          <w:p w:rsidR="00F60252" w:rsidRDefault="00F60252">
            <w:pPr>
              <w:widowControl/>
              <w:jc w:val="left"/>
              <w:textAlignment w:val="center"/>
              <w:rPr>
                <w:rFonts w:ascii="宋体" w:eastAsia="宋体" w:hAnsi="宋体" w:cs="宋体"/>
                <w:color w:val="000000"/>
                <w:sz w:val="20"/>
                <w:szCs w:val="20"/>
              </w:rPr>
            </w:pP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部门预决算差异率  （4）</w:t>
            </w:r>
          </w:p>
        </w:tc>
        <w:tc>
          <w:tcPr>
            <w:tcW w:w="31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c>
          <w:tcPr>
            <w:tcW w:w="3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-0.87%</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color w:val="000000"/>
                <w:sz w:val="22"/>
                <w:szCs w:val="22"/>
              </w:rPr>
            </w:pPr>
            <w:r>
              <w:rPr>
                <w:rFonts w:ascii="宋体" w:eastAsia="宋体" w:hAnsi="宋体" w:cs="宋体" w:hint="eastAsia"/>
                <w:color w:val="000000"/>
                <w:kern w:val="0"/>
                <w:sz w:val="22"/>
                <w:szCs w:val="22"/>
                <w:lang w:bidi="ar"/>
              </w:rPr>
              <w:t>4</w:t>
            </w:r>
          </w:p>
        </w:tc>
        <w:tc>
          <w:tcPr>
            <w:tcW w:w="2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60252" w:rsidRDefault="0035015A">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部门预决算差异率=（B-A)/A*100%</w:t>
            </w:r>
          </w:p>
        </w:tc>
      </w:tr>
      <w:tr w:rsidR="00F60252">
        <w:trPr>
          <w:trHeight w:val="420"/>
        </w:trPr>
        <w:tc>
          <w:tcPr>
            <w:tcW w:w="9598"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sz w:val="22"/>
                <w:szCs w:val="22"/>
              </w:rPr>
            </w:pPr>
            <w:r>
              <w:rPr>
                <w:rFonts w:ascii="宋体" w:eastAsia="宋体" w:hAnsi="宋体" w:cs="宋体" w:hint="eastAsia"/>
                <w:b/>
                <w:bCs/>
                <w:color w:val="000000"/>
                <w:kern w:val="0"/>
                <w:sz w:val="22"/>
                <w:szCs w:val="22"/>
                <w:lang w:bidi="ar"/>
              </w:rPr>
              <w:t>合计</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 xml:space="preserve">100.00 </w:t>
            </w:r>
          </w:p>
        </w:tc>
        <w:tc>
          <w:tcPr>
            <w:tcW w:w="7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35015A">
            <w:pPr>
              <w:widowControl/>
              <w:jc w:val="center"/>
              <w:textAlignment w:val="center"/>
              <w:rPr>
                <w:rFonts w:ascii="宋体" w:eastAsia="宋体" w:hAnsi="宋体" w:cs="宋体"/>
                <w:b/>
                <w:bCs/>
                <w:color w:val="000000"/>
                <w:kern w:val="0"/>
                <w:sz w:val="20"/>
                <w:szCs w:val="20"/>
                <w:lang w:bidi="ar"/>
              </w:rPr>
            </w:pPr>
            <w:r>
              <w:rPr>
                <w:rFonts w:ascii="宋体" w:eastAsia="宋体" w:hAnsi="宋体" w:cs="宋体" w:hint="eastAsia"/>
                <w:b/>
                <w:bCs/>
                <w:color w:val="000000"/>
                <w:kern w:val="0"/>
                <w:sz w:val="20"/>
                <w:szCs w:val="20"/>
                <w:lang w:bidi="ar"/>
              </w:rPr>
              <w:t xml:space="preserve">84.33 </w:t>
            </w:r>
          </w:p>
        </w:tc>
        <w:tc>
          <w:tcPr>
            <w:tcW w:w="269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F60252" w:rsidRDefault="00F60252">
            <w:pPr>
              <w:rPr>
                <w:rFonts w:ascii="宋体" w:eastAsia="宋体" w:hAnsi="宋体" w:cs="宋体"/>
                <w:color w:val="000000"/>
                <w:sz w:val="22"/>
                <w:szCs w:val="22"/>
              </w:rPr>
            </w:pPr>
          </w:p>
        </w:tc>
      </w:tr>
    </w:tbl>
    <w:p w:rsidR="00F60252" w:rsidRDefault="00F60252">
      <w:pPr>
        <w:tabs>
          <w:tab w:val="left" w:pos="927"/>
        </w:tabs>
        <w:rPr>
          <w:rFonts w:ascii="仿宋_GB2312" w:eastAsia="仿宋_GB2312" w:hAnsi="仿宋_GB2312" w:cs="仿宋_GB2312"/>
          <w:sz w:val="32"/>
          <w:szCs w:val="32"/>
        </w:rPr>
      </w:pPr>
    </w:p>
    <w:sectPr w:rsidR="00F60252">
      <w:footerReference w:type="default" r:id="rId1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95A" w:rsidRDefault="0055295A">
      <w:r>
        <w:separator/>
      </w:r>
    </w:p>
  </w:endnote>
  <w:endnote w:type="continuationSeparator" w:id="0">
    <w:p w:rsidR="0055295A" w:rsidRDefault="00552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B94" w:rsidRDefault="00EE5B94">
    <w:pPr>
      <w:pStyle w:val="a5"/>
      <w:jc w:val="right"/>
      <w:rPr>
        <w:rFonts w:ascii="宋体" w:hAnsi="宋体"/>
        <w:sz w:val="28"/>
        <w:szCs w:val="28"/>
      </w:rPr>
    </w:pPr>
  </w:p>
  <w:p w:rsidR="00EE5B94" w:rsidRDefault="00EE5B9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B94" w:rsidRDefault="00EE5B94">
    <w:pPr>
      <w:pStyle w:val="a5"/>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E5B94" w:rsidRDefault="00EE5B94">
                          <w:pPr>
                            <w:pStyle w:val="a5"/>
                          </w:pPr>
                          <w:r>
                            <w:fldChar w:fldCharType="begin"/>
                          </w:r>
                          <w:r>
                            <w:instrText xml:space="preserve"> PAGE  \* MERGEFORMAT </w:instrText>
                          </w:r>
                          <w:r>
                            <w:fldChar w:fldCharType="separate"/>
                          </w:r>
                          <w:r w:rsidR="004A5604">
                            <w:rPr>
                              <w:noProof/>
                            </w:rP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EE5B94" w:rsidRDefault="00EE5B94">
                    <w:pPr>
                      <w:pStyle w:val="a5"/>
                    </w:pPr>
                    <w:r>
                      <w:fldChar w:fldCharType="begin"/>
                    </w:r>
                    <w:r>
                      <w:instrText xml:space="preserve"> PAGE  \* MERGEFORMAT </w:instrText>
                    </w:r>
                    <w:r>
                      <w:fldChar w:fldCharType="separate"/>
                    </w:r>
                    <w:r w:rsidR="004A5604">
                      <w:rPr>
                        <w:noProof/>
                      </w:rPr>
                      <w:t>17</w:t>
                    </w:r>
                    <w:r>
                      <w:fldChar w:fldCharType="end"/>
                    </w:r>
                  </w:p>
                </w:txbxContent>
              </v:textbox>
              <w10:wrap anchorx="margin"/>
            </v:shape>
          </w:pict>
        </mc:Fallback>
      </mc:AlternateContent>
    </w:r>
  </w:p>
  <w:p w:rsidR="00EE5B94" w:rsidRDefault="00EE5B9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B94" w:rsidRDefault="00EE5B9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95A" w:rsidRDefault="0055295A">
      <w:r>
        <w:separator/>
      </w:r>
    </w:p>
  </w:footnote>
  <w:footnote w:type="continuationSeparator" w:id="0">
    <w:p w:rsidR="0055295A" w:rsidRDefault="005529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5B94" w:rsidRDefault="00EE5B94">
    <w:pPr>
      <w:tabs>
        <w:tab w:val="left" w:pos="1725"/>
      </w:tabs>
      <w:snapToGrid w:val="0"/>
      <w:ind w:right="7200"/>
      <w:jc w:val="left"/>
      <w:rPr>
        <w:rFonts w:ascii="Calibri" w:eastAsia="宋体" w:hAnsi="Calibri" w:cs="黑体"/>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0365393"/>
    <w:multiLevelType w:val="singleLevel"/>
    <w:tmpl w:val="C0365393"/>
    <w:lvl w:ilvl="0">
      <w:start w:val="2"/>
      <w:numFmt w:val="decimal"/>
      <w:suff w:val="nothing"/>
      <w:lvlText w:val="（%1）"/>
      <w:lvlJc w:val="left"/>
    </w:lvl>
  </w:abstractNum>
  <w:abstractNum w:abstractNumId="1">
    <w:nsid w:val="C9AA3DC3"/>
    <w:multiLevelType w:val="singleLevel"/>
    <w:tmpl w:val="C9AA3DC3"/>
    <w:lvl w:ilvl="0">
      <w:start w:val="2"/>
      <w:numFmt w:val="decimal"/>
      <w:suff w:val="nothing"/>
      <w:lvlText w:val="（%1）"/>
      <w:lvlJc w:val="left"/>
    </w:lvl>
  </w:abstractNum>
  <w:abstractNum w:abstractNumId="2">
    <w:nsid w:val="E05F1258"/>
    <w:multiLevelType w:val="singleLevel"/>
    <w:tmpl w:val="E05F1258"/>
    <w:lvl w:ilvl="0">
      <w:start w:val="2"/>
      <w:numFmt w:val="decimal"/>
      <w:suff w:val="nothing"/>
      <w:lvlText w:val="（%1）"/>
      <w:lvlJc w:val="left"/>
    </w:lvl>
  </w:abstractNum>
  <w:abstractNum w:abstractNumId="3">
    <w:nsid w:val="2BD06021"/>
    <w:multiLevelType w:val="singleLevel"/>
    <w:tmpl w:val="2BD06021"/>
    <w:lvl w:ilvl="0">
      <w:start w:val="2"/>
      <w:numFmt w:val="decimal"/>
      <w:suff w:val="nothing"/>
      <w:lvlText w:val="%1、"/>
      <w:lvlJc w:val="left"/>
    </w:lvl>
  </w:abstractNum>
  <w:abstractNum w:abstractNumId="4">
    <w:nsid w:val="3A1473C9"/>
    <w:multiLevelType w:val="singleLevel"/>
    <w:tmpl w:val="3A1473C9"/>
    <w:lvl w:ilvl="0">
      <w:start w:val="1"/>
      <w:numFmt w:val="decimal"/>
      <w:suff w:val="nothing"/>
      <w:lvlText w:val="%1、"/>
      <w:lvlJc w:val="left"/>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YjRkZWNhNDczNzZmMjI1YTU1YTQ1NzlkYjgzYjMifQ=="/>
  </w:docVars>
  <w:rsids>
    <w:rsidRoot w:val="00CC5191"/>
    <w:rsid w:val="00033DF6"/>
    <w:rsid w:val="00070F8A"/>
    <w:rsid w:val="000C26CD"/>
    <w:rsid w:val="00120AD7"/>
    <w:rsid w:val="001368F1"/>
    <w:rsid w:val="0016742B"/>
    <w:rsid w:val="001A663A"/>
    <w:rsid w:val="002F1145"/>
    <w:rsid w:val="002F24E5"/>
    <w:rsid w:val="00327EA7"/>
    <w:rsid w:val="0035015A"/>
    <w:rsid w:val="003553DB"/>
    <w:rsid w:val="004A5604"/>
    <w:rsid w:val="0055295A"/>
    <w:rsid w:val="005543AC"/>
    <w:rsid w:val="005E513D"/>
    <w:rsid w:val="005E620B"/>
    <w:rsid w:val="00732009"/>
    <w:rsid w:val="008238CA"/>
    <w:rsid w:val="008C2973"/>
    <w:rsid w:val="009E347B"/>
    <w:rsid w:val="00A471ED"/>
    <w:rsid w:val="00BA3E6E"/>
    <w:rsid w:val="00BB0048"/>
    <w:rsid w:val="00C2223A"/>
    <w:rsid w:val="00C44682"/>
    <w:rsid w:val="00C7433C"/>
    <w:rsid w:val="00CC5191"/>
    <w:rsid w:val="00D1587A"/>
    <w:rsid w:val="00D21CE3"/>
    <w:rsid w:val="00D52D83"/>
    <w:rsid w:val="00D72CA7"/>
    <w:rsid w:val="00DA3020"/>
    <w:rsid w:val="00DD142F"/>
    <w:rsid w:val="00DE73C9"/>
    <w:rsid w:val="00EC05F3"/>
    <w:rsid w:val="00EE5B94"/>
    <w:rsid w:val="00F60252"/>
    <w:rsid w:val="010519BD"/>
    <w:rsid w:val="01FF1348"/>
    <w:rsid w:val="02A50F0A"/>
    <w:rsid w:val="03846459"/>
    <w:rsid w:val="03C56D73"/>
    <w:rsid w:val="04AE7B23"/>
    <w:rsid w:val="05182CDD"/>
    <w:rsid w:val="0519128D"/>
    <w:rsid w:val="054D3A35"/>
    <w:rsid w:val="0597797E"/>
    <w:rsid w:val="082C03AF"/>
    <w:rsid w:val="0A5B2357"/>
    <w:rsid w:val="0AB75314"/>
    <w:rsid w:val="0B250692"/>
    <w:rsid w:val="0BDE1E2A"/>
    <w:rsid w:val="0EF6560F"/>
    <w:rsid w:val="0F88237D"/>
    <w:rsid w:val="10F233D9"/>
    <w:rsid w:val="111B6540"/>
    <w:rsid w:val="11A61821"/>
    <w:rsid w:val="11BD4770"/>
    <w:rsid w:val="12146C11"/>
    <w:rsid w:val="123C4731"/>
    <w:rsid w:val="12937C09"/>
    <w:rsid w:val="12F03A51"/>
    <w:rsid w:val="133B6A25"/>
    <w:rsid w:val="13DA3315"/>
    <w:rsid w:val="141B7D24"/>
    <w:rsid w:val="1554671D"/>
    <w:rsid w:val="15CD0249"/>
    <w:rsid w:val="15EC37CC"/>
    <w:rsid w:val="166339B7"/>
    <w:rsid w:val="16EA1A4E"/>
    <w:rsid w:val="191726F9"/>
    <w:rsid w:val="191A7E82"/>
    <w:rsid w:val="199E0BD7"/>
    <w:rsid w:val="19DE1A34"/>
    <w:rsid w:val="1A2577B4"/>
    <w:rsid w:val="1C6707CB"/>
    <w:rsid w:val="1C825538"/>
    <w:rsid w:val="1CE905B8"/>
    <w:rsid w:val="1DA94788"/>
    <w:rsid w:val="1E1A2978"/>
    <w:rsid w:val="1E8B794C"/>
    <w:rsid w:val="202866BE"/>
    <w:rsid w:val="20767794"/>
    <w:rsid w:val="225801F4"/>
    <w:rsid w:val="238F1399"/>
    <w:rsid w:val="23D65A9A"/>
    <w:rsid w:val="253A23DD"/>
    <w:rsid w:val="264944DF"/>
    <w:rsid w:val="26A00DE8"/>
    <w:rsid w:val="275A4AEC"/>
    <w:rsid w:val="27CE0415"/>
    <w:rsid w:val="2A7F74F9"/>
    <w:rsid w:val="2B157704"/>
    <w:rsid w:val="2B647B3D"/>
    <w:rsid w:val="2B667EB5"/>
    <w:rsid w:val="2C504C5C"/>
    <w:rsid w:val="2D8302F5"/>
    <w:rsid w:val="2EF10702"/>
    <w:rsid w:val="2F464330"/>
    <w:rsid w:val="30110DE2"/>
    <w:rsid w:val="30F04CDE"/>
    <w:rsid w:val="314D23A7"/>
    <w:rsid w:val="32390253"/>
    <w:rsid w:val="33556DAA"/>
    <w:rsid w:val="35D75E76"/>
    <w:rsid w:val="36274EBB"/>
    <w:rsid w:val="376736AE"/>
    <w:rsid w:val="37C47BD5"/>
    <w:rsid w:val="3930119A"/>
    <w:rsid w:val="3A6C71CB"/>
    <w:rsid w:val="3A793DB6"/>
    <w:rsid w:val="3A7C271F"/>
    <w:rsid w:val="3ADE60AE"/>
    <w:rsid w:val="3B561D9F"/>
    <w:rsid w:val="3BC44F5A"/>
    <w:rsid w:val="3C8608F7"/>
    <w:rsid w:val="3CC549B2"/>
    <w:rsid w:val="3CCE00C3"/>
    <w:rsid w:val="3D1F027B"/>
    <w:rsid w:val="3F8766F2"/>
    <w:rsid w:val="3FCD5FE2"/>
    <w:rsid w:val="3FF07DB3"/>
    <w:rsid w:val="40572841"/>
    <w:rsid w:val="40693F68"/>
    <w:rsid w:val="4112428E"/>
    <w:rsid w:val="41AF2209"/>
    <w:rsid w:val="425574B1"/>
    <w:rsid w:val="42726461"/>
    <w:rsid w:val="42CD0B98"/>
    <w:rsid w:val="447137A5"/>
    <w:rsid w:val="44C5083D"/>
    <w:rsid w:val="44C57D2F"/>
    <w:rsid w:val="45EE0E9A"/>
    <w:rsid w:val="47051564"/>
    <w:rsid w:val="49366EFD"/>
    <w:rsid w:val="4A7638C4"/>
    <w:rsid w:val="4AA02F8B"/>
    <w:rsid w:val="4B285DFA"/>
    <w:rsid w:val="4B581EDD"/>
    <w:rsid w:val="4C827DC1"/>
    <w:rsid w:val="4CFA345C"/>
    <w:rsid w:val="4DE8289B"/>
    <w:rsid w:val="4E385332"/>
    <w:rsid w:val="502336FF"/>
    <w:rsid w:val="50DB2F3B"/>
    <w:rsid w:val="51654EC6"/>
    <w:rsid w:val="51D017FA"/>
    <w:rsid w:val="52671B5D"/>
    <w:rsid w:val="526A179F"/>
    <w:rsid w:val="53513D83"/>
    <w:rsid w:val="539517A7"/>
    <w:rsid w:val="53AE0812"/>
    <w:rsid w:val="541C5806"/>
    <w:rsid w:val="54D44008"/>
    <w:rsid w:val="56460F02"/>
    <w:rsid w:val="56567223"/>
    <w:rsid w:val="566F2DEE"/>
    <w:rsid w:val="569B0893"/>
    <w:rsid w:val="56F81B68"/>
    <w:rsid w:val="57251F36"/>
    <w:rsid w:val="584D6ED7"/>
    <w:rsid w:val="58D328BB"/>
    <w:rsid w:val="598C4DED"/>
    <w:rsid w:val="599C4A4B"/>
    <w:rsid w:val="5AB859CB"/>
    <w:rsid w:val="5B0F0EA8"/>
    <w:rsid w:val="5B7D7BBE"/>
    <w:rsid w:val="5C733503"/>
    <w:rsid w:val="5CAE513F"/>
    <w:rsid w:val="5D0502C2"/>
    <w:rsid w:val="5DDD4F5F"/>
    <w:rsid w:val="5DEA1027"/>
    <w:rsid w:val="5E77797F"/>
    <w:rsid w:val="5EA37FE3"/>
    <w:rsid w:val="5F1058BF"/>
    <w:rsid w:val="5F574791"/>
    <w:rsid w:val="5F7251A6"/>
    <w:rsid w:val="5FBC1730"/>
    <w:rsid w:val="60BF3DBF"/>
    <w:rsid w:val="61F67F53"/>
    <w:rsid w:val="61FC606A"/>
    <w:rsid w:val="621023F8"/>
    <w:rsid w:val="63633A94"/>
    <w:rsid w:val="63C07B2B"/>
    <w:rsid w:val="63E63BF6"/>
    <w:rsid w:val="64B177AF"/>
    <w:rsid w:val="64E81118"/>
    <w:rsid w:val="65B50F23"/>
    <w:rsid w:val="65C9123C"/>
    <w:rsid w:val="66974E96"/>
    <w:rsid w:val="67006EDF"/>
    <w:rsid w:val="672969C7"/>
    <w:rsid w:val="681E1FDF"/>
    <w:rsid w:val="682850C5"/>
    <w:rsid w:val="686B2B83"/>
    <w:rsid w:val="698E181D"/>
    <w:rsid w:val="6B1300FF"/>
    <w:rsid w:val="6BD34617"/>
    <w:rsid w:val="6C1F1869"/>
    <w:rsid w:val="6C4A73CF"/>
    <w:rsid w:val="6C991968"/>
    <w:rsid w:val="6D4713C4"/>
    <w:rsid w:val="6D93266F"/>
    <w:rsid w:val="6DEF4DDD"/>
    <w:rsid w:val="6DF809A5"/>
    <w:rsid w:val="6E062B8D"/>
    <w:rsid w:val="6E330464"/>
    <w:rsid w:val="6E6947AD"/>
    <w:rsid w:val="6E7A73B4"/>
    <w:rsid w:val="6EF0192C"/>
    <w:rsid w:val="6F727CE6"/>
    <w:rsid w:val="702231B9"/>
    <w:rsid w:val="710B7F9B"/>
    <w:rsid w:val="71A453A5"/>
    <w:rsid w:val="71F31B1A"/>
    <w:rsid w:val="727A4381"/>
    <w:rsid w:val="729227C9"/>
    <w:rsid w:val="72A07FCA"/>
    <w:rsid w:val="72E232C9"/>
    <w:rsid w:val="737B3715"/>
    <w:rsid w:val="749574B1"/>
    <w:rsid w:val="74F07DDD"/>
    <w:rsid w:val="75324707"/>
    <w:rsid w:val="75696E68"/>
    <w:rsid w:val="75CD4831"/>
    <w:rsid w:val="76550C5A"/>
    <w:rsid w:val="765F1DEE"/>
    <w:rsid w:val="76FB6D7B"/>
    <w:rsid w:val="7753729E"/>
    <w:rsid w:val="777847AC"/>
    <w:rsid w:val="77E41717"/>
    <w:rsid w:val="78320EC2"/>
    <w:rsid w:val="783F310E"/>
    <w:rsid w:val="78A7540C"/>
    <w:rsid w:val="78E81581"/>
    <w:rsid w:val="79B032F6"/>
    <w:rsid w:val="7A216843"/>
    <w:rsid w:val="7B3A2568"/>
    <w:rsid w:val="7D134A8A"/>
    <w:rsid w:val="7E6C70B9"/>
    <w:rsid w:val="7F950768"/>
    <w:rsid w:val="7FA33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56DC1E-1127-45AB-BF0C-95E962B44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Balloon Text"/>
    <w:basedOn w:val="a"/>
    <w:link w:val="Char0"/>
    <w:qFormat/>
    <w:rPr>
      <w:sz w:val="18"/>
      <w:szCs w:val="18"/>
    </w:rPr>
  </w:style>
  <w:style w:type="paragraph" w:styleId="a5">
    <w:name w:val="footer"/>
    <w:uiPriority w:val="99"/>
    <w:qFormat/>
    <w:pPr>
      <w:widowControl w:val="0"/>
      <w:tabs>
        <w:tab w:val="center" w:pos="4153"/>
        <w:tab w:val="right" w:pos="8306"/>
      </w:tabs>
      <w:snapToGrid w:val="0"/>
    </w:pPr>
    <w:rPr>
      <w:kern w:val="2"/>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annotation subject"/>
    <w:basedOn w:val="a3"/>
    <w:next w:val="a3"/>
    <w:link w:val="Char1"/>
    <w:qFormat/>
    <w:rPr>
      <w:b/>
      <w:bCs/>
    </w:rPr>
  </w:style>
  <w:style w:type="character" w:styleId="a8">
    <w:name w:val="annotation reference"/>
    <w:basedOn w:val="a0"/>
    <w:qFormat/>
    <w:rPr>
      <w:sz w:val="21"/>
      <w:szCs w:val="21"/>
    </w:rPr>
  </w:style>
  <w:style w:type="character" w:customStyle="1" w:styleId="Char">
    <w:name w:val="批注文字 Char"/>
    <w:basedOn w:val="a0"/>
    <w:link w:val="a3"/>
    <w:qFormat/>
    <w:rPr>
      <w:kern w:val="2"/>
      <w:sz w:val="21"/>
      <w:szCs w:val="24"/>
    </w:rPr>
  </w:style>
  <w:style w:type="character" w:customStyle="1" w:styleId="Char1">
    <w:name w:val="批注主题 Char"/>
    <w:basedOn w:val="Char"/>
    <w:link w:val="a7"/>
    <w:qFormat/>
    <w:rPr>
      <w:b/>
      <w:bCs/>
      <w:kern w:val="2"/>
      <w:sz w:val="21"/>
      <w:szCs w:val="24"/>
    </w:rPr>
  </w:style>
  <w:style w:type="character" w:customStyle="1" w:styleId="Char0">
    <w:name w:val="批注框文本 Char"/>
    <w:basedOn w:val="a0"/>
    <w:link w:val="a4"/>
    <w:qFormat/>
    <w:rPr>
      <w:kern w:val="2"/>
      <w:sz w:val="18"/>
      <w:szCs w:val="18"/>
    </w:rPr>
  </w:style>
  <w:style w:type="paragraph" w:styleId="a9">
    <w:name w:val="List Paragraph"/>
    <w:basedOn w:val="a"/>
    <w:uiPriority w:val="99"/>
    <w:unhideWhenUsed/>
    <w:qFormat/>
    <w:pPr>
      <w:ind w:firstLineChars="200" w:firstLine="420"/>
    </w:pPr>
  </w:style>
  <w:style w:type="character" w:customStyle="1" w:styleId="font01">
    <w:name w:val="font01"/>
    <w:basedOn w:val="a0"/>
    <w:qFormat/>
    <w:rPr>
      <w:rFonts w:ascii="宋体" w:eastAsia="宋体" w:hAnsi="宋体" w:cs="宋体" w:hint="eastAsia"/>
      <w:b/>
      <w:bCs/>
      <w:color w:val="000000"/>
      <w:sz w:val="20"/>
      <w:szCs w:val="20"/>
      <w:u w:val="none"/>
    </w:rPr>
  </w:style>
  <w:style w:type="paragraph" w:customStyle="1" w:styleId="WPSOffice1">
    <w:name w:val="WPSOffice手动目录 1"/>
    <w:qFormat/>
  </w:style>
  <w:style w:type="paragraph" w:customStyle="1" w:styleId="WPSOffice2">
    <w:name w:val="WPSOffice手动目录 2"/>
    <w:qFormat/>
    <w:pPr>
      <w:ind w:leftChars="200" w:left="200"/>
    </w:pPr>
  </w:style>
  <w:style w:type="character" w:customStyle="1" w:styleId="font41">
    <w:name w:val="font41"/>
    <w:basedOn w:val="a0"/>
    <w:qFormat/>
    <w:rPr>
      <w:rFonts w:ascii="宋体" w:eastAsia="宋体" w:hAnsi="宋体" w:cs="宋体" w:hint="eastAsia"/>
      <w:b/>
      <w:bCs/>
      <w:color w:val="000000"/>
      <w:sz w:val="18"/>
      <w:szCs w:val="18"/>
      <w:u w:val="none"/>
    </w:rPr>
  </w:style>
  <w:style w:type="character" w:customStyle="1" w:styleId="font71">
    <w:name w:val="font71"/>
    <w:basedOn w:val="a0"/>
    <w:qFormat/>
    <w:rPr>
      <w:rFonts w:ascii="宋体" w:eastAsia="宋体" w:hAnsi="宋体" w:cs="宋体" w:hint="eastAsia"/>
      <w:b/>
      <w:bCs/>
      <w:color w:val="000000"/>
      <w:sz w:val="20"/>
      <w:szCs w:val="20"/>
      <w:u w:val="none"/>
    </w:rPr>
  </w:style>
  <w:style w:type="character" w:customStyle="1" w:styleId="font51">
    <w:name w:val="font51"/>
    <w:basedOn w:val="a0"/>
    <w:qFormat/>
    <w:rPr>
      <w:rFonts w:ascii="宋体" w:eastAsia="宋体" w:hAnsi="宋体" w:cs="宋体" w:hint="eastAsia"/>
      <w:b/>
      <w:bCs/>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37</Pages>
  <Words>2874</Words>
  <Characters>16385</Characters>
  <Application>Microsoft Office Word</Application>
  <DocSecurity>0</DocSecurity>
  <Lines>136</Lines>
  <Paragraphs>38</Paragraphs>
  <ScaleCrop>false</ScaleCrop>
  <Company>P R C</Company>
  <LinksUpToDate>false</LinksUpToDate>
  <CharactersWithSpaces>19221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20</cp:revision>
  <dcterms:created xsi:type="dcterms:W3CDTF">2022-04-18T01:16:00Z</dcterms:created>
  <dcterms:modified xsi:type="dcterms:W3CDTF">2022-08-22T03:25:00Z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DDA7D0C17BA5482BB7A6B579B5808D6D</vt:lpwstr>
  </property>
</Properties>
</file>