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仿宋" w:hAnsi="仿宋" w:eastAsia="仿宋" w:cs="仿宋"/>
          <w:bCs/>
          <w:sz w:val="32"/>
          <w:szCs w:val="32"/>
        </w:rPr>
      </w:pPr>
    </w:p>
    <w:p>
      <w:pPr>
        <w:jc w:val="center"/>
        <w:rPr>
          <w:rFonts w:ascii="仿宋" w:hAnsi="仿宋" w:eastAsia="仿宋" w:cs="仿宋"/>
          <w:bCs/>
          <w:sz w:val="32"/>
          <w:szCs w:val="32"/>
        </w:rPr>
      </w:pPr>
    </w:p>
    <w:p>
      <w:pPr>
        <w:jc w:val="center"/>
        <w:rPr>
          <w:rFonts w:ascii="仿宋" w:hAnsi="仿宋" w:eastAsia="仿宋" w:cs="仿宋"/>
          <w:bCs/>
          <w:sz w:val="32"/>
          <w:szCs w:val="32"/>
        </w:rPr>
      </w:pPr>
    </w:p>
    <w:p>
      <w:pPr>
        <w:jc w:val="center"/>
        <w:rPr>
          <w:rFonts w:ascii="仿宋" w:hAnsi="仿宋" w:eastAsia="仿宋" w:cs="仿宋"/>
          <w:bCs/>
          <w:sz w:val="32"/>
          <w:szCs w:val="32"/>
        </w:rPr>
      </w:pPr>
    </w:p>
    <w:p>
      <w:pPr>
        <w:spacing w:line="480" w:lineRule="auto"/>
        <w:jc w:val="center"/>
        <w:rPr>
          <w:rFonts w:ascii="方正小标宋简体" w:hAnsi="宋体" w:eastAsia="方正小标宋简体" w:cs="宋体"/>
          <w:bCs/>
          <w:sz w:val="44"/>
          <w:szCs w:val="44"/>
        </w:rPr>
      </w:pPr>
      <w:r>
        <w:rPr>
          <w:rFonts w:hint="eastAsia" w:ascii="方正小标宋简体" w:hAnsi="宋体" w:eastAsia="方正小标宋简体" w:cs="宋体"/>
          <w:bCs/>
          <w:sz w:val="44"/>
          <w:szCs w:val="44"/>
        </w:rPr>
        <w:t>北京市经济和信息化局预算项目支出</w:t>
      </w:r>
    </w:p>
    <w:p>
      <w:pPr>
        <w:spacing w:line="480" w:lineRule="auto"/>
        <w:jc w:val="center"/>
        <w:rPr>
          <w:rFonts w:ascii="方正小标宋简体" w:hAnsi="宋体" w:eastAsia="方正小标宋简体" w:cs="宋体"/>
          <w:bCs/>
          <w:sz w:val="44"/>
          <w:szCs w:val="44"/>
        </w:rPr>
      </w:pPr>
      <w:r>
        <w:rPr>
          <w:rFonts w:hint="eastAsia" w:ascii="方正小标宋简体" w:hAnsi="宋体" w:eastAsia="方正小标宋简体" w:cs="宋体"/>
          <w:bCs/>
          <w:sz w:val="44"/>
          <w:szCs w:val="44"/>
        </w:rPr>
        <w:t>绩 效 评 价 报 告</w:t>
      </w:r>
    </w:p>
    <w:p>
      <w:pPr>
        <w:rPr>
          <w:rFonts w:ascii="仿宋" w:hAnsi="仿宋" w:eastAsia="仿宋" w:cs="仿宋"/>
          <w:sz w:val="32"/>
          <w:szCs w:val="32"/>
        </w:rPr>
      </w:pPr>
    </w:p>
    <w:p>
      <w:pPr>
        <w:rPr>
          <w:rFonts w:ascii="仿宋" w:hAnsi="仿宋" w:eastAsia="仿宋" w:cs="仿宋"/>
          <w:sz w:val="32"/>
          <w:szCs w:val="32"/>
        </w:rPr>
      </w:pPr>
    </w:p>
    <w:p>
      <w:pPr>
        <w:rPr>
          <w:rFonts w:ascii="仿宋" w:hAnsi="仿宋" w:eastAsia="仿宋" w:cs="仿宋"/>
          <w:sz w:val="32"/>
          <w:szCs w:val="32"/>
        </w:rPr>
      </w:pPr>
    </w:p>
    <w:p>
      <w:pPr>
        <w:rPr>
          <w:rFonts w:ascii="仿宋" w:hAnsi="仿宋" w:eastAsia="仿宋" w:cs="仿宋"/>
          <w:sz w:val="32"/>
          <w:szCs w:val="32"/>
        </w:rPr>
      </w:pPr>
    </w:p>
    <w:p>
      <w:pPr>
        <w:snapToGrid w:val="0"/>
        <w:spacing w:line="480" w:lineRule="auto"/>
        <w:jc w:val="left"/>
        <w:rPr>
          <w:rFonts w:ascii="仿宋" w:hAnsi="仿宋" w:eastAsia="仿宋" w:cs="仿宋"/>
          <w:b/>
          <w:color w:val="000000"/>
          <w:sz w:val="32"/>
          <w:szCs w:val="32"/>
          <w:u w:val="single"/>
        </w:rPr>
      </w:pPr>
      <w:r>
        <w:rPr>
          <w:rFonts w:hint="eastAsia" w:ascii="仿宋" w:hAnsi="仿宋" w:eastAsia="仿宋" w:cs="仿宋"/>
          <w:b/>
          <w:color w:val="000000"/>
          <w:sz w:val="32"/>
          <w:szCs w:val="32"/>
        </w:rPr>
        <w:t>项目名称：</w:t>
      </w:r>
      <w:r>
        <w:rPr>
          <w:rFonts w:hint="eastAsia" w:ascii="仿宋" w:hAnsi="仿宋" w:eastAsia="仿宋" w:cs="仿宋"/>
          <w:bCs/>
          <w:color w:val="000000"/>
          <w:sz w:val="32"/>
          <w:szCs w:val="32"/>
          <w:u w:val="single"/>
        </w:rPr>
        <w:t xml:space="preserve">    北京市政府网站集约化平台服务及运维 </w:t>
      </w:r>
      <w:r>
        <w:rPr>
          <w:rFonts w:hint="eastAsia" w:ascii="仿宋" w:hAnsi="仿宋" w:eastAsia="仿宋" w:cs="仿宋"/>
          <w:b/>
          <w:color w:val="000000"/>
          <w:sz w:val="32"/>
          <w:szCs w:val="32"/>
          <w:u w:val="single"/>
        </w:rPr>
        <w:t xml:space="preserve">                        </w:t>
      </w:r>
    </w:p>
    <w:p>
      <w:pPr>
        <w:snapToGrid w:val="0"/>
        <w:spacing w:line="480" w:lineRule="auto"/>
        <w:rPr>
          <w:rFonts w:ascii="仿宋" w:hAnsi="仿宋" w:eastAsia="仿宋" w:cs="仿宋"/>
          <w:bCs/>
          <w:color w:val="000000"/>
          <w:sz w:val="32"/>
          <w:szCs w:val="32"/>
          <w:u w:val="single"/>
        </w:rPr>
      </w:pPr>
      <w:r>
        <w:rPr>
          <w:rFonts w:hint="eastAsia" w:ascii="仿宋" w:hAnsi="仿宋" w:eastAsia="仿宋" w:cs="仿宋"/>
          <w:b/>
          <w:color w:val="000000"/>
          <w:sz w:val="32"/>
          <w:szCs w:val="32"/>
        </w:rPr>
        <w:t>项目单位：</w:t>
      </w:r>
      <w:r>
        <w:rPr>
          <w:rFonts w:hint="eastAsia" w:ascii="仿宋" w:hAnsi="仿宋" w:eastAsia="仿宋" w:cs="仿宋"/>
          <w:b/>
          <w:color w:val="000000"/>
          <w:sz w:val="32"/>
          <w:szCs w:val="32"/>
          <w:u w:val="single"/>
        </w:rPr>
        <w:t xml:space="preserve">          </w:t>
      </w:r>
      <w:r>
        <w:rPr>
          <w:rFonts w:hint="eastAsia" w:ascii="仿宋" w:hAnsi="仿宋" w:eastAsia="仿宋" w:cs="仿宋"/>
          <w:bCs/>
          <w:color w:val="000000"/>
          <w:sz w:val="32"/>
          <w:szCs w:val="32"/>
          <w:u w:val="single"/>
        </w:rPr>
        <w:t xml:space="preserve">首都之窗运行管理中心            </w:t>
      </w:r>
    </w:p>
    <w:p>
      <w:pPr>
        <w:snapToGrid w:val="0"/>
        <w:spacing w:line="480" w:lineRule="auto"/>
        <w:rPr>
          <w:rFonts w:ascii="仿宋" w:hAnsi="仿宋" w:eastAsia="仿宋" w:cs="仿宋"/>
          <w:b/>
          <w:color w:val="000000"/>
          <w:sz w:val="32"/>
          <w:szCs w:val="32"/>
          <w:u w:val="single"/>
        </w:rPr>
      </w:pPr>
      <w:r>
        <w:rPr>
          <w:rFonts w:hint="eastAsia" w:ascii="仿宋" w:hAnsi="仿宋" w:eastAsia="仿宋" w:cs="仿宋"/>
          <w:b/>
          <w:color w:val="000000"/>
          <w:sz w:val="32"/>
          <w:szCs w:val="32"/>
        </w:rPr>
        <w:t>主管部门：</w:t>
      </w:r>
      <w:r>
        <w:rPr>
          <w:rFonts w:hint="eastAsia" w:ascii="仿宋" w:hAnsi="仿宋" w:eastAsia="仿宋" w:cs="仿宋"/>
          <w:b/>
          <w:color w:val="000000"/>
          <w:sz w:val="32"/>
          <w:szCs w:val="32"/>
          <w:u w:val="single"/>
        </w:rPr>
        <w:t xml:space="preserve"> </w:t>
      </w:r>
      <w:r>
        <w:rPr>
          <w:rFonts w:hint="eastAsia" w:ascii="仿宋" w:hAnsi="仿宋" w:eastAsia="仿宋" w:cs="仿宋"/>
          <w:bCs/>
          <w:color w:val="000000"/>
          <w:sz w:val="32"/>
          <w:szCs w:val="32"/>
          <w:u w:val="single"/>
        </w:rPr>
        <w:t xml:space="preserve">         北京市经济和信息化局                      </w:t>
      </w:r>
      <w:r>
        <w:rPr>
          <w:rFonts w:hint="eastAsia" w:ascii="仿宋" w:hAnsi="仿宋" w:eastAsia="仿宋" w:cs="仿宋"/>
          <w:b/>
          <w:color w:val="000000"/>
          <w:sz w:val="32"/>
          <w:szCs w:val="32"/>
          <w:u w:val="single"/>
        </w:rPr>
        <w:t xml:space="preserve">        </w:t>
      </w:r>
    </w:p>
    <w:p>
      <w:pPr>
        <w:snapToGrid w:val="0"/>
        <w:spacing w:line="480" w:lineRule="auto"/>
        <w:rPr>
          <w:rFonts w:ascii="仿宋" w:hAnsi="仿宋" w:eastAsia="仿宋" w:cs="仿宋"/>
          <w:color w:val="000000"/>
          <w:sz w:val="32"/>
          <w:szCs w:val="32"/>
        </w:rPr>
      </w:pPr>
      <w:r>
        <w:rPr>
          <w:rFonts w:hint="eastAsia" w:ascii="仿宋" w:hAnsi="仿宋" w:eastAsia="仿宋" w:cs="仿宋"/>
          <w:b/>
          <w:color w:val="000000"/>
          <w:sz w:val="32"/>
          <w:szCs w:val="32"/>
        </w:rPr>
        <w:t>评价时间：</w:t>
      </w:r>
      <w:r>
        <w:rPr>
          <w:rFonts w:hint="eastAsia" w:ascii="仿宋" w:hAnsi="仿宋" w:eastAsia="仿宋" w:cs="仿宋"/>
          <w:bCs/>
          <w:color w:val="000000"/>
          <w:sz w:val="32"/>
          <w:szCs w:val="32"/>
          <w:u w:val="single"/>
        </w:rPr>
        <w:t xml:space="preserve">         2022年4月至2022年5月         </w:t>
      </w:r>
      <w:r>
        <w:rPr>
          <w:rFonts w:hint="eastAsia" w:ascii="仿宋" w:hAnsi="仿宋" w:eastAsia="仿宋" w:cs="仿宋"/>
          <w:b/>
          <w:color w:val="000000"/>
          <w:sz w:val="32"/>
          <w:szCs w:val="32"/>
          <w:u w:val="single"/>
        </w:rPr>
        <w:t xml:space="preserve">    </w:t>
      </w:r>
    </w:p>
    <w:p>
      <w:pPr>
        <w:snapToGrid w:val="0"/>
        <w:spacing w:line="480" w:lineRule="auto"/>
        <w:rPr>
          <w:rFonts w:ascii="仿宋" w:hAnsi="仿宋" w:eastAsia="仿宋" w:cs="仿宋"/>
          <w:bCs/>
          <w:color w:val="000000"/>
          <w:sz w:val="32"/>
          <w:szCs w:val="32"/>
          <w:u w:val="single"/>
        </w:rPr>
        <w:sectPr>
          <w:headerReference r:id="rId3" w:type="default"/>
          <w:pgSz w:w="11906" w:h="16838"/>
          <w:pgMar w:top="1440" w:right="1800" w:bottom="1440" w:left="1800" w:header="851" w:footer="992" w:gutter="0"/>
          <w:pgNumType w:start="1"/>
          <w:cols w:space="720" w:num="1"/>
          <w:titlePg/>
          <w:docGrid w:type="lines" w:linePitch="408" w:charSpace="0"/>
        </w:sectPr>
      </w:pPr>
      <w:r>
        <w:rPr>
          <w:rFonts w:hint="eastAsia" w:ascii="仿宋" w:hAnsi="仿宋" w:eastAsia="仿宋" w:cs="仿宋"/>
          <w:b/>
          <w:color w:val="000000"/>
          <w:sz w:val="32"/>
          <w:szCs w:val="32"/>
        </w:rPr>
        <w:t>填报日期：</w:t>
      </w:r>
      <w:r>
        <w:rPr>
          <w:rFonts w:hint="eastAsia" w:ascii="仿宋" w:hAnsi="仿宋" w:eastAsia="仿宋" w:cs="仿宋"/>
          <w:bCs/>
          <w:color w:val="000000"/>
          <w:sz w:val="32"/>
          <w:szCs w:val="32"/>
          <w:u w:val="single"/>
        </w:rPr>
        <w:t xml:space="preserve">               2022年5月                     </w:t>
      </w:r>
    </w:p>
    <w:sdt>
      <w:sdtPr>
        <w:rPr>
          <w:rFonts w:ascii="Times New Roman" w:hAnsi="Times New Roman" w:eastAsia="仿宋" w:cs="Times New Roman"/>
          <w:color w:val="000000"/>
          <w:sz w:val="28"/>
          <w:szCs w:val="28"/>
        </w:rPr>
        <w:id w:val="147477197"/>
        <w15:color w:val="DBDBDB"/>
        <w:docPartObj>
          <w:docPartGallery w:val="Table of Contents"/>
          <w:docPartUnique/>
        </w:docPartObj>
      </w:sdtPr>
      <w:sdtEndPr>
        <w:rPr>
          <w:rFonts w:ascii="Times New Roman" w:hAnsi="Times New Roman" w:eastAsia="仿宋" w:cs="Times New Roman"/>
          <w:color w:val="000000"/>
          <w:sz w:val="28"/>
          <w:szCs w:val="28"/>
        </w:rPr>
      </w:sdtEndPr>
      <w:sdtContent>
        <w:p>
          <w:pPr>
            <w:spacing w:line="500" w:lineRule="exact"/>
            <w:jc w:val="center"/>
          </w:pPr>
          <w:bookmarkStart w:id="223" w:name="_GoBack"/>
          <w:bookmarkEnd w:id="223"/>
          <w:r>
            <w:rPr>
              <w:rFonts w:hint="eastAsia" w:ascii="方正小标宋简体" w:hAnsi="宋体" w:eastAsia="方正小标宋简体" w:cs="宋体"/>
              <w:bCs/>
              <w:sz w:val="44"/>
              <w:szCs w:val="44"/>
            </w:rPr>
            <w:t>目  录</w:t>
          </w:r>
        </w:p>
        <w:p>
          <w:pPr>
            <w:pStyle w:val="12"/>
            <w:tabs>
              <w:tab w:val="right" w:leader="dot" w:pos="8844"/>
            </w:tabs>
            <w:spacing w:line="500" w:lineRule="exact"/>
            <w:rPr>
              <w:rFonts w:ascii="Times New Roman" w:hAnsi="Times New Roman" w:eastAsia="仿宋" w:cs="Times New Roman"/>
              <w:b/>
              <w:bCs/>
              <w:sz w:val="28"/>
              <w:szCs w:val="28"/>
            </w:rPr>
          </w:pP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TOC \o "1-3" \h \u </w:instrText>
          </w:r>
          <w:r>
            <w:rPr>
              <w:rFonts w:ascii="Times New Roman" w:hAnsi="Times New Roman" w:eastAsia="仿宋" w:cs="Times New Roman"/>
              <w:sz w:val="28"/>
              <w:szCs w:val="28"/>
            </w:rPr>
            <w:fldChar w:fldCharType="separate"/>
          </w:r>
          <w:r>
            <w:fldChar w:fldCharType="begin"/>
          </w:r>
          <w:r>
            <w:instrText xml:space="preserve"> HYPERLINK \l "_Toc29118" </w:instrText>
          </w:r>
          <w:r>
            <w:fldChar w:fldCharType="separate"/>
          </w:r>
          <w:r>
            <w:rPr>
              <w:rFonts w:ascii="Times New Roman" w:hAnsi="Times New Roman" w:eastAsia="仿宋" w:cs="Times New Roman"/>
              <w:b/>
              <w:bCs/>
              <w:sz w:val="28"/>
              <w:szCs w:val="28"/>
            </w:rPr>
            <w:t>一、基本情况</w:t>
          </w:r>
          <w:r>
            <w:rPr>
              <w:rFonts w:ascii="Times New Roman" w:hAnsi="Times New Roman" w:eastAsia="仿宋" w:cs="Times New Roman"/>
              <w:b/>
              <w:bCs/>
              <w:sz w:val="28"/>
              <w:szCs w:val="28"/>
            </w:rPr>
            <w:tab/>
          </w:r>
          <w:r>
            <w:rPr>
              <w:rFonts w:ascii="Times New Roman" w:hAnsi="Times New Roman" w:eastAsia="仿宋" w:cs="Times New Roman"/>
              <w:b/>
              <w:bCs/>
              <w:sz w:val="28"/>
              <w:szCs w:val="28"/>
            </w:rPr>
            <w:fldChar w:fldCharType="begin"/>
          </w:r>
          <w:r>
            <w:rPr>
              <w:rFonts w:ascii="Times New Roman" w:hAnsi="Times New Roman" w:eastAsia="仿宋" w:cs="Times New Roman"/>
              <w:b/>
              <w:bCs/>
              <w:sz w:val="28"/>
              <w:szCs w:val="28"/>
            </w:rPr>
            <w:instrText xml:space="preserve"> PAGEREF _Toc29118 </w:instrText>
          </w:r>
          <w:r>
            <w:rPr>
              <w:rFonts w:ascii="Times New Roman" w:hAnsi="Times New Roman" w:eastAsia="仿宋" w:cs="Times New Roman"/>
              <w:b/>
              <w:bCs/>
              <w:sz w:val="28"/>
              <w:szCs w:val="28"/>
            </w:rPr>
            <w:fldChar w:fldCharType="separate"/>
          </w:r>
          <w:r>
            <w:rPr>
              <w:rFonts w:ascii="Times New Roman" w:hAnsi="Times New Roman" w:eastAsia="仿宋" w:cs="Times New Roman"/>
              <w:b/>
              <w:bCs/>
              <w:sz w:val="28"/>
              <w:szCs w:val="28"/>
            </w:rPr>
            <w:t>1</w:t>
          </w:r>
          <w:r>
            <w:rPr>
              <w:rFonts w:ascii="Times New Roman" w:hAnsi="Times New Roman" w:eastAsia="仿宋" w:cs="Times New Roman"/>
              <w:b/>
              <w:bCs/>
              <w:sz w:val="28"/>
              <w:szCs w:val="28"/>
            </w:rPr>
            <w:fldChar w:fldCharType="end"/>
          </w:r>
          <w:r>
            <w:rPr>
              <w:rFonts w:ascii="Times New Roman" w:hAnsi="Times New Roman" w:eastAsia="仿宋" w:cs="Times New Roman"/>
              <w:b/>
              <w:bCs/>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"_Toc29387" </w:instrText>
          </w:r>
          <w:r>
            <w:fldChar w:fldCharType="separate"/>
          </w:r>
          <w:r>
            <w:rPr>
              <w:rFonts w:ascii="Times New Roman" w:hAnsi="Times New Roman" w:eastAsia="仿宋" w:cs="Times New Roman"/>
              <w:sz w:val="28"/>
              <w:szCs w:val="28"/>
            </w:rPr>
            <w:t>（一）项目概况</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_Toc29387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1</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"_Toc8249" </w:instrText>
          </w:r>
          <w:r>
            <w:fldChar w:fldCharType="separate"/>
          </w:r>
          <w:r>
            <w:rPr>
              <w:rFonts w:ascii="Times New Roman" w:hAnsi="Times New Roman" w:eastAsia="仿宋" w:cs="Times New Roman"/>
              <w:sz w:val="28"/>
              <w:szCs w:val="28"/>
            </w:rPr>
            <w:t>（二）项目绩效目标</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_Toc8249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4</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2"/>
            <w:tabs>
              <w:tab w:val="right" w:leader="dot" w:pos="8844"/>
            </w:tabs>
            <w:spacing w:line="500" w:lineRule="exact"/>
            <w:rPr>
              <w:rFonts w:ascii="Times New Roman" w:hAnsi="Times New Roman" w:eastAsia="仿宋" w:cs="Times New Roman"/>
              <w:b/>
              <w:bCs/>
              <w:sz w:val="28"/>
              <w:szCs w:val="28"/>
            </w:rPr>
          </w:pPr>
          <w:r>
            <w:fldChar w:fldCharType="begin"/>
          </w:r>
          <w:r>
            <w:instrText xml:space="preserve"> HYPERLINK \l "_Toc2389" </w:instrText>
          </w:r>
          <w:r>
            <w:fldChar w:fldCharType="separate"/>
          </w:r>
          <w:r>
            <w:rPr>
              <w:rFonts w:ascii="Times New Roman" w:hAnsi="Times New Roman" w:eastAsia="仿宋" w:cs="Times New Roman"/>
              <w:b/>
              <w:bCs/>
              <w:sz w:val="28"/>
              <w:szCs w:val="28"/>
            </w:rPr>
            <w:t>二、绩效评价工作开展情况</w:t>
          </w:r>
          <w:r>
            <w:rPr>
              <w:rFonts w:ascii="Times New Roman" w:hAnsi="Times New Roman" w:eastAsia="仿宋" w:cs="Times New Roman"/>
              <w:b/>
              <w:bCs/>
              <w:sz w:val="28"/>
              <w:szCs w:val="28"/>
            </w:rPr>
            <w:tab/>
          </w:r>
          <w:r>
            <w:rPr>
              <w:rFonts w:ascii="Times New Roman" w:hAnsi="Times New Roman" w:eastAsia="仿宋" w:cs="Times New Roman"/>
              <w:b/>
              <w:bCs/>
              <w:sz w:val="28"/>
              <w:szCs w:val="28"/>
            </w:rPr>
            <w:fldChar w:fldCharType="begin"/>
          </w:r>
          <w:r>
            <w:rPr>
              <w:rFonts w:ascii="Times New Roman" w:hAnsi="Times New Roman" w:eastAsia="仿宋" w:cs="Times New Roman"/>
              <w:b/>
              <w:bCs/>
              <w:sz w:val="28"/>
              <w:szCs w:val="28"/>
            </w:rPr>
            <w:instrText xml:space="preserve"> PAGEREF _Toc2389 </w:instrText>
          </w:r>
          <w:r>
            <w:rPr>
              <w:rFonts w:ascii="Times New Roman" w:hAnsi="Times New Roman" w:eastAsia="仿宋" w:cs="Times New Roman"/>
              <w:b/>
              <w:bCs/>
              <w:sz w:val="28"/>
              <w:szCs w:val="28"/>
            </w:rPr>
            <w:fldChar w:fldCharType="separate"/>
          </w:r>
          <w:r>
            <w:rPr>
              <w:rFonts w:ascii="Times New Roman" w:hAnsi="Times New Roman" w:eastAsia="仿宋" w:cs="Times New Roman"/>
              <w:b/>
              <w:bCs/>
              <w:sz w:val="28"/>
              <w:szCs w:val="28"/>
            </w:rPr>
            <w:t>6</w:t>
          </w:r>
          <w:r>
            <w:rPr>
              <w:rFonts w:ascii="Times New Roman" w:hAnsi="Times New Roman" w:eastAsia="仿宋" w:cs="Times New Roman"/>
              <w:b/>
              <w:bCs/>
              <w:sz w:val="28"/>
              <w:szCs w:val="28"/>
            </w:rPr>
            <w:fldChar w:fldCharType="end"/>
          </w:r>
          <w:r>
            <w:rPr>
              <w:rFonts w:ascii="Times New Roman" w:hAnsi="Times New Roman" w:eastAsia="仿宋" w:cs="Times New Roman"/>
              <w:b/>
              <w:bCs/>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"_Toc17008" </w:instrText>
          </w:r>
          <w:r>
            <w:fldChar w:fldCharType="separate"/>
          </w:r>
          <w:r>
            <w:rPr>
              <w:rFonts w:ascii="Times New Roman" w:hAnsi="Times New Roman" w:eastAsia="仿宋" w:cs="Times New Roman"/>
              <w:sz w:val="28"/>
              <w:szCs w:val="28"/>
            </w:rPr>
            <w:t>（一）绩效评价目的、对象和范围</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_Toc17008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6</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"_Toc28406" </w:instrText>
          </w:r>
          <w:r>
            <w:fldChar w:fldCharType="separate"/>
          </w:r>
          <w:r>
            <w:rPr>
              <w:rFonts w:ascii="Times New Roman" w:hAnsi="Times New Roman" w:eastAsia="仿宋" w:cs="Times New Roman"/>
              <w:sz w:val="28"/>
              <w:szCs w:val="28"/>
            </w:rPr>
            <w:t>（二）绩效评价原则、评价指标体系</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_Toc28406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7</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"_Toc8099" </w:instrText>
          </w:r>
          <w:r>
            <w:fldChar w:fldCharType="separate"/>
          </w:r>
          <w:r>
            <w:rPr>
              <w:rFonts w:ascii="Times New Roman" w:hAnsi="Times New Roman" w:eastAsia="仿宋" w:cs="Times New Roman"/>
              <w:sz w:val="28"/>
              <w:szCs w:val="28"/>
            </w:rPr>
            <w:t>（三）</w:t>
          </w:r>
          <w:r>
            <w:rPr>
              <w:rFonts w:hint="eastAsia" w:ascii="Times New Roman" w:hAnsi="Times New Roman" w:eastAsia="仿宋" w:cs="Times New Roman"/>
              <w:sz w:val="28"/>
              <w:szCs w:val="28"/>
            </w:rPr>
            <w:t>评价方法、评价标准</w:t>
          </w:r>
          <w:r>
            <w:rPr>
              <w:rFonts w:ascii="Times New Roman" w:hAnsi="Times New Roman" w:eastAsia="仿宋" w:cs="Times New Roman"/>
              <w:sz w:val="28"/>
              <w:szCs w:val="28"/>
            </w:rPr>
            <w:tab/>
          </w:r>
          <w:r>
            <w:rPr>
              <w:rFonts w:hint="eastAsia" w:ascii="Times New Roman" w:hAnsi="Times New Roman" w:eastAsia="仿宋" w:cs="Times New Roman"/>
              <w:sz w:val="28"/>
              <w:szCs w:val="28"/>
              <w:lang w:val="en-US" w:eastAsia="zh-CN"/>
            </w:rPr>
            <w:t>9</w:t>
          </w:r>
          <w:r>
            <w:rPr>
              <w:rFonts w:ascii="Times New Roman" w:hAnsi="Times New Roman" w:eastAsia="仿宋" w:cs="Times New Roman"/>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"_Toc8099" </w:instrText>
          </w:r>
          <w:r>
            <w:fldChar w:fldCharType="separate"/>
          </w:r>
          <w:r>
            <w:rPr>
              <w:rFonts w:ascii="Times New Roman" w:hAnsi="Times New Roman" w:eastAsia="仿宋" w:cs="Times New Roman"/>
              <w:sz w:val="28"/>
              <w:szCs w:val="28"/>
            </w:rPr>
            <w:t>（</w:t>
          </w:r>
          <w:r>
            <w:rPr>
              <w:rFonts w:hint="eastAsia" w:ascii="Times New Roman" w:hAnsi="Times New Roman" w:eastAsia="仿宋" w:cs="Times New Roman"/>
              <w:sz w:val="28"/>
              <w:szCs w:val="28"/>
              <w:lang w:eastAsia="zh-CN"/>
            </w:rPr>
            <w:t>四</w:t>
          </w:r>
          <w:r>
            <w:rPr>
              <w:rFonts w:ascii="Times New Roman" w:hAnsi="Times New Roman" w:eastAsia="仿宋" w:cs="Times New Roman"/>
              <w:sz w:val="28"/>
              <w:szCs w:val="28"/>
            </w:rPr>
            <w:t>）绩效评价工作过程</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_Toc8099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9</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2"/>
            <w:tabs>
              <w:tab w:val="right" w:leader="dot" w:pos="8844"/>
            </w:tabs>
            <w:spacing w:line="500" w:lineRule="exact"/>
            <w:rPr>
              <w:rFonts w:ascii="Times New Roman" w:hAnsi="Times New Roman" w:eastAsia="仿宋" w:cs="Times New Roman"/>
              <w:b/>
              <w:bCs/>
              <w:sz w:val="28"/>
              <w:szCs w:val="28"/>
            </w:rPr>
          </w:pPr>
          <w:r>
            <w:fldChar w:fldCharType="begin"/>
          </w:r>
          <w:r>
            <w:instrText xml:space="preserve"> HYPERLINK \l "_Toc13106" </w:instrText>
          </w:r>
          <w:r>
            <w:fldChar w:fldCharType="separate"/>
          </w:r>
          <w:r>
            <w:rPr>
              <w:rFonts w:ascii="Times New Roman" w:hAnsi="Times New Roman" w:eastAsia="仿宋" w:cs="Times New Roman"/>
              <w:b/>
              <w:bCs/>
              <w:sz w:val="28"/>
              <w:szCs w:val="28"/>
            </w:rPr>
            <w:t>三、综合评价情况及评价结论</w:t>
          </w:r>
          <w:r>
            <w:rPr>
              <w:rFonts w:ascii="Times New Roman" w:hAnsi="Times New Roman" w:eastAsia="仿宋" w:cs="Times New Roman"/>
              <w:b/>
              <w:bCs/>
              <w:sz w:val="28"/>
              <w:szCs w:val="28"/>
            </w:rPr>
            <w:tab/>
          </w:r>
          <w:r>
            <w:rPr>
              <w:rFonts w:ascii="Times New Roman" w:hAnsi="Times New Roman" w:eastAsia="仿宋" w:cs="Times New Roman"/>
              <w:b/>
              <w:bCs/>
              <w:sz w:val="28"/>
              <w:szCs w:val="28"/>
            </w:rPr>
            <w:fldChar w:fldCharType="begin"/>
          </w:r>
          <w:r>
            <w:rPr>
              <w:rFonts w:ascii="Times New Roman" w:hAnsi="Times New Roman" w:eastAsia="仿宋" w:cs="Times New Roman"/>
              <w:b/>
              <w:bCs/>
              <w:sz w:val="28"/>
              <w:szCs w:val="28"/>
            </w:rPr>
            <w:instrText xml:space="preserve"> PAGEREF _Toc13106 </w:instrText>
          </w:r>
          <w:r>
            <w:rPr>
              <w:rFonts w:ascii="Times New Roman" w:hAnsi="Times New Roman" w:eastAsia="仿宋" w:cs="Times New Roman"/>
              <w:b/>
              <w:bCs/>
              <w:sz w:val="28"/>
              <w:szCs w:val="28"/>
            </w:rPr>
            <w:fldChar w:fldCharType="separate"/>
          </w:r>
          <w:r>
            <w:rPr>
              <w:rFonts w:ascii="Times New Roman" w:hAnsi="Times New Roman" w:eastAsia="仿宋" w:cs="Times New Roman"/>
              <w:b/>
              <w:bCs/>
              <w:sz w:val="28"/>
              <w:szCs w:val="28"/>
            </w:rPr>
            <w:t>10</w:t>
          </w:r>
          <w:r>
            <w:rPr>
              <w:rFonts w:ascii="Times New Roman" w:hAnsi="Times New Roman" w:eastAsia="仿宋" w:cs="Times New Roman"/>
              <w:b/>
              <w:bCs/>
              <w:sz w:val="28"/>
              <w:szCs w:val="28"/>
            </w:rPr>
            <w:fldChar w:fldCharType="end"/>
          </w:r>
          <w:r>
            <w:rPr>
              <w:rFonts w:ascii="Times New Roman" w:hAnsi="Times New Roman" w:eastAsia="仿宋" w:cs="Times New Roman"/>
              <w:b/>
              <w:bCs/>
              <w:sz w:val="28"/>
              <w:szCs w:val="28"/>
            </w:rPr>
            <w:fldChar w:fldCharType="end"/>
          </w:r>
        </w:p>
        <w:p>
          <w:pPr>
            <w:pStyle w:val="12"/>
            <w:tabs>
              <w:tab w:val="right" w:leader="dot" w:pos="8844"/>
            </w:tabs>
            <w:spacing w:line="500" w:lineRule="exact"/>
            <w:rPr>
              <w:rFonts w:ascii="Times New Roman" w:hAnsi="Times New Roman" w:eastAsia="仿宋" w:cs="Times New Roman"/>
              <w:b/>
              <w:bCs/>
              <w:sz w:val="28"/>
              <w:szCs w:val="28"/>
            </w:rPr>
          </w:pPr>
          <w:r>
            <w:fldChar w:fldCharType="begin"/>
          </w:r>
          <w:r>
            <w:instrText xml:space="preserve"> HYPERLINK \l "_Toc24039" </w:instrText>
          </w:r>
          <w:r>
            <w:fldChar w:fldCharType="separate"/>
          </w:r>
          <w:r>
            <w:rPr>
              <w:rFonts w:ascii="Times New Roman" w:hAnsi="Times New Roman" w:eastAsia="仿宋" w:cs="Times New Roman"/>
              <w:b/>
              <w:bCs/>
              <w:sz w:val="28"/>
              <w:szCs w:val="28"/>
            </w:rPr>
            <w:t>四、绩效评价指标分析</w:t>
          </w:r>
          <w:r>
            <w:rPr>
              <w:rFonts w:ascii="Times New Roman" w:hAnsi="Times New Roman" w:eastAsia="仿宋" w:cs="Times New Roman"/>
              <w:b/>
              <w:bCs/>
              <w:sz w:val="28"/>
              <w:szCs w:val="28"/>
            </w:rPr>
            <w:tab/>
          </w:r>
          <w:r>
            <w:rPr>
              <w:rFonts w:ascii="Times New Roman" w:hAnsi="Times New Roman" w:eastAsia="仿宋" w:cs="Times New Roman"/>
              <w:b/>
              <w:bCs/>
              <w:sz w:val="28"/>
              <w:szCs w:val="28"/>
            </w:rPr>
            <w:fldChar w:fldCharType="begin"/>
          </w:r>
          <w:r>
            <w:rPr>
              <w:rFonts w:ascii="Times New Roman" w:hAnsi="Times New Roman" w:eastAsia="仿宋" w:cs="Times New Roman"/>
              <w:b/>
              <w:bCs/>
              <w:sz w:val="28"/>
              <w:szCs w:val="28"/>
            </w:rPr>
            <w:instrText xml:space="preserve"> PAGEREF _Toc24039 </w:instrText>
          </w:r>
          <w:r>
            <w:rPr>
              <w:rFonts w:ascii="Times New Roman" w:hAnsi="Times New Roman" w:eastAsia="仿宋" w:cs="Times New Roman"/>
              <w:b/>
              <w:bCs/>
              <w:sz w:val="28"/>
              <w:szCs w:val="28"/>
            </w:rPr>
            <w:fldChar w:fldCharType="separate"/>
          </w:r>
          <w:r>
            <w:rPr>
              <w:rFonts w:ascii="Times New Roman" w:hAnsi="Times New Roman" w:eastAsia="仿宋" w:cs="Times New Roman"/>
              <w:b/>
              <w:bCs/>
              <w:sz w:val="28"/>
              <w:szCs w:val="28"/>
            </w:rPr>
            <w:t>11</w:t>
          </w:r>
          <w:r>
            <w:rPr>
              <w:rFonts w:ascii="Times New Roman" w:hAnsi="Times New Roman" w:eastAsia="仿宋" w:cs="Times New Roman"/>
              <w:b/>
              <w:bCs/>
              <w:sz w:val="28"/>
              <w:szCs w:val="28"/>
            </w:rPr>
            <w:fldChar w:fldCharType="end"/>
          </w:r>
          <w:r>
            <w:rPr>
              <w:rFonts w:ascii="Times New Roman" w:hAnsi="Times New Roman" w:eastAsia="仿宋" w:cs="Times New Roman"/>
              <w:b/>
              <w:bCs/>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"_Toc23761" </w:instrText>
          </w:r>
          <w:r>
            <w:fldChar w:fldCharType="separate"/>
          </w:r>
          <w:r>
            <w:rPr>
              <w:rFonts w:ascii="Times New Roman" w:hAnsi="Times New Roman" w:eastAsia="仿宋" w:cs="Times New Roman"/>
              <w:sz w:val="28"/>
              <w:szCs w:val="28"/>
            </w:rPr>
            <w:t>（一）项目决策情况分析</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_Toc23761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12</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"_Toc16821" </w:instrText>
          </w:r>
          <w:r>
            <w:fldChar w:fldCharType="separate"/>
          </w:r>
          <w:r>
            <w:rPr>
              <w:rFonts w:ascii="Times New Roman" w:hAnsi="Times New Roman" w:eastAsia="仿宋" w:cs="Times New Roman"/>
              <w:sz w:val="28"/>
              <w:szCs w:val="28"/>
            </w:rPr>
            <w:t>（二）项目过程情况分析</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_Toc16821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15</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"_Toc27916" </w:instrText>
          </w:r>
          <w:r>
            <w:fldChar w:fldCharType="separate"/>
          </w:r>
          <w:r>
            <w:rPr>
              <w:rFonts w:ascii="Times New Roman" w:hAnsi="Times New Roman" w:eastAsia="仿宋" w:cs="Times New Roman"/>
              <w:sz w:val="28"/>
              <w:szCs w:val="28"/>
            </w:rPr>
            <w:t>（三）项目产出情况分析</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_Toc27916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19</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"_Toc31125" </w:instrText>
          </w:r>
          <w:r>
            <w:fldChar w:fldCharType="separate"/>
          </w:r>
          <w:r>
            <w:rPr>
              <w:rFonts w:ascii="Times New Roman" w:hAnsi="Times New Roman" w:eastAsia="仿宋" w:cs="Times New Roman"/>
              <w:sz w:val="28"/>
              <w:szCs w:val="28"/>
            </w:rPr>
            <w:t>（四）项目效益情况分析</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_Toc31125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22</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2"/>
            <w:tabs>
              <w:tab w:val="right" w:leader="dot" w:pos="8844"/>
            </w:tabs>
            <w:spacing w:line="500" w:lineRule="exact"/>
            <w:rPr>
              <w:rFonts w:ascii="Times New Roman" w:hAnsi="Times New Roman" w:eastAsia="仿宋" w:cs="Times New Roman"/>
              <w:b/>
              <w:bCs/>
              <w:sz w:val="28"/>
              <w:szCs w:val="28"/>
            </w:rPr>
          </w:pPr>
          <w:r>
            <w:fldChar w:fldCharType="begin"/>
          </w:r>
          <w:r>
            <w:instrText xml:space="preserve"> HYPERLINK \l "_Toc21930" </w:instrText>
          </w:r>
          <w:r>
            <w:fldChar w:fldCharType="separate"/>
          </w:r>
          <w:r>
            <w:rPr>
              <w:rFonts w:ascii="Times New Roman" w:hAnsi="Times New Roman" w:eastAsia="仿宋" w:cs="Times New Roman"/>
              <w:b/>
              <w:bCs/>
              <w:sz w:val="28"/>
              <w:szCs w:val="28"/>
            </w:rPr>
            <w:t>五、主要经验及做法、存在的问题及原因分析</w:t>
          </w:r>
          <w:r>
            <w:rPr>
              <w:rFonts w:ascii="Times New Roman" w:hAnsi="Times New Roman" w:eastAsia="仿宋" w:cs="Times New Roman"/>
              <w:b/>
              <w:bCs/>
              <w:sz w:val="28"/>
              <w:szCs w:val="28"/>
            </w:rPr>
            <w:tab/>
          </w:r>
          <w:r>
            <w:rPr>
              <w:rFonts w:ascii="Times New Roman" w:hAnsi="Times New Roman" w:eastAsia="仿宋" w:cs="Times New Roman"/>
              <w:b/>
              <w:bCs/>
              <w:sz w:val="28"/>
              <w:szCs w:val="28"/>
            </w:rPr>
            <w:fldChar w:fldCharType="begin"/>
          </w:r>
          <w:r>
            <w:rPr>
              <w:rFonts w:ascii="Times New Roman" w:hAnsi="Times New Roman" w:eastAsia="仿宋" w:cs="Times New Roman"/>
              <w:b/>
              <w:bCs/>
              <w:sz w:val="28"/>
              <w:szCs w:val="28"/>
            </w:rPr>
            <w:instrText xml:space="preserve"> PAGEREF _Toc21930 </w:instrText>
          </w:r>
          <w:r>
            <w:rPr>
              <w:rFonts w:ascii="Times New Roman" w:hAnsi="Times New Roman" w:eastAsia="仿宋" w:cs="Times New Roman"/>
              <w:b/>
              <w:bCs/>
              <w:sz w:val="28"/>
              <w:szCs w:val="28"/>
            </w:rPr>
            <w:fldChar w:fldCharType="separate"/>
          </w:r>
          <w:r>
            <w:rPr>
              <w:rFonts w:ascii="Times New Roman" w:hAnsi="Times New Roman" w:eastAsia="仿宋" w:cs="Times New Roman"/>
              <w:b/>
              <w:bCs/>
              <w:sz w:val="28"/>
              <w:szCs w:val="28"/>
            </w:rPr>
            <w:t>24</w:t>
          </w:r>
          <w:r>
            <w:rPr>
              <w:rFonts w:ascii="Times New Roman" w:hAnsi="Times New Roman" w:eastAsia="仿宋" w:cs="Times New Roman"/>
              <w:b/>
              <w:bCs/>
              <w:sz w:val="28"/>
              <w:szCs w:val="28"/>
            </w:rPr>
            <w:fldChar w:fldCharType="end"/>
          </w:r>
          <w:r>
            <w:rPr>
              <w:rFonts w:ascii="Times New Roman" w:hAnsi="Times New Roman" w:eastAsia="仿宋" w:cs="Times New Roman"/>
              <w:b/>
              <w:bCs/>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"_Toc27646" </w:instrText>
          </w:r>
          <w:r>
            <w:fldChar w:fldCharType="separate"/>
          </w:r>
          <w:r>
            <w:rPr>
              <w:rFonts w:ascii="Times New Roman" w:hAnsi="Times New Roman" w:eastAsia="仿宋" w:cs="Times New Roman"/>
              <w:sz w:val="28"/>
              <w:szCs w:val="28"/>
            </w:rPr>
            <w:t>（一）主要经验及做法</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_Toc27646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24</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"_Toc3928" </w:instrText>
          </w:r>
          <w:r>
            <w:fldChar w:fldCharType="separate"/>
          </w:r>
          <w:r>
            <w:rPr>
              <w:rFonts w:ascii="Times New Roman" w:hAnsi="Times New Roman" w:eastAsia="仿宋" w:cs="Times New Roman"/>
              <w:sz w:val="28"/>
              <w:szCs w:val="28"/>
            </w:rPr>
            <w:t>（二）存在的问题及原因分析</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_Toc3928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25</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2"/>
            <w:tabs>
              <w:tab w:val="right" w:leader="dot" w:pos="8844"/>
            </w:tabs>
            <w:spacing w:line="500" w:lineRule="exact"/>
            <w:rPr>
              <w:rFonts w:ascii="Times New Roman" w:hAnsi="Times New Roman" w:eastAsia="仿宋" w:cs="Times New Roman"/>
              <w:b/>
              <w:bCs/>
              <w:sz w:val="28"/>
              <w:szCs w:val="28"/>
            </w:rPr>
          </w:pPr>
          <w:r>
            <w:fldChar w:fldCharType="begin"/>
          </w:r>
          <w:r>
            <w:instrText xml:space="preserve"> HYPERLINK \l "_Toc19021" </w:instrText>
          </w:r>
          <w:r>
            <w:fldChar w:fldCharType="separate"/>
          </w:r>
          <w:r>
            <w:rPr>
              <w:rFonts w:ascii="Times New Roman" w:hAnsi="Times New Roman" w:eastAsia="仿宋" w:cs="Times New Roman"/>
              <w:b/>
              <w:bCs/>
              <w:sz w:val="28"/>
              <w:szCs w:val="28"/>
            </w:rPr>
            <w:t>六、有关建议</w:t>
          </w:r>
          <w:r>
            <w:rPr>
              <w:rFonts w:ascii="Times New Roman" w:hAnsi="Times New Roman" w:eastAsia="仿宋" w:cs="Times New Roman"/>
              <w:b/>
              <w:bCs/>
              <w:sz w:val="28"/>
              <w:szCs w:val="28"/>
            </w:rPr>
            <w:tab/>
          </w:r>
          <w:r>
            <w:rPr>
              <w:rFonts w:ascii="Times New Roman" w:hAnsi="Times New Roman" w:eastAsia="仿宋" w:cs="Times New Roman"/>
              <w:b/>
              <w:bCs/>
              <w:sz w:val="28"/>
              <w:szCs w:val="28"/>
            </w:rPr>
            <w:fldChar w:fldCharType="begin"/>
          </w:r>
          <w:r>
            <w:rPr>
              <w:rFonts w:ascii="Times New Roman" w:hAnsi="Times New Roman" w:eastAsia="仿宋" w:cs="Times New Roman"/>
              <w:b/>
              <w:bCs/>
              <w:sz w:val="28"/>
              <w:szCs w:val="28"/>
            </w:rPr>
            <w:instrText xml:space="preserve"> PAGEREF _Toc19021 </w:instrText>
          </w:r>
          <w:r>
            <w:rPr>
              <w:rFonts w:ascii="Times New Roman" w:hAnsi="Times New Roman" w:eastAsia="仿宋" w:cs="Times New Roman"/>
              <w:b/>
              <w:bCs/>
              <w:sz w:val="28"/>
              <w:szCs w:val="28"/>
            </w:rPr>
            <w:fldChar w:fldCharType="separate"/>
          </w:r>
          <w:r>
            <w:rPr>
              <w:rFonts w:ascii="Times New Roman" w:hAnsi="Times New Roman" w:eastAsia="仿宋" w:cs="Times New Roman"/>
              <w:b/>
              <w:bCs/>
              <w:sz w:val="28"/>
              <w:szCs w:val="28"/>
            </w:rPr>
            <w:t>27</w:t>
          </w:r>
          <w:r>
            <w:rPr>
              <w:rFonts w:ascii="Times New Roman" w:hAnsi="Times New Roman" w:eastAsia="仿宋" w:cs="Times New Roman"/>
              <w:b/>
              <w:bCs/>
              <w:sz w:val="28"/>
              <w:szCs w:val="28"/>
            </w:rPr>
            <w:fldChar w:fldCharType="end"/>
          </w:r>
          <w:r>
            <w:rPr>
              <w:rFonts w:ascii="Times New Roman" w:hAnsi="Times New Roman" w:eastAsia="仿宋" w:cs="Times New Roman"/>
              <w:b/>
              <w:bCs/>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"_Toc14767" </w:instrText>
          </w:r>
          <w:r>
            <w:fldChar w:fldCharType="separate"/>
          </w:r>
          <w:r>
            <w:rPr>
              <w:rFonts w:ascii="Times New Roman" w:hAnsi="Times New Roman" w:eastAsia="仿宋" w:cs="Times New Roman"/>
              <w:sz w:val="28"/>
              <w:szCs w:val="28"/>
            </w:rPr>
            <w:t>（一）建议加强项目前期论证，规范立项程序</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_Toc14767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27</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"_Toc25356" </w:instrText>
          </w:r>
          <w:r>
            <w:fldChar w:fldCharType="separate"/>
          </w:r>
          <w:r>
            <w:rPr>
              <w:rFonts w:ascii="Times New Roman" w:hAnsi="Times New Roman" w:eastAsia="仿宋" w:cs="Times New Roman"/>
              <w:sz w:val="28"/>
              <w:szCs w:val="28"/>
            </w:rPr>
            <w:t>（二）建议完善绩效目标及指标设置，强化绩效目标指导作用</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_Toc25356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27</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"_Toc16218" </w:instrText>
          </w:r>
          <w:r>
            <w:fldChar w:fldCharType="separate"/>
          </w:r>
          <w:r>
            <w:rPr>
              <w:rFonts w:ascii="Times New Roman" w:hAnsi="Times New Roman" w:eastAsia="仿宋" w:cs="Times New Roman"/>
              <w:sz w:val="28"/>
              <w:szCs w:val="28"/>
            </w:rPr>
            <w:t>（三）建议合理编制预算，提升预算编制科学性</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_Toc16218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27</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3"/>
            <w:tabs>
              <w:tab w:val="right" w:leader="dot" w:pos="8844"/>
            </w:tabs>
            <w:spacing w:line="500" w:lineRule="exact"/>
            <w:ind w:left="480"/>
            <w:rPr>
              <w:rFonts w:ascii="Times New Roman" w:hAnsi="Times New Roman" w:eastAsia="仿宋" w:cs="Times New Roman"/>
              <w:sz w:val="28"/>
              <w:szCs w:val="28"/>
            </w:rPr>
          </w:pPr>
          <w:r>
            <w:fldChar w:fldCharType="begin"/>
          </w:r>
          <w:r>
            <w:instrText xml:space="preserve"> HYPERLINK \l "_Toc9325" </w:instrText>
          </w:r>
          <w:r>
            <w:fldChar w:fldCharType="separate"/>
          </w:r>
          <w:r>
            <w:rPr>
              <w:rFonts w:ascii="Times New Roman" w:hAnsi="Times New Roman" w:eastAsia="仿宋" w:cs="Times New Roman"/>
              <w:sz w:val="28"/>
              <w:szCs w:val="28"/>
            </w:rPr>
            <w:t>（四）建议加强项目过程管理，提升制度执行有效性</w:t>
          </w:r>
          <w:r>
            <w:rPr>
              <w:rFonts w:ascii="Times New Roman" w:hAnsi="Times New Roman" w:eastAsia="仿宋" w:cs="Times New Roman"/>
              <w:sz w:val="28"/>
              <w:szCs w:val="28"/>
            </w:rPr>
            <w:tab/>
          </w:r>
          <w:r>
            <w:rPr>
              <w:rFonts w:ascii="Times New Roman" w:hAnsi="Times New Roman" w:eastAsia="仿宋" w:cs="Times New Roman"/>
              <w:sz w:val="28"/>
              <w:szCs w:val="28"/>
            </w:rPr>
            <w:fldChar w:fldCharType="begin"/>
          </w:r>
          <w:r>
            <w:rPr>
              <w:rFonts w:ascii="Times New Roman" w:hAnsi="Times New Roman" w:eastAsia="仿宋" w:cs="Times New Roman"/>
              <w:sz w:val="28"/>
              <w:szCs w:val="28"/>
            </w:rPr>
            <w:instrText xml:space="preserve"> PAGEREF _Toc9325 </w:instrText>
          </w:r>
          <w:r>
            <w:rPr>
              <w:rFonts w:ascii="Times New Roman" w:hAnsi="Times New Roman" w:eastAsia="仿宋" w:cs="Times New Roman"/>
              <w:sz w:val="28"/>
              <w:szCs w:val="28"/>
            </w:rPr>
            <w:fldChar w:fldCharType="separate"/>
          </w:r>
          <w:r>
            <w:rPr>
              <w:rFonts w:ascii="Times New Roman" w:hAnsi="Times New Roman" w:eastAsia="仿宋" w:cs="Times New Roman"/>
              <w:sz w:val="28"/>
              <w:szCs w:val="28"/>
            </w:rPr>
            <w:t>28</w:t>
          </w:r>
          <w:r>
            <w:rPr>
              <w:rFonts w:ascii="Times New Roman" w:hAnsi="Times New Roman" w:eastAsia="仿宋" w:cs="Times New Roman"/>
              <w:sz w:val="28"/>
              <w:szCs w:val="28"/>
            </w:rPr>
            <w:fldChar w:fldCharType="end"/>
          </w:r>
          <w:r>
            <w:rPr>
              <w:rFonts w:ascii="Times New Roman" w:hAnsi="Times New Roman" w:eastAsia="仿宋" w:cs="Times New Roman"/>
              <w:sz w:val="28"/>
              <w:szCs w:val="28"/>
            </w:rPr>
            <w:fldChar w:fldCharType="end"/>
          </w:r>
        </w:p>
        <w:p>
          <w:pPr>
            <w:pStyle w:val="12"/>
            <w:tabs>
              <w:tab w:val="right" w:leader="dot" w:pos="8844"/>
            </w:tabs>
            <w:spacing w:line="500" w:lineRule="exact"/>
            <w:rPr>
              <w:rFonts w:ascii="Times New Roman" w:hAnsi="Times New Roman" w:eastAsia="仿宋" w:cs="Times New Roman"/>
              <w:b/>
              <w:bCs/>
              <w:sz w:val="28"/>
              <w:szCs w:val="28"/>
            </w:rPr>
          </w:pPr>
          <w:r>
            <w:fldChar w:fldCharType="begin"/>
          </w:r>
          <w:r>
            <w:instrText xml:space="preserve"> HYPERLINK \l "_Toc15794" </w:instrText>
          </w:r>
          <w:r>
            <w:fldChar w:fldCharType="separate"/>
          </w:r>
          <w:r>
            <w:rPr>
              <w:rFonts w:ascii="Times New Roman" w:hAnsi="Times New Roman" w:eastAsia="仿宋" w:cs="Times New Roman"/>
              <w:b/>
              <w:bCs/>
              <w:sz w:val="28"/>
              <w:szCs w:val="28"/>
            </w:rPr>
            <w:t>七、其他需说明的问题</w:t>
          </w:r>
          <w:r>
            <w:rPr>
              <w:rFonts w:ascii="Times New Roman" w:hAnsi="Times New Roman" w:eastAsia="仿宋" w:cs="Times New Roman"/>
              <w:b/>
              <w:bCs/>
              <w:sz w:val="28"/>
              <w:szCs w:val="28"/>
            </w:rPr>
            <w:tab/>
          </w:r>
          <w:r>
            <w:rPr>
              <w:rFonts w:ascii="Times New Roman" w:hAnsi="Times New Roman" w:eastAsia="仿宋" w:cs="Times New Roman"/>
              <w:b/>
              <w:bCs/>
              <w:sz w:val="28"/>
              <w:szCs w:val="28"/>
            </w:rPr>
            <w:fldChar w:fldCharType="begin"/>
          </w:r>
          <w:r>
            <w:rPr>
              <w:rFonts w:ascii="Times New Roman" w:hAnsi="Times New Roman" w:eastAsia="仿宋" w:cs="Times New Roman"/>
              <w:b/>
              <w:bCs/>
              <w:sz w:val="28"/>
              <w:szCs w:val="28"/>
            </w:rPr>
            <w:instrText xml:space="preserve"> PAGEREF _Toc15794 </w:instrText>
          </w:r>
          <w:r>
            <w:rPr>
              <w:rFonts w:ascii="Times New Roman" w:hAnsi="Times New Roman" w:eastAsia="仿宋" w:cs="Times New Roman"/>
              <w:b/>
              <w:bCs/>
              <w:sz w:val="28"/>
              <w:szCs w:val="28"/>
            </w:rPr>
            <w:fldChar w:fldCharType="separate"/>
          </w:r>
          <w:r>
            <w:rPr>
              <w:rFonts w:ascii="Times New Roman" w:hAnsi="Times New Roman" w:eastAsia="仿宋" w:cs="Times New Roman"/>
              <w:b/>
              <w:bCs/>
              <w:sz w:val="28"/>
              <w:szCs w:val="28"/>
            </w:rPr>
            <w:t>28</w:t>
          </w:r>
          <w:r>
            <w:rPr>
              <w:rFonts w:ascii="Times New Roman" w:hAnsi="Times New Roman" w:eastAsia="仿宋" w:cs="Times New Roman"/>
              <w:b/>
              <w:bCs/>
              <w:sz w:val="28"/>
              <w:szCs w:val="28"/>
            </w:rPr>
            <w:fldChar w:fldCharType="end"/>
          </w:r>
          <w:r>
            <w:rPr>
              <w:rFonts w:ascii="Times New Roman" w:hAnsi="Times New Roman" w:eastAsia="仿宋" w:cs="Times New Roman"/>
              <w:b/>
              <w:bCs/>
              <w:sz w:val="28"/>
              <w:szCs w:val="28"/>
            </w:rPr>
            <w:fldChar w:fldCharType="end"/>
          </w:r>
        </w:p>
        <w:p>
          <w:pPr>
            <w:pStyle w:val="12"/>
            <w:tabs>
              <w:tab w:val="right" w:leader="dot" w:pos="8844"/>
            </w:tabs>
            <w:spacing w:line="500" w:lineRule="exact"/>
            <w:rPr>
              <w:rFonts w:ascii="Times New Roman" w:hAnsi="Times New Roman" w:eastAsia="仿宋" w:cs="Times New Roman"/>
              <w:b/>
              <w:bCs/>
              <w:sz w:val="28"/>
              <w:szCs w:val="28"/>
            </w:rPr>
          </w:pPr>
          <w:r>
            <w:fldChar w:fldCharType="begin"/>
          </w:r>
          <w:r>
            <w:instrText xml:space="preserve"> HYPERLINK \l "_Toc13588" </w:instrText>
          </w:r>
          <w:r>
            <w:fldChar w:fldCharType="separate"/>
          </w:r>
          <w:r>
            <w:rPr>
              <w:rFonts w:ascii="Times New Roman" w:hAnsi="Times New Roman" w:eastAsia="仿宋" w:cs="Times New Roman"/>
              <w:b/>
              <w:bCs/>
              <w:sz w:val="28"/>
              <w:szCs w:val="28"/>
            </w:rPr>
            <w:t>八、附件</w:t>
          </w:r>
          <w:r>
            <w:rPr>
              <w:rFonts w:ascii="Times New Roman" w:hAnsi="Times New Roman" w:eastAsia="仿宋" w:cs="Times New Roman"/>
              <w:b/>
              <w:bCs/>
              <w:sz w:val="28"/>
              <w:szCs w:val="28"/>
            </w:rPr>
            <w:tab/>
          </w:r>
          <w:r>
            <w:rPr>
              <w:rFonts w:ascii="Times New Roman" w:hAnsi="Times New Roman" w:eastAsia="仿宋" w:cs="Times New Roman"/>
              <w:b/>
              <w:bCs/>
              <w:sz w:val="28"/>
              <w:szCs w:val="28"/>
            </w:rPr>
            <w:fldChar w:fldCharType="begin"/>
          </w:r>
          <w:r>
            <w:rPr>
              <w:rFonts w:ascii="Times New Roman" w:hAnsi="Times New Roman" w:eastAsia="仿宋" w:cs="Times New Roman"/>
              <w:b/>
              <w:bCs/>
              <w:sz w:val="28"/>
              <w:szCs w:val="28"/>
            </w:rPr>
            <w:instrText xml:space="preserve"> PAGEREF _Toc13588 </w:instrText>
          </w:r>
          <w:r>
            <w:rPr>
              <w:rFonts w:ascii="Times New Roman" w:hAnsi="Times New Roman" w:eastAsia="仿宋" w:cs="Times New Roman"/>
              <w:b/>
              <w:bCs/>
              <w:sz w:val="28"/>
              <w:szCs w:val="28"/>
            </w:rPr>
            <w:fldChar w:fldCharType="separate"/>
          </w:r>
          <w:r>
            <w:rPr>
              <w:rFonts w:ascii="Times New Roman" w:hAnsi="Times New Roman" w:eastAsia="仿宋" w:cs="Times New Roman"/>
              <w:b/>
              <w:bCs/>
              <w:sz w:val="28"/>
              <w:szCs w:val="28"/>
            </w:rPr>
            <w:t>28</w:t>
          </w:r>
          <w:r>
            <w:rPr>
              <w:rFonts w:ascii="Times New Roman" w:hAnsi="Times New Roman" w:eastAsia="仿宋" w:cs="Times New Roman"/>
              <w:b/>
              <w:bCs/>
              <w:sz w:val="28"/>
              <w:szCs w:val="28"/>
            </w:rPr>
            <w:fldChar w:fldCharType="end"/>
          </w:r>
          <w:r>
            <w:rPr>
              <w:rFonts w:ascii="Times New Roman" w:hAnsi="Times New Roman" w:eastAsia="仿宋" w:cs="Times New Roman"/>
              <w:b/>
              <w:bCs/>
              <w:sz w:val="28"/>
              <w:szCs w:val="28"/>
            </w:rPr>
            <w:fldChar w:fldCharType="end"/>
          </w:r>
        </w:p>
        <w:p>
          <w:pPr>
            <w:pStyle w:val="2"/>
            <w:keepNext w:val="0"/>
            <w:keepLines w:val="0"/>
            <w:pageBreakBefore w:val="0"/>
            <w:widowControl w:val="0"/>
            <w:kinsoku/>
            <w:wordWrap/>
            <w:overflowPunct/>
            <w:topLinePunct w:val="0"/>
            <w:autoSpaceDE/>
            <w:autoSpaceDN/>
            <w:bidi w:val="0"/>
            <w:adjustRightInd/>
            <w:snapToGrid/>
            <w:spacing w:line="40" w:lineRule="exact"/>
            <w:textAlignment w:val="auto"/>
            <w:outlineLvl w:val="9"/>
            <w:rPr>
              <w:rFonts w:ascii="Times New Roman" w:hAnsi="Times New Roman"/>
              <w:sz w:val="28"/>
              <w:szCs w:val="28"/>
            </w:rPr>
          </w:pPr>
          <w:r>
            <w:rPr>
              <w:rFonts w:ascii="Times New Roman" w:hAnsi="Times New Roman"/>
              <w:sz w:val="28"/>
              <w:szCs w:val="28"/>
            </w:rPr>
            <w:fldChar w:fldCharType="end"/>
          </w:r>
        </w:p>
      </w:sdtContent>
    </w:sdt>
    <w:p>
      <w:pPr>
        <w:keepNext w:val="0"/>
        <w:keepLines w:val="0"/>
        <w:pageBreakBefore w:val="0"/>
        <w:widowControl w:val="0"/>
        <w:kinsoku/>
        <w:wordWrap/>
        <w:overflowPunct/>
        <w:topLinePunct w:val="0"/>
        <w:autoSpaceDE/>
        <w:autoSpaceDN/>
        <w:bidi w:val="0"/>
        <w:adjustRightInd/>
        <w:snapToGrid/>
        <w:spacing w:line="40" w:lineRule="exact"/>
        <w:jc w:val="center"/>
        <w:textAlignment w:val="auto"/>
        <w:outlineLvl w:val="9"/>
        <w:rPr>
          <w:rFonts w:ascii="Times New Roman" w:hAnsi="Times New Roman" w:eastAsia="仿宋" w:cs="Times New Roman"/>
          <w:sz w:val="28"/>
          <w:szCs w:val="28"/>
        </w:rPr>
        <w:sectPr>
          <w:footerReference r:id="rId4" w:type="default"/>
          <w:pgSz w:w="11906" w:h="16838"/>
          <w:pgMar w:top="2098" w:right="1474" w:bottom="1985" w:left="1588" w:header="851" w:footer="992" w:gutter="0"/>
          <w:cols w:space="425" w:num="1"/>
          <w:docGrid w:type="lines" w:linePitch="326" w:charSpace="0"/>
        </w:sectPr>
      </w:pPr>
    </w:p>
    <w:p>
      <w:pPr>
        <w:spacing w:line="560" w:lineRule="exact"/>
        <w:jc w:val="center"/>
        <w:rPr>
          <w:rFonts w:hint="eastAsia" w:ascii="Times New Roman" w:hAnsi="Times New Roman" w:eastAsia="方正小标宋简体" w:cs="Times New Roman"/>
          <w:sz w:val="36"/>
          <w:szCs w:val="36"/>
          <w:lang w:eastAsia="zh-CN"/>
        </w:rPr>
      </w:pPr>
      <w:r>
        <w:rPr>
          <w:rFonts w:hint="eastAsia" w:ascii="Times New Roman" w:hAnsi="Times New Roman" w:eastAsia="方正小标宋简体" w:cs="Times New Roman"/>
          <w:sz w:val="36"/>
          <w:szCs w:val="36"/>
          <w:lang w:eastAsia="zh-CN"/>
        </w:rPr>
        <w:t>首都之窗运行管理中心</w:t>
      </w:r>
    </w:p>
    <w:p>
      <w:pPr>
        <w:spacing w:line="560" w:lineRule="exact"/>
        <w:jc w:val="center"/>
        <w:rPr>
          <w:rFonts w:ascii="Times New Roman" w:hAnsi="Times New Roman" w:eastAsia="方正小标宋简体" w:cs="Times New Roman"/>
          <w:sz w:val="36"/>
          <w:szCs w:val="36"/>
        </w:rPr>
      </w:pPr>
      <w:r>
        <w:rPr>
          <w:rFonts w:ascii="Times New Roman" w:hAnsi="Times New Roman" w:eastAsia="方正小标宋简体" w:cs="Times New Roman"/>
          <w:sz w:val="36"/>
          <w:szCs w:val="36"/>
        </w:rPr>
        <w:t>北京市政府网站集约化平台服务及运维</w:t>
      </w:r>
    </w:p>
    <w:p>
      <w:pPr>
        <w:spacing w:line="560" w:lineRule="exact"/>
        <w:jc w:val="center"/>
        <w:rPr>
          <w:rFonts w:ascii="Times New Roman" w:hAnsi="Times New Roman" w:eastAsia="方正小标宋简体" w:cs="Times New Roman"/>
          <w:sz w:val="36"/>
          <w:szCs w:val="36"/>
        </w:rPr>
      </w:pPr>
      <w:r>
        <w:rPr>
          <w:rFonts w:ascii="Times New Roman" w:hAnsi="Times New Roman" w:eastAsia="方正小标宋简体" w:cs="Times New Roman"/>
          <w:sz w:val="36"/>
          <w:szCs w:val="36"/>
        </w:rPr>
        <w:t>项目</w:t>
      </w:r>
      <w:r>
        <w:rPr>
          <w:rFonts w:hint="eastAsia" w:ascii="Times New Roman" w:hAnsi="Times New Roman" w:eastAsia="方正小标宋简体" w:cs="Times New Roman"/>
          <w:sz w:val="36"/>
          <w:szCs w:val="36"/>
          <w:lang w:eastAsia="zh-CN"/>
        </w:rPr>
        <w:t>支出</w:t>
      </w:r>
      <w:r>
        <w:rPr>
          <w:rFonts w:ascii="Times New Roman" w:hAnsi="Times New Roman" w:eastAsia="方正小标宋简体" w:cs="Times New Roman"/>
          <w:sz w:val="36"/>
          <w:szCs w:val="36"/>
        </w:rPr>
        <w:t>绩效评价报告</w:t>
      </w:r>
    </w:p>
    <w:p>
      <w:pPr>
        <w:pStyle w:val="2"/>
        <w:spacing w:line="560" w:lineRule="exact"/>
        <w:jc w:val="center"/>
        <w:rPr>
          <w:rFonts w:ascii="Times New Roman" w:hAnsi="Times New Roman" w:eastAsia="方正小标宋简体"/>
          <w:sz w:val="36"/>
          <w:szCs w:val="36"/>
        </w:rPr>
      </w:pPr>
    </w:p>
    <w:p>
      <w:pPr>
        <w:pStyle w:val="2"/>
        <w:widowControl w:val="0"/>
        <w:spacing w:line="560" w:lineRule="exact"/>
        <w:ind w:firstLine="640" w:firstLineChars="200"/>
        <w:outlineLvl w:val="0"/>
        <w:rPr>
          <w:rFonts w:ascii="Times New Roman" w:hAnsi="Times New Roman" w:eastAsia="黑体"/>
        </w:rPr>
      </w:pPr>
      <w:bookmarkStart w:id="0" w:name="_Toc29118"/>
      <w:r>
        <w:rPr>
          <w:rFonts w:ascii="Times New Roman" w:hAnsi="Times New Roman" w:eastAsia="黑体"/>
        </w:rPr>
        <w:t>一、基本情况</w:t>
      </w:r>
      <w:bookmarkEnd w:id="0"/>
    </w:p>
    <w:p>
      <w:pPr>
        <w:pStyle w:val="2"/>
        <w:widowControl w:val="0"/>
        <w:spacing w:line="560" w:lineRule="exact"/>
        <w:ind w:firstLine="640" w:firstLineChars="200"/>
        <w:outlineLvl w:val="1"/>
        <w:rPr>
          <w:rFonts w:ascii="Times New Roman" w:hAnsi="Times New Roman" w:eastAsia="楷体"/>
        </w:rPr>
      </w:pPr>
      <w:bookmarkStart w:id="1" w:name="_Toc29387"/>
      <w:r>
        <w:rPr>
          <w:rFonts w:ascii="Times New Roman" w:hAnsi="Times New Roman" w:eastAsia="楷体"/>
        </w:rPr>
        <w:t>（一）项目概况</w:t>
      </w:r>
      <w:bookmarkEnd w:id="1"/>
    </w:p>
    <w:p>
      <w:pPr>
        <w:pStyle w:val="2"/>
        <w:widowControl w:val="0"/>
        <w:spacing w:line="560" w:lineRule="exact"/>
        <w:ind w:firstLine="643" w:firstLineChars="200"/>
        <w:rPr>
          <w:rFonts w:ascii="Times New Roman" w:hAnsi="Times New Roman"/>
          <w:b/>
          <w:bCs/>
        </w:rPr>
      </w:pPr>
      <w:r>
        <w:rPr>
          <w:rFonts w:ascii="Times New Roman" w:hAnsi="Times New Roman"/>
          <w:b/>
          <w:bCs/>
        </w:rPr>
        <w:t>1.项目立项背景</w:t>
      </w:r>
    </w:p>
    <w:p>
      <w:pPr>
        <w:pStyle w:val="2"/>
        <w:widowControl w:val="0"/>
        <w:spacing w:line="560" w:lineRule="exact"/>
        <w:ind w:firstLine="640" w:firstLineChars="200"/>
        <w:rPr>
          <w:rFonts w:ascii="Times New Roman" w:hAnsi="Times New Roman"/>
        </w:rPr>
      </w:pPr>
      <w:r>
        <w:rPr>
          <w:rFonts w:ascii="Times New Roman" w:hAnsi="Times New Roman"/>
        </w:rPr>
        <w:t>为加强全国网络安全和信息化工作有关部署，推进政府网站互联互通融合发展，《国务院办公厅关于印发&lt;政府网站集约化试点工作方案&gt;的通知》（国办函〔2018〕71号）明确北京</w:t>
      </w:r>
      <w:r>
        <w:rPr>
          <w:rFonts w:hint="eastAsia" w:ascii="Times New Roman" w:hAnsi="Times New Roman"/>
        </w:rPr>
        <w:t>市</w:t>
      </w:r>
      <w:r>
        <w:rPr>
          <w:rFonts w:ascii="Times New Roman" w:hAnsi="Times New Roman"/>
        </w:rPr>
        <w:t>等11个地区作为全国政府网站集约化试点地区，于2019年12月底前，完成政府网站集约化工作，实现本地区各级各类政府网站资源优化融合、平台整合安全、数据互认共享、管理统筹规范、服务便捷高效。北京市人民政府办公厅印发《关于坚持以人民为中心推进一体化网上政府建设的工作方案》的通知（京政办发〔2019〕9号），明确以政府信息</w:t>
      </w:r>
      <w:r>
        <w:rPr>
          <w:rFonts w:hint="eastAsia" w:ascii="Times New Roman" w:hAnsi="Times New Roman"/>
        </w:rPr>
        <w:t>“</w:t>
      </w:r>
      <w:r>
        <w:rPr>
          <w:rFonts w:ascii="Times New Roman" w:hAnsi="Times New Roman"/>
        </w:rPr>
        <w:t>一网通查</w:t>
      </w:r>
      <w:r>
        <w:rPr>
          <w:rFonts w:hint="eastAsia" w:ascii="Times New Roman" w:hAnsi="Times New Roman"/>
        </w:rPr>
        <w:t>”</w:t>
      </w:r>
      <w:r>
        <w:rPr>
          <w:rFonts w:ascii="Times New Roman" w:hAnsi="Times New Roman"/>
        </w:rPr>
        <w:t>、政务服务</w:t>
      </w:r>
      <w:r>
        <w:rPr>
          <w:rFonts w:hint="eastAsia" w:ascii="Times New Roman" w:hAnsi="Times New Roman"/>
        </w:rPr>
        <w:t>“</w:t>
      </w:r>
      <w:r>
        <w:rPr>
          <w:rFonts w:ascii="Times New Roman" w:hAnsi="Times New Roman"/>
        </w:rPr>
        <w:t>一网通办</w:t>
      </w:r>
      <w:r>
        <w:rPr>
          <w:rFonts w:hint="eastAsia" w:ascii="Times New Roman" w:hAnsi="Times New Roman"/>
        </w:rPr>
        <w:t>”</w:t>
      </w:r>
      <w:r>
        <w:rPr>
          <w:rFonts w:ascii="Times New Roman" w:hAnsi="Times New Roman"/>
        </w:rPr>
        <w:t>、互动交流</w:t>
      </w:r>
      <w:r>
        <w:rPr>
          <w:rFonts w:hint="eastAsia" w:ascii="Times New Roman" w:hAnsi="Times New Roman"/>
        </w:rPr>
        <w:t>“</w:t>
      </w:r>
      <w:r>
        <w:rPr>
          <w:rFonts w:ascii="Times New Roman" w:hAnsi="Times New Roman"/>
        </w:rPr>
        <w:t>一网通答</w:t>
      </w:r>
      <w:r>
        <w:rPr>
          <w:rFonts w:hint="eastAsia" w:ascii="Times New Roman" w:hAnsi="Times New Roman"/>
        </w:rPr>
        <w:t>”</w:t>
      </w:r>
      <w:r>
        <w:rPr>
          <w:rFonts w:ascii="Times New Roman" w:hAnsi="Times New Roman"/>
        </w:rPr>
        <w:t>为目标，建设利企便民、精准服务、整体协同、透明高效的一体化网上政府。</w:t>
      </w:r>
    </w:p>
    <w:p>
      <w:pPr>
        <w:pStyle w:val="2"/>
        <w:widowControl w:val="0"/>
        <w:spacing w:line="560" w:lineRule="exact"/>
        <w:ind w:firstLine="640" w:firstLineChars="200"/>
        <w:rPr>
          <w:rFonts w:ascii="Times New Roman" w:hAnsi="Times New Roman"/>
        </w:rPr>
      </w:pPr>
      <w:r>
        <w:rPr>
          <w:rFonts w:ascii="Times New Roman" w:hAnsi="Times New Roman"/>
        </w:rPr>
        <w:t>为落实国办试点要求，北京市人民政府统一部署，由北京市经济和信息化局（以下简称</w:t>
      </w:r>
      <w:r>
        <w:rPr>
          <w:rFonts w:hint="eastAsia" w:ascii="Times New Roman" w:hAnsi="Times New Roman"/>
        </w:rPr>
        <w:t>“</w:t>
      </w:r>
      <w:r>
        <w:rPr>
          <w:rFonts w:ascii="Times New Roman" w:hAnsi="Times New Roman"/>
        </w:rPr>
        <w:t>市</w:t>
      </w:r>
      <w:r>
        <w:rPr>
          <w:rFonts w:hint="eastAsia" w:ascii="Times New Roman" w:hAnsi="Times New Roman"/>
        </w:rPr>
        <w:t>经济和信息化局”</w:t>
      </w:r>
      <w:r>
        <w:rPr>
          <w:rFonts w:ascii="Times New Roman" w:hAnsi="Times New Roman"/>
        </w:rPr>
        <w:t>）承担政府网站集约化平台的建设维护职责，首都之窗运行管理中心（以下简称</w:t>
      </w:r>
      <w:r>
        <w:rPr>
          <w:rFonts w:hint="eastAsia" w:ascii="Times New Roman" w:hAnsi="Times New Roman"/>
        </w:rPr>
        <w:t>“</w:t>
      </w:r>
      <w:r>
        <w:rPr>
          <w:rFonts w:ascii="Times New Roman" w:hAnsi="Times New Roman"/>
        </w:rPr>
        <w:t>首都之窗</w:t>
      </w:r>
      <w:r>
        <w:rPr>
          <w:rFonts w:hint="eastAsia" w:ascii="Times New Roman" w:hAnsi="Times New Roman"/>
        </w:rPr>
        <w:t>”</w:t>
      </w:r>
      <w:r>
        <w:rPr>
          <w:rFonts w:ascii="Times New Roman" w:hAnsi="Times New Roman"/>
        </w:rPr>
        <w:t>）作为北京市政府网站集约化平台建设项目的建设主体。2019年底，北京市完成市级政府网站集约化平台建设，将包括北京市政府门户网站在内的市级政府部门网站向集约化平台迁移，北京市政府网站集约化平台建设项目于2020年6月整体竣工验收。</w:t>
      </w:r>
    </w:p>
    <w:p>
      <w:pPr>
        <w:pStyle w:val="2"/>
        <w:widowControl w:val="0"/>
        <w:spacing w:line="560" w:lineRule="exact"/>
        <w:ind w:firstLine="640" w:firstLineChars="200"/>
        <w:rPr>
          <w:rFonts w:ascii="Times New Roman" w:hAnsi="Times New Roman"/>
        </w:rPr>
      </w:pPr>
      <w:r>
        <w:rPr>
          <w:rFonts w:ascii="Times New Roman" w:hAnsi="Times New Roman"/>
        </w:rPr>
        <w:t>为进一步深化北京市政府网站集约化建设力度，推动北京市一体化网上政府建设和政务大数据发展，强化北京市政府网站集约化平台运维保障，根据《国务院办公厅关于印发&lt;政府网站集约化试点工作方案&gt;的通知》（国办函〔2018〕71号）文件要求，探索通过购买服务等方式，保障政府网站集约化平台技术功能迭代更新的需要，首都之窗申请北京市政府网站集约化平台服务及运维经费，用于开展政府网站集约化平台政务云服务租用、政府网站集约化平台安全接入及运维、政府网站集约化平台应用系统运维、</w:t>
      </w:r>
      <w:r>
        <w:rPr>
          <w:rFonts w:ascii="Times New Roman" w:hAnsi="Times New Roman"/>
          <w:szCs w:val="32"/>
          <w:lang w:bidi="ar"/>
        </w:rPr>
        <w:t>政府网站集约化平台业务运维</w:t>
      </w:r>
      <w:r>
        <w:rPr>
          <w:rFonts w:ascii="Times New Roman" w:hAnsi="Times New Roman"/>
        </w:rPr>
        <w:t>等工作。</w:t>
      </w:r>
    </w:p>
    <w:p>
      <w:pPr>
        <w:pStyle w:val="2"/>
        <w:widowControl w:val="0"/>
        <w:spacing w:line="560" w:lineRule="exact"/>
        <w:ind w:firstLine="643" w:firstLineChars="200"/>
        <w:rPr>
          <w:rFonts w:ascii="Times New Roman" w:hAnsi="Times New Roman"/>
          <w:b/>
          <w:bCs/>
        </w:rPr>
      </w:pPr>
      <w:r>
        <w:rPr>
          <w:rFonts w:ascii="Times New Roman" w:hAnsi="Times New Roman"/>
          <w:b/>
          <w:bCs/>
        </w:rPr>
        <w:t>2.项目主要内容</w:t>
      </w:r>
    </w:p>
    <w:p>
      <w:pPr>
        <w:pStyle w:val="2"/>
        <w:widowControl w:val="0"/>
        <w:spacing w:line="560" w:lineRule="exact"/>
        <w:ind w:firstLine="640" w:firstLineChars="200"/>
        <w:rPr>
          <w:rFonts w:ascii="Times New Roman" w:hAnsi="Times New Roman"/>
        </w:rPr>
      </w:pPr>
      <w:r>
        <w:rPr>
          <w:rFonts w:ascii="Times New Roman" w:hAnsi="Times New Roman"/>
        </w:rPr>
        <w:t>北京市政府网站集约化平台服务及运维项目（以下简称</w:t>
      </w:r>
      <w:r>
        <w:rPr>
          <w:rFonts w:hint="eastAsia" w:ascii="Times New Roman" w:hAnsi="Times New Roman"/>
        </w:rPr>
        <w:t>“</w:t>
      </w:r>
      <w:r>
        <w:rPr>
          <w:rFonts w:ascii="Times New Roman" w:hAnsi="Times New Roman"/>
        </w:rPr>
        <w:t>项目</w:t>
      </w:r>
      <w:r>
        <w:rPr>
          <w:rFonts w:hint="eastAsia" w:ascii="Times New Roman" w:hAnsi="Times New Roman"/>
        </w:rPr>
        <w:t>”</w:t>
      </w:r>
      <w:r>
        <w:rPr>
          <w:rFonts w:ascii="Times New Roman" w:hAnsi="Times New Roman"/>
        </w:rPr>
        <w:t>）由首都之窗组织实施。项目主要内容为完成市政府网站集约化平台运维，为全市各部门网站提供集约化服务。具体包括以下4项内容：</w:t>
      </w:r>
    </w:p>
    <w:p>
      <w:pPr>
        <w:pStyle w:val="2"/>
        <w:widowControl w:val="0"/>
        <w:spacing w:line="560" w:lineRule="exact"/>
        <w:ind w:firstLine="640" w:firstLineChars="200"/>
        <w:rPr>
          <w:rFonts w:ascii="Times New Roman" w:hAnsi="Times New Roman"/>
        </w:rPr>
      </w:pPr>
      <w:r>
        <w:rPr>
          <w:rFonts w:ascii="Times New Roman" w:hAnsi="Times New Roman"/>
        </w:rPr>
        <w:t>（1）政府网站集约化平台政务云服务租用。通过统一采买集约化平台政务云服务资源，为北京市政府网站集约化平台相关系统及组件部署提供所需的全部政务云资源，提供统一政务云服务保障，支撑市级政府网站集约化平台的基础设施环境需要，实现统一部署、统一运维，保障平台平稳、高效、安全。</w:t>
      </w:r>
    </w:p>
    <w:p>
      <w:pPr>
        <w:pStyle w:val="2"/>
        <w:widowControl w:val="0"/>
        <w:spacing w:line="560" w:lineRule="exact"/>
        <w:ind w:firstLine="640" w:firstLineChars="200"/>
        <w:rPr>
          <w:rFonts w:ascii="Times New Roman" w:hAnsi="Times New Roman"/>
        </w:rPr>
      </w:pPr>
      <w:r>
        <w:rPr>
          <w:rFonts w:ascii="Times New Roman" w:hAnsi="Times New Roman"/>
        </w:rPr>
        <w:t>（2）政府网站集约化平台安全接入及运维。主要内容为完成市级政府网站集约化平台整体的等保测评及整改工作；完成北京市政府门户网站及60家市级政府部门网站的应用扫描、渗透测试、驻场安全咨询及应急处置工作；提供网站IPv6地址翻译及网络安全接入服务；提供“.beijing.gov.cn”域名的网站及互联网平台的安全DNS解析服务等。</w:t>
      </w:r>
    </w:p>
    <w:p>
      <w:pPr>
        <w:pStyle w:val="2"/>
        <w:widowControl w:val="0"/>
        <w:spacing w:line="560" w:lineRule="exact"/>
        <w:ind w:firstLine="640" w:firstLineChars="200"/>
        <w:rPr>
          <w:rFonts w:ascii="Times New Roman" w:hAnsi="Times New Roman"/>
        </w:rPr>
      </w:pPr>
      <w:r>
        <w:rPr>
          <w:rFonts w:ascii="Times New Roman" w:hAnsi="Times New Roman"/>
        </w:rPr>
        <w:t>（3）政府网站集约化平台应用系统运维。通过统一采买集约化平台各类技术组件，为北京市政府门户网站及全市各政府部门网站提供共性应用组件服务，实现北京市政府门户网站以及全部市级政府部门的网站运行保障。</w:t>
      </w:r>
    </w:p>
    <w:p>
      <w:pPr>
        <w:pStyle w:val="2"/>
        <w:widowControl w:val="0"/>
        <w:spacing w:line="560" w:lineRule="exact"/>
        <w:ind w:firstLine="640" w:firstLineChars="200"/>
        <w:rPr>
          <w:rFonts w:ascii="Times New Roman" w:hAnsi="Times New Roman"/>
        </w:rPr>
      </w:pPr>
      <w:r>
        <w:rPr>
          <w:rFonts w:ascii="Times New Roman" w:hAnsi="Times New Roman"/>
        </w:rPr>
        <w:t>（4）政府网站集约化平台业务运维。主要内容为运营和优化</w:t>
      </w:r>
      <w:r>
        <w:rPr>
          <w:rFonts w:hint="eastAsia" w:ascii="Times New Roman" w:hAnsi="Times New Roman"/>
        </w:rPr>
        <w:t>“</w:t>
      </w:r>
      <w:r>
        <w:rPr>
          <w:rFonts w:ascii="Times New Roman" w:hAnsi="Times New Roman"/>
        </w:rPr>
        <w:t>一网通查</w:t>
      </w:r>
      <w:r>
        <w:rPr>
          <w:rFonts w:hint="eastAsia" w:ascii="Times New Roman" w:hAnsi="Times New Roman"/>
        </w:rPr>
        <w:t>”</w:t>
      </w:r>
      <w:r>
        <w:rPr>
          <w:rFonts w:ascii="Times New Roman" w:hAnsi="Times New Roman"/>
        </w:rPr>
        <w:t>服务，丰富智能搜索服务和政务信息发布服务；运营和优化</w:t>
      </w:r>
      <w:r>
        <w:rPr>
          <w:rFonts w:hint="eastAsia" w:ascii="Times New Roman" w:hAnsi="Times New Roman"/>
        </w:rPr>
        <w:t>“</w:t>
      </w:r>
      <w:r>
        <w:rPr>
          <w:rFonts w:ascii="Times New Roman" w:hAnsi="Times New Roman"/>
        </w:rPr>
        <w:t>一网通答</w:t>
      </w:r>
      <w:r>
        <w:rPr>
          <w:rFonts w:hint="eastAsia" w:ascii="Times New Roman" w:hAnsi="Times New Roman"/>
        </w:rPr>
        <w:t>”</w:t>
      </w:r>
      <w:r>
        <w:rPr>
          <w:rFonts w:ascii="Times New Roman" w:hAnsi="Times New Roman"/>
        </w:rPr>
        <w:t>服务，实现对用户及互动服务的统一业务运营和服务优化；运维和深化应用全市统一信息资源库，建设分类科学、集中规范、共享共用的全平台统一信息资源库，汇聚沉淀本地区各级各类政府网站信息发布、便民办事、互动交流等栏目或系统的信息数据，按照</w:t>
      </w:r>
      <w:r>
        <w:rPr>
          <w:rFonts w:hint="eastAsia" w:ascii="Times New Roman" w:hAnsi="Times New Roman"/>
        </w:rPr>
        <w:t>“</w:t>
      </w:r>
      <w:r>
        <w:rPr>
          <w:rFonts w:ascii="Times New Roman" w:hAnsi="Times New Roman"/>
        </w:rPr>
        <w:t>先入库，后使用</w:t>
      </w:r>
      <w:r>
        <w:rPr>
          <w:rFonts w:hint="eastAsia" w:ascii="Times New Roman" w:hAnsi="Times New Roman"/>
        </w:rPr>
        <w:t>”</w:t>
      </w:r>
      <w:r>
        <w:rPr>
          <w:rFonts w:ascii="Times New Roman" w:hAnsi="Times New Roman"/>
        </w:rPr>
        <w:t>原则，进行统一管理。</w:t>
      </w:r>
    </w:p>
    <w:p>
      <w:pPr>
        <w:pStyle w:val="2"/>
        <w:widowControl w:val="0"/>
        <w:spacing w:line="560" w:lineRule="exact"/>
        <w:ind w:firstLine="643" w:firstLineChars="200"/>
        <w:rPr>
          <w:rFonts w:ascii="Times New Roman" w:hAnsi="Times New Roman"/>
          <w:b/>
          <w:bCs/>
        </w:rPr>
      </w:pPr>
      <w:r>
        <w:rPr>
          <w:rFonts w:ascii="Times New Roman" w:hAnsi="Times New Roman"/>
          <w:b/>
          <w:bCs/>
        </w:rPr>
        <w:t>3.项目资金投入</w:t>
      </w:r>
    </w:p>
    <w:p>
      <w:pPr>
        <w:pStyle w:val="2"/>
        <w:widowControl w:val="0"/>
        <w:spacing w:line="560" w:lineRule="exact"/>
        <w:ind w:firstLine="640" w:firstLineChars="200"/>
        <w:rPr>
          <w:rFonts w:ascii="Times New Roman" w:hAnsi="Times New Roman"/>
          <w:szCs w:val="32"/>
          <w:lang w:bidi="ar"/>
        </w:rPr>
      </w:pPr>
      <w:r>
        <w:rPr>
          <w:rFonts w:ascii="Times New Roman" w:hAnsi="Times New Roman"/>
        </w:rPr>
        <w:t>项目年初预算批复</w:t>
      </w:r>
      <w:r>
        <w:rPr>
          <w:rFonts w:ascii="Times New Roman" w:hAnsi="Times New Roman"/>
          <w:szCs w:val="32"/>
          <w:lang w:bidi="ar"/>
        </w:rPr>
        <w:t>3,056.89</w:t>
      </w:r>
      <w:r>
        <w:rPr>
          <w:rFonts w:ascii="Times New Roman" w:hAnsi="Times New Roman"/>
        </w:rPr>
        <w:t>万元，全部为当年财政批复资金</w:t>
      </w:r>
      <w:r>
        <w:rPr>
          <w:rFonts w:ascii="Times New Roman" w:hAnsi="Times New Roman"/>
          <w:szCs w:val="32"/>
          <w:lang w:bidi="ar"/>
        </w:rPr>
        <w:t>，资金到位3,056.89万元。由于招标结余，调减2021年项目经费19.89万元，调整后项目总预算3,037万元。项目具体预算情况见表1。</w:t>
      </w:r>
    </w:p>
    <w:p>
      <w:pPr>
        <w:pStyle w:val="14"/>
        <w:spacing w:after="163" w:afterLines="50" w:line="560" w:lineRule="exact"/>
        <w:jc w:val="center"/>
        <w:rPr>
          <w:rFonts w:ascii="Times New Roman" w:hAnsi="Times New Roman" w:eastAsia="黑体" w:cs="Times New Roman"/>
          <w:sz w:val="28"/>
          <w:szCs w:val="28"/>
        </w:rPr>
      </w:pPr>
      <w:r>
        <w:rPr>
          <w:rFonts w:ascii="Times New Roman" w:hAnsi="Times New Roman" w:eastAsia="黑体" w:cs="Times New Roman"/>
          <w:sz w:val="28"/>
          <w:szCs w:val="28"/>
          <w:lang w:bidi="ar"/>
        </w:rPr>
        <w:t xml:space="preserve">表1 </w:t>
      </w:r>
      <w:r>
        <w:rPr>
          <w:rFonts w:ascii="Times New Roman" w:hAnsi="Times New Roman" w:eastAsia="黑体" w:cs="Times New Roman"/>
          <w:color w:val="000000"/>
          <w:kern w:val="0"/>
          <w:sz w:val="28"/>
          <w:szCs w:val="28"/>
        </w:rPr>
        <w:t>2021年度项目预算构成</w:t>
      </w:r>
      <w:r>
        <w:rPr>
          <w:rFonts w:ascii="Times New Roman" w:hAnsi="Times New Roman" w:eastAsia="黑体" w:cs="Times New Roman"/>
          <w:sz w:val="28"/>
          <w:szCs w:val="28"/>
          <w:lang w:bidi="ar"/>
        </w:rPr>
        <w:t>表</w:t>
      </w:r>
    </w:p>
    <w:tbl>
      <w:tblPr>
        <w:tblStyle w:val="17"/>
        <w:tblW w:w="8864" w:type="dxa"/>
        <w:tblInd w:w="0" w:type="dxa"/>
        <w:tblLayout w:type="fixed"/>
        <w:tblCellMar>
          <w:top w:w="0" w:type="dxa"/>
          <w:left w:w="0" w:type="dxa"/>
          <w:bottom w:w="0" w:type="dxa"/>
          <w:right w:w="0" w:type="dxa"/>
        </w:tblCellMar>
      </w:tblPr>
      <w:tblGrid>
        <w:gridCol w:w="1002"/>
        <w:gridCol w:w="5756"/>
        <w:gridCol w:w="2106"/>
      </w:tblGrid>
      <w:tr>
        <w:tblPrEx>
          <w:tblCellMar>
            <w:top w:w="0" w:type="dxa"/>
            <w:left w:w="0" w:type="dxa"/>
            <w:bottom w:w="0" w:type="dxa"/>
            <w:right w:w="0" w:type="dxa"/>
          </w:tblCellMar>
        </w:tblPrEx>
        <w:trPr>
          <w:trHeight w:val="624" w:hRule="atLeast"/>
          <w:tblHeader/>
        </w:trPr>
        <w:tc>
          <w:tcPr>
            <w:tcW w:w="1002"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tcMar>
              <w:top w:w="10" w:type="dxa"/>
              <w:left w:w="10" w:type="dxa"/>
              <w:right w:w="10" w:type="dxa"/>
            </w:tcMar>
            <w:vAlign w:val="center"/>
          </w:tcPr>
          <w:p>
            <w:pPr>
              <w:jc w:val="center"/>
              <w:textAlignment w:val="center"/>
              <w:rPr>
                <w:rFonts w:ascii="Times New Roman" w:hAnsi="Times New Roman" w:eastAsia="仿宋_GB2312" w:cs="Times New Roman"/>
                <w:b/>
                <w:color w:val="000000"/>
              </w:rPr>
            </w:pPr>
            <w:r>
              <w:rPr>
                <w:rFonts w:ascii="Times New Roman" w:hAnsi="Times New Roman" w:eastAsia="仿宋_GB2312" w:cs="Times New Roman"/>
                <w:b/>
                <w:color w:val="000000"/>
                <w:kern w:val="0"/>
                <w:lang w:bidi="ar"/>
              </w:rPr>
              <w:t>序号</w:t>
            </w:r>
          </w:p>
        </w:tc>
        <w:tc>
          <w:tcPr>
            <w:tcW w:w="5756"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tcMar>
              <w:top w:w="10" w:type="dxa"/>
              <w:left w:w="10" w:type="dxa"/>
              <w:right w:w="10" w:type="dxa"/>
            </w:tcMar>
            <w:vAlign w:val="center"/>
          </w:tcPr>
          <w:p>
            <w:pPr>
              <w:jc w:val="center"/>
              <w:textAlignment w:val="center"/>
              <w:rPr>
                <w:rFonts w:ascii="Times New Roman" w:hAnsi="Times New Roman" w:eastAsia="仿宋_GB2312" w:cs="Times New Roman"/>
                <w:b/>
                <w:color w:val="000000"/>
              </w:rPr>
            </w:pPr>
            <w:r>
              <w:rPr>
                <w:rFonts w:ascii="Times New Roman" w:hAnsi="Times New Roman" w:eastAsia="仿宋_GB2312" w:cs="Times New Roman"/>
                <w:b/>
                <w:color w:val="000000"/>
                <w:kern w:val="0"/>
                <w:lang w:bidi="ar"/>
              </w:rPr>
              <w:t>费用明细</w:t>
            </w:r>
          </w:p>
        </w:tc>
        <w:tc>
          <w:tcPr>
            <w:tcW w:w="2106"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tcMar>
              <w:top w:w="10" w:type="dxa"/>
              <w:left w:w="10" w:type="dxa"/>
              <w:right w:w="10" w:type="dxa"/>
            </w:tcMar>
            <w:vAlign w:val="center"/>
          </w:tcPr>
          <w:p>
            <w:pPr>
              <w:jc w:val="center"/>
              <w:textAlignment w:val="center"/>
              <w:rPr>
                <w:rFonts w:ascii="Times New Roman" w:hAnsi="Times New Roman" w:eastAsia="仿宋_GB2312" w:cs="Times New Roman"/>
                <w:b/>
                <w:color w:val="000000"/>
              </w:rPr>
            </w:pPr>
            <w:r>
              <w:rPr>
                <w:rFonts w:ascii="Times New Roman" w:hAnsi="Times New Roman" w:eastAsia="仿宋_GB2312" w:cs="Times New Roman"/>
                <w:b/>
                <w:color w:val="000000"/>
                <w:kern w:val="0"/>
                <w:lang w:bidi="ar"/>
              </w:rPr>
              <w:t>预算金额（万元）</w:t>
            </w:r>
          </w:p>
        </w:tc>
      </w:tr>
      <w:tr>
        <w:tblPrEx>
          <w:tblCellMar>
            <w:top w:w="0" w:type="dxa"/>
            <w:left w:w="0" w:type="dxa"/>
            <w:bottom w:w="0" w:type="dxa"/>
            <w:right w:w="0" w:type="dxa"/>
          </w:tblCellMar>
        </w:tblPrEx>
        <w:trPr>
          <w:trHeight w:val="624" w:hRule="atLeast"/>
        </w:trPr>
        <w:tc>
          <w:tcPr>
            <w:tcW w:w="1002" w:type="dxa"/>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color w:val="000000"/>
              </w:rPr>
            </w:pPr>
            <w:r>
              <w:rPr>
                <w:rFonts w:ascii="Times New Roman" w:hAnsi="Times New Roman" w:eastAsia="仿宋_GB2312" w:cs="Times New Roman"/>
                <w:color w:val="000000"/>
                <w:kern w:val="0"/>
                <w:lang w:bidi="ar"/>
              </w:rPr>
              <w:t>1</w:t>
            </w:r>
          </w:p>
        </w:tc>
        <w:tc>
          <w:tcPr>
            <w:tcW w:w="5756" w:type="dxa"/>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color w:val="000000"/>
              </w:rPr>
            </w:pPr>
            <w:r>
              <w:rPr>
                <w:rFonts w:ascii="Times New Roman" w:hAnsi="Times New Roman" w:eastAsia="仿宋_GB2312" w:cs="Times New Roman"/>
                <w:color w:val="000000"/>
                <w:kern w:val="0"/>
                <w:lang w:bidi="ar"/>
              </w:rPr>
              <w:t>政府网站集约化平台政务云服务租用</w:t>
            </w:r>
          </w:p>
        </w:tc>
        <w:tc>
          <w:tcPr>
            <w:tcW w:w="2106" w:type="dxa"/>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color w:val="000000"/>
              </w:rPr>
            </w:pPr>
            <w:r>
              <w:rPr>
                <w:rFonts w:ascii="Times New Roman" w:hAnsi="Times New Roman" w:eastAsia="仿宋_GB2312" w:cs="Times New Roman"/>
                <w:color w:val="000000"/>
                <w:kern w:val="0"/>
                <w:lang w:bidi="ar"/>
              </w:rPr>
              <w:t>1</w:t>
            </w:r>
            <w:r>
              <w:rPr>
                <w:rFonts w:hint="eastAsia" w:ascii="Times New Roman" w:hAnsi="Times New Roman" w:eastAsia="仿宋_GB2312" w:cs="Times New Roman"/>
                <w:color w:val="000000"/>
                <w:kern w:val="0"/>
                <w:lang w:val="en-US" w:eastAsia="zh-CN" w:bidi="ar"/>
              </w:rPr>
              <w:t>,</w:t>
            </w:r>
            <w:r>
              <w:rPr>
                <w:rFonts w:ascii="Times New Roman" w:hAnsi="Times New Roman" w:eastAsia="仿宋_GB2312" w:cs="Times New Roman"/>
                <w:color w:val="000000"/>
                <w:kern w:val="0"/>
                <w:lang w:bidi="ar"/>
              </w:rPr>
              <w:t>382.87</w:t>
            </w:r>
          </w:p>
        </w:tc>
      </w:tr>
      <w:tr>
        <w:tblPrEx>
          <w:tblCellMar>
            <w:top w:w="0" w:type="dxa"/>
            <w:left w:w="0" w:type="dxa"/>
            <w:bottom w:w="0" w:type="dxa"/>
            <w:right w:w="0" w:type="dxa"/>
          </w:tblCellMar>
        </w:tblPrEx>
        <w:trPr>
          <w:trHeight w:val="624" w:hRule="atLeast"/>
        </w:trPr>
        <w:tc>
          <w:tcPr>
            <w:tcW w:w="1002" w:type="dxa"/>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color w:val="000000"/>
              </w:rPr>
            </w:pPr>
            <w:r>
              <w:rPr>
                <w:rFonts w:ascii="Times New Roman" w:hAnsi="Times New Roman" w:eastAsia="仿宋_GB2312" w:cs="Times New Roman"/>
                <w:color w:val="000000"/>
                <w:kern w:val="0"/>
                <w:lang w:bidi="ar"/>
              </w:rPr>
              <w:t>2</w:t>
            </w:r>
          </w:p>
        </w:tc>
        <w:tc>
          <w:tcPr>
            <w:tcW w:w="5756" w:type="dxa"/>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color w:val="000000"/>
              </w:rPr>
            </w:pPr>
            <w:r>
              <w:rPr>
                <w:rFonts w:ascii="Times New Roman" w:hAnsi="Times New Roman" w:eastAsia="仿宋_GB2312" w:cs="Times New Roman"/>
                <w:color w:val="000000"/>
                <w:kern w:val="0"/>
                <w:lang w:bidi="ar"/>
              </w:rPr>
              <w:t>政府网站集约化平台安全接入及运维</w:t>
            </w:r>
          </w:p>
        </w:tc>
        <w:tc>
          <w:tcPr>
            <w:tcW w:w="2106" w:type="dxa"/>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color w:val="000000"/>
              </w:rPr>
            </w:pPr>
            <w:r>
              <w:rPr>
                <w:rFonts w:ascii="Times New Roman" w:hAnsi="Times New Roman" w:eastAsia="仿宋_GB2312" w:cs="Times New Roman"/>
                <w:color w:val="000000"/>
                <w:kern w:val="0"/>
                <w:lang w:bidi="ar"/>
              </w:rPr>
              <w:t>336.20</w:t>
            </w:r>
          </w:p>
        </w:tc>
      </w:tr>
      <w:tr>
        <w:tblPrEx>
          <w:tblCellMar>
            <w:top w:w="0" w:type="dxa"/>
            <w:left w:w="0" w:type="dxa"/>
            <w:bottom w:w="0" w:type="dxa"/>
            <w:right w:w="0" w:type="dxa"/>
          </w:tblCellMar>
        </w:tblPrEx>
        <w:trPr>
          <w:trHeight w:val="624" w:hRule="atLeast"/>
        </w:trPr>
        <w:tc>
          <w:tcPr>
            <w:tcW w:w="1002" w:type="dxa"/>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color w:val="000000"/>
              </w:rPr>
            </w:pPr>
            <w:r>
              <w:rPr>
                <w:rFonts w:ascii="Times New Roman" w:hAnsi="Times New Roman" w:eastAsia="仿宋_GB2312" w:cs="Times New Roman"/>
                <w:color w:val="000000"/>
                <w:kern w:val="0"/>
                <w:lang w:bidi="ar"/>
              </w:rPr>
              <w:t>3</w:t>
            </w:r>
          </w:p>
        </w:tc>
        <w:tc>
          <w:tcPr>
            <w:tcW w:w="5756" w:type="dxa"/>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color w:val="000000"/>
              </w:rPr>
            </w:pPr>
            <w:r>
              <w:rPr>
                <w:rFonts w:ascii="Times New Roman" w:hAnsi="Times New Roman" w:eastAsia="仿宋_GB2312" w:cs="Times New Roman"/>
                <w:color w:val="000000"/>
                <w:kern w:val="0"/>
                <w:lang w:bidi="ar"/>
              </w:rPr>
              <w:t>政府网站集约化平台业务运维</w:t>
            </w:r>
          </w:p>
        </w:tc>
        <w:tc>
          <w:tcPr>
            <w:tcW w:w="2106" w:type="dxa"/>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color w:val="000000"/>
              </w:rPr>
            </w:pPr>
            <w:r>
              <w:rPr>
                <w:rFonts w:ascii="Times New Roman" w:hAnsi="Times New Roman" w:eastAsia="仿宋_GB2312" w:cs="Times New Roman"/>
                <w:color w:val="000000"/>
                <w:kern w:val="0"/>
                <w:lang w:bidi="ar"/>
              </w:rPr>
              <w:t>671.80</w:t>
            </w:r>
          </w:p>
        </w:tc>
      </w:tr>
      <w:tr>
        <w:tblPrEx>
          <w:tblCellMar>
            <w:top w:w="0" w:type="dxa"/>
            <w:left w:w="0" w:type="dxa"/>
            <w:bottom w:w="0" w:type="dxa"/>
            <w:right w:w="0" w:type="dxa"/>
          </w:tblCellMar>
        </w:tblPrEx>
        <w:trPr>
          <w:trHeight w:val="624" w:hRule="atLeast"/>
        </w:trPr>
        <w:tc>
          <w:tcPr>
            <w:tcW w:w="1002" w:type="dxa"/>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color w:val="000000"/>
              </w:rPr>
            </w:pPr>
            <w:r>
              <w:rPr>
                <w:rFonts w:ascii="Times New Roman" w:hAnsi="Times New Roman" w:eastAsia="仿宋_GB2312" w:cs="Times New Roman"/>
                <w:color w:val="000000"/>
                <w:kern w:val="0"/>
                <w:lang w:bidi="ar"/>
              </w:rPr>
              <w:t>4</w:t>
            </w:r>
          </w:p>
        </w:tc>
        <w:tc>
          <w:tcPr>
            <w:tcW w:w="5756" w:type="dxa"/>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color w:val="000000"/>
              </w:rPr>
            </w:pPr>
            <w:r>
              <w:rPr>
                <w:rFonts w:ascii="Times New Roman" w:hAnsi="Times New Roman" w:eastAsia="仿宋_GB2312" w:cs="Times New Roman"/>
                <w:color w:val="000000"/>
                <w:kern w:val="0"/>
                <w:lang w:bidi="ar"/>
              </w:rPr>
              <w:t>政府网站集约化平台应用系统运维</w:t>
            </w:r>
          </w:p>
        </w:tc>
        <w:tc>
          <w:tcPr>
            <w:tcW w:w="2106" w:type="dxa"/>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color w:val="000000"/>
              </w:rPr>
            </w:pPr>
            <w:r>
              <w:rPr>
                <w:rFonts w:ascii="Times New Roman" w:hAnsi="Times New Roman" w:eastAsia="仿宋_GB2312" w:cs="Times New Roman"/>
                <w:color w:val="000000"/>
                <w:kern w:val="0"/>
                <w:lang w:bidi="ar"/>
              </w:rPr>
              <w:t>646.13</w:t>
            </w:r>
          </w:p>
        </w:tc>
      </w:tr>
      <w:tr>
        <w:tblPrEx>
          <w:tblCellMar>
            <w:top w:w="0" w:type="dxa"/>
            <w:left w:w="0" w:type="dxa"/>
            <w:bottom w:w="0" w:type="dxa"/>
            <w:right w:w="0" w:type="dxa"/>
          </w:tblCellMar>
        </w:tblPrEx>
        <w:trPr>
          <w:trHeight w:val="624" w:hRule="atLeast"/>
        </w:trPr>
        <w:tc>
          <w:tcPr>
            <w:tcW w:w="6758" w:type="dxa"/>
            <w:gridSpan w:val="2"/>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b/>
                <w:color w:val="000000"/>
              </w:rPr>
            </w:pPr>
            <w:r>
              <w:rPr>
                <w:rFonts w:ascii="Times New Roman" w:hAnsi="Times New Roman" w:eastAsia="仿宋_GB2312" w:cs="Times New Roman"/>
                <w:b/>
                <w:color w:val="000000"/>
                <w:kern w:val="0"/>
                <w:lang w:bidi="ar"/>
              </w:rPr>
              <w:t>合计</w:t>
            </w:r>
          </w:p>
        </w:tc>
        <w:tc>
          <w:tcPr>
            <w:tcW w:w="2106" w:type="dxa"/>
            <w:tcBorders>
              <w:top w:val="single" w:color="000000" w:sz="4" w:space="0"/>
              <w:left w:val="single" w:color="000000" w:sz="4" w:space="0"/>
              <w:bottom w:val="single" w:color="000000" w:sz="4" w:space="0"/>
              <w:right w:val="single" w:color="000000" w:sz="4" w:space="0"/>
            </w:tcBorders>
            <w:shd w:val="clear" w:color="auto" w:fill="auto"/>
            <w:tcMar>
              <w:top w:w="10" w:type="dxa"/>
              <w:left w:w="10" w:type="dxa"/>
              <w:right w:w="10" w:type="dxa"/>
            </w:tcMar>
            <w:vAlign w:val="center"/>
          </w:tcPr>
          <w:p>
            <w:pPr>
              <w:jc w:val="center"/>
              <w:textAlignment w:val="center"/>
              <w:rPr>
                <w:rFonts w:ascii="Times New Roman" w:hAnsi="Times New Roman" w:eastAsia="仿宋_GB2312" w:cs="Times New Roman"/>
                <w:b/>
                <w:color w:val="000000"/>
              </w:rPr>
            </w:pPr>
            <w:r>
              <w:rPr>
                <w:rFonts w:ascii="Times New Roman" w:hAnsi="Times New Roman" w:eastAsia="仿宋_GB2312" w:cs="Times New Roman"/>
                <w:b/>
                <w:color w:val="000000"/>
                <w:kern w:val="0"/>
                <w:lang w:bidi="ar"/>
              </w:rPr>
              <w:t>3,037.00</w:t>
            </w:r>
          </w:p>
        </w:tc>
      </w:tr>
    </w:tbl>
    <w:p>
      <w:pPr>
        <w:pStyle w:val="2"/>
        <w:widowControl w:val="0"/>
        <w:spacing w:line="560" w:lineRule="exact"/>
        <w:rPr>
          <w:rFonts w:ascii="Times New Roman" w:hAnsi="Times New Roman"/>
          <w:szCs w:val="32"/>
          <w:lang w:bidi="ar"/>
        </w:rPr>
      </w:pPr>
    </w:p>
    <w:p>
      <w:pPr>
        <w:pStyle w:val="2"/>
        <w:widowControl w:val="0"/>
        <w:spacing w:line="560" w:lineRule="exact"/>
        <w:ind w:firstLine="640" w:firstLineChars="200"/>
        <w:outlineLvl w:val="1"/>
        <w:rPr>
          <w:rFonts w:ascii="Times New Roman" w:hAnsi="Times New Roman"/>
        </w:rPr>
      </w:pPr>
      <w:bookmarkStart w:id="2" w:name="_Toc8937"/>
      <w:bookmarkStart w:id="3" w:name="_Toc8249"/>
      <w:r>
        <w:rPr>
          <w:rFonts w:ascii="Times New Roman" w:hAnsi="Times New Roman" w:eastAsia="楷体"/>
        </w:rPr>
        <w:t>（二）</w:t>
      </w:r>
      <w:bookmarkEnd w:id="2"/>
      <w:r>
        <w:rPr>
          <w:rFonts w:ascii="Times New Roman" w:hAnsi="Times New Roman" w:eastAsia="楷体"/>
        </w:rPr>
        <w:t>项目绩效目标</w:t>
      </w:r>
      <w:bookmarkEnd w:id="3"/>
    </w:p>
    <w:p>
      <w:pPr>
        <w:pStyle w:val="5"/>
        <w:keepNext w:val="0"/>
        <w:keepLines w:val="0"/>
        <w:spacing w:line="560" w:lineRule="exact"/>
        <w:ind w:firstLine="643"/>
        <w:rPr>
          <w:rFonts w:ascii="Times New Roman" w:hAnsi="Times New Roman" w:cs="Times New Roman"/>
        </w:rPr>
      </w:pPr>
      <w:bookmarkStart w:id="4" w:name="_Toc10718"/>
      <w:bookmarkStart w:id="5" w:name="_Toc23644"/>
      <w:bookmarkStart w:id="6" w:name="_Toc23247"/>
      <w:bookmarkStart w:id="7" w:name="_Toc563"/>
      <w:bookmarkStart w:id="8" w:name="_Toc22957"/>
      <w:r>
        <w:rPr>
          <w:rFonts w:ascii="Times New Roman" w:hAnsi="Times New Roman" w:cs="Times New Roman"/>
        </w:rPr>
        <w:t>1.年度目标</w:t>
      </w:r>
      <w:bookmarkEnd w:id="4"/>
      <w:bookmarkEnd w:id="5"/>
      <w:bookmarkEnd w:id="6"/>
      <w:bookmarkEnd w:id="7"/>
      <w:bookmarkEnd w:id="8"/>
    </w:p>
    <w:p>
      <w:pPr>
        <w:pStyle w:val="2"/>
        <w:widowControl w:val="0"/>
        <w:spacing w:line="560" w:lineRule="exact"/>
        <w:ind w:firstLine="640" w:firstLineChars="200"/>
        <w:rPr>
          <w:rFonts w:ascii="Times New Roman" w:hAnsi="Times New Roman"/>
        </w:rPr>
      </w:pPr>
      <w:r>
        <w:rPr>
          <w:rFonts w:ascii="Times New Roman" w:hAnsi="Times New Roman"/>
        </w:rPr>
        <w:t>（1）通过持续优化政府网站建设的统一标准规范，统一采买集约化平台各类技术组件和政务云服务资源，提供市级政府网站集约化平台整体的统一运维监管、统一安全防护服务，实现北京市政府门户网站以及全部市级政府部门的网站运行保障。</w:t>
      </w:r>
    </w:p>
    <w:p>
      <w:pPr>
        <w:pStyle w:val="2"/>
        <w:widowControl w:val="0"/>
        <w:spacing w:line="560" w:lineRule="exact"/>
        <w:ind w:firstLine="640" w:firstLineChars="200"/>
        <w:rPr>
          <w:rFonts w:ascii="Times New Roman" w:hAnsi="Times New Roman"/>
        </w:rPr>
      </w:pPr>
      <w:r>
        <w:rPr>
          <w:rFonts w:ascii="Times New Roman" w:hAnsi="Times New Roman"/>
        </w:rPr>
        <w:t>（2）持续运维和深化应用全市统一信息资源库，提供全市政府网站的统一信息资源管理。</w:t>
      </w:r>
    </w:p>
    <w:p>
      <w:pPr>
        <w:pStyle w:val="2"/>
        <w:widowControl w:val="0"/>
        <w:spacing w:line="560" w:lineRule="exact"/>
        <w:ind w:firstLine="640" w:firstLineChars="200"/>
        <w:rPr>
          <w:rFonts w:ascii="Times New Roman" w:hAnsi="Times New Roman"/>
        </w:rPr>
      </w:pPr>
      <w:r>
        <w:rPr>
          <w:rFonts w:ascii="Times New Roman" w:hAnsi="Times New Roman"/>
        </w:rPr>
        <w:t>（3）运营和优化</w:t>
      </w:r>
      <w:r>
        <w:rPr>
          <w:rFonts w:hint="eastAsia" w:ascii="Times New Roman" w:hAnsi="Times New Roman"/>
        </w:rPr>
        <w:t>“</w:t>
      </w:r>
      <w:r>
        <w:rPr>
          <w:rFonts w:ascii="Times New Roman" w:hAnsi="Times New Roman"/>
        </w:rPr>
        <w:t>一网通查</w:t>
      </w:r>
      <w:r>
        <w:rPr>
          <w:rFonts w:hint="eastAsia" w:ascii="Times New Roman" w:hAnsi="Times New Roman"/>
        </w:rPr>
        <w:t>”</w:t>
      </w:r>
      <w:r>
        <w:rPr>
          <w:rFonts w:ascii="Times New Roman" w:hAnsi="Times New Roman"/>
        </w:rPr>
        <w:t>服务，持续丰富场景化的智能搜索服务和覆盖全市、统一渠道、发布及时、展现多样、分类科学、查询便捷的政务信息发布服务。</w:t>
      </w:r>
    </w:p>
    <w:p>
      <w:pPr>
        <w:pStyle w:val="2"/>
        <w:widowControl w:val="0"/>
        <w:spacing w:line="560" w:lineRule="exact"/>
        <w:ind w:firstLine="640" w:firstLineChars="200"/>
        <w:rPr>
          <w:rFonts w:ascii="Times New Roman" w:hAnsi="Times New Roman"/>
        </w:rPr>
      </w:pPr>
      <w:r>
        <w:rPr>
          <w:rFonts w:ascii="Times New Roman" w:hAnsi="Times New Roman"/>
        </w:rPr>
        <w:t>（4）运营和优化</w:t>
      </w:r>
      <w:r>
        <w:rPr>
          <w:rFonts w:hint="eastAsia" w:ascii="Times New Roman" w:hAnsi="Times New Roman"/>
        </w:rPr>
        <w:t>“</w:t>
      </w:r>
      <w:r>
        <w:rPr>
          <w:rFonts w:ascii="Times New Roman" w:hAnsi="Times New Roman"/>
        </w:rPr>
        <w:t>一网通答</w:t>
      </w:r>
      <w:r>
        <w:rPr>
          <w:rFonts w:hint="eastAsia" w:ascii="Times New Roman" w:hAnsi="Times New Roman"/>
        </w:rPr>
        <w:t>”</w:t>
      </w:r>
      <w:r>
        <w:rPr>
          <w:rFonts w:ascii="Times New Roman" w:hAnsi="Times New Roman"/>
        </w:rPr>
        <w:t>服务，实现对用户及互动服务的统一业务运营和服务优化。</w:t>
      </w:r>
    </w:p>
    <w:p>
      <w:pPr>
        <w:pStyle w:val="5"/>
        <w:keepNext w:val="0"/>
        <w:keepLines w:val="0"/>
        <w:spacing w:line="560" w:lineRule="exact"/>
        <w:ind w:firstLine="643"/>
        <w:rPr>
          <w:rFonts w:ascii="Times New Roman" w:hAnsi="Times New Roman" w:cs="Times New Roman"/>
        </w:rPr>
      </w:pPr>
      <w:bookmarkStart w:id="9" w:name="_Toc19393"/>
      <w:bookmarkStart w:id="10" w:name="_Toc28939"/>
      <w:bookmarkStart w:id="11" w:name="_Toc16205"/>
      <w:bookmarkStart w:id="12" w:name="_Toc9216"/>
      <w:bookmarkStart w:id="13" w:name="_Toc11277"/>
      <w:r>
        <w:rPr>
          <w:rFonts w:ascii="Times New Roman" w:hAnsi="Times New Roman" w:cs="Times New Roman"/>
        </w:rPr>
        <w:t>2.</w:t>
      </w:r>
      <w:bookmarkEnd w:id="9"/>
      <w:bookmarkEnd w:id="10"/>
      <w:bookmarkEnd w:id="11"/>
      <w:r>
        <w:rPr>
          <w:rFonts w:ascii="Times New Roman" w:hAnsi="Times New Roman" w:cs="Times New Roman"/>
        </w:rPr>
        <w:t>年度绩效指标</w:t>
      </w:r>
      <w:bookmarkEnd w:id="12"/>
      <w:bookmarkEnd w:id="13"/>
    </w:p>
    <w:p>
      <w:pPr>
        <w:pStyle w:val="2"/>
        <w:widowControl w:val="0"/>
        <w:spacing w:line="560" w:lineRule="exact"/>
        <w:ind w:firstLine="640" w:firstLineChars="200"/>
        <w:rPr>
          <w:rFonts w:ascii="Times New Roman" w:hAnsi="Times New Roman"/>
        </w:rPr>
      </w:pPr>
      <w:r>
        <w:rPr>
          <w:rFonts w:ascii="Times New Roman" w:hAnsi="Times New Roman"/>
        </w:rPr>
        <w:t>2021年项目绩效指标设定情况详见表2。</w:t>
      </w:r>
    </w:p>
    <w:p>
      <w:pPr>
        <w:spacing w:after="163" w:afterLines="50" w:line="560" w:lineRule="exact"/>
        <w:jc w:val="center"/>
        <w:rPr>
          <w:rFonts w:ascii="Times New Roman" w:hAnsi="Times New Roman" w:eastAsia="黑体" w:cs="Times New Roman"/>
          <w:sz w:val="28"/>
          <w:szCs w:val="28"/>
        </w:rPr>
      </w:pPr>
      <w:r>
        <w:rPr>
          <w:rFonts w:ascii="Times New Roman" w:hAnsi="Times New Roman" w:eastAsia="黑体" w:cs="Times New Roman"/>
          <w:sz w:val="28"/>
          <w:szCs w:val="28"/>
          <w:lang w:bidi="ar"/>
        </w:rPr>
        <w:t>表2 北京市政府网站集约化平台服务及运维项目绩效指标</w:t>
      </w:r>
    </w:p>
    <w:tbl>
      <w:tblPr>
        <w:tblStyle w:val="17"/>
        <w:tblW w:w="8874" w:type="dxa"/>
        <w:tblInd w:w="0" w:type="dxa"/>
        <w:tblLayout w:type="fixed"/>
        <w:tblCellMar>
          <w:top w:w="0" w:type="dxa"/>
          <w:left w:w="0" w:type="dxa"/>
          <w:bottom w:w="0" w:type="dxa"/>
          <w:right w:w="0" w:type="dxa"/>
        </w:tblCellMar>
      </w:tblPr>
      <w:tblGrid>
        <w:gridCol w:w="1080"/>
        <w:gridCol w:w="1233"/>
        <w:gridCol w:w="4424"/>
        <w:gridCol w:w="2137"/>
      </w:tblGrid>
      <w:tr>
        <w:tblPrEx>
          <w:tblCellMar>
            <w:top w:w="0" w:type="dxa"/>
            <w:left w:w="0" w:type="dxa"/>
            <w:bottom w:w="0" w:type="dxa"/>
            <w:right w:w="0" w:type="dxa"/>
          </w:tblCellMar>
        </w:tblPrEx>
        <w:trPr>
          <w:trHeight w:val="567" w:hRule="atLeast"/>
          <w:tblHeader/>
        </w:trPr>
        <w:tc>
          <w:tcPr>
            <w:tcW w:w="1080"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tcMar>
              <w:top w:w="15" w:type="dxa"/>
              <w:left w:w="15" w:type="dxa"/>
              <w:right w:w="15" w:type="dxa"/>
            </w:tcMar>
            <w:vAlign w:val="center"/>
          </w:tcPr>
          <w:p>
            <w:pPr>
              <w:jc w:val="center"/>
              <w:textAlignment w:val="center"/>
              <w:rPr>
                <w:rFonts w:ascii="Times New Roman" w:hAnsi="Times New Roman" w:eastAsia="宋体" w:cs="Times New Roman"/>
                <w:b/>
                <w:color w:val="000000"/>
                <w:kern w:val="0"/>
                <w:lang w:bidi="ar"/>
              </w:rPr>
            </w:pPr>
            <w:r>
              <w:rPr>
                <w:rFonts w:ascii="Times New Roman" w:hAnsi="Times New Roman" w:eastAsia="宋体" w:cs="Times New Roman"/>
                <w:b/>
                <w:color w:val="000000"/>
                <w:kern w:val="0"/>
                <w:lang w:bidi="ar"/>
              </w:rPr>
              <w:t>一级指标</w:t>
            </w:r>
          </w:p>
        </w:tc>
        <w:tc>
          <w:tcPr>
            <w:tcW w:w="1233"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tcMar>
              <w:top w:w="15" w:type="dxa"/>
              <w:left w:w="15" w:type="dxa"/>
              <w:right w:w="15" w:type="dxa"/>
            </w:tcMar>
            <w:vAlign w:val="center"/>
          </w:tcPr>
          <w:p>
            <w:pPr>
              <w:jc w:val="center"/>
              <w:textAlignment w:val="center"/>
              <w:rPr>
                <w:rFonts w:ascii="Times New Roman" w:hAnsi="Times New Roman" w:eastAsia="宋体" w:cs="Times New Roman"/>
                <w:b/>
                <w:color w:val="000000"/>
              </w:rPr>
            </w:pPr>
            <w:r>
              <w:rPr>
                <w:rFonts w:ascii="Times New Roman" w:hAnsi="Times New Roman" w:eastAsia="宋体" w:cs="Times New Roman"/>
                <w:b/>
                <w:color w:val="000000"/>
                <w:kern w:val="0"/>
                <w:lang w:bidi="ar"/>
              </w:rPr>
              <w:t>二级指标</w:t>
            </w:r>
          </w:p>
        </w:tc>
        <w:tc>
          <w:tcPr>
            <w:tcW w:w="4424"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tcMar>
              <w:top w:w="15" w:type="dxa"/>
              <w:left w:w="15" w:type="dxa"/>
              <w:right w:w="15" w:type="dxa"/>
            </w:tcMar>
            <w:vAlign w:val="center"/>
          </w:tcPr>
          <w:p>
            <w:pPr>
              <w:jc w:val="center"/>
              <w:textAlignment w:val="center"/>
              <w:rPr>
                <w:rFonts w:ascii="Times New Roman" w:hAnsi="Times New Roman" w:eastAsia="宋体" w:cs="Times New Roman"/>
                <w:b/>
                <w:color w:val="000000"/>
              </w:rPr>
            </w:pPr>
            <w:r>
              <w:rPr>
                <w:rFonts w:ascii="Times New Roman" w:hAnsi="Times New Roman" w:eastAsia="宋体" w:cs="Times New Roman"/>
                <w:b/>
                <w:color w:val="000000"/>
                <w:kern w:val="0"/>
                <w:lang w:bidi="ar"/>
              </w:rPr>
              <w:t>三级指标</w:t>
            </w:r>
          </w:p>
        </w:tc>
        <w:tc>
          <w:tcPr>
            <w:tcW w:w="2137"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tcMar>
              <w:top w:w="15" w:type="dxa"/>
              <w:left w:w="15" w:type="dxa"/>
              <w:right w:w="15" w:type="dxa"/>
            </w:tcMar>
            <w:vAlign w:val="center"/>
          </w:tcPr>
          <w:p>
            <w:pPr>
              <w:jc w:val="center"/>
              <w:textAlignment w:val="center"/>
              <w:rPr>
                <w:rFonts w:ascii="Times New Roman" w:hAnsi="Times New Roman" w:eastAsia="宋体" w:cs="Times New Roman"/>
                <w:b/>
                <w:color w:val="000000"/>
              </w:rPr>
            </w:pPr>
            <w:r>
              <w:rPr>
                <w:rFonts w:ascii="Times New Roman" w:hAnsi="Times New Roman" w:eastAsia="宋体" w:cs="Times New Roman"/>
                <w:b/>
                <w:color w:val="000000"/>
                <w:kern w:val="0"/>
                <w:lang w:bidi="ar"/>
              </w:rPr>
              <w:t>指标值</w:t>
            </w:r>
          </w:p>
        </w:tc>
      </w:tr>
      <w:tr>
        <w:tblPrEx>
          <w:tblCellMar>
            <w:top w:w="0" w:type="dxa"/>
            <w:left w:w="0" w:type="dxa"/>
            <w:bottom w:w="0" w:type="dxa"/>
            <w:right w:w="0" w:type="dxa"/>
          </w:tblCellMar>
        </w:tblPrEx>
        <w:trPr>
          <w:trHeight w:val="567" w:hRule="atLeast"/>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产出指标</w:t>
            </w:r>
          </w:p>
        </w:tc>
        <w:tc>
          <w:tcPr>
            <w:tcW w:w="1233"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数量指标</w:t>
            </w: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政务云服务租用云主机数量</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399台</w:t>
            </w:r>
          </w:p>
        </w:tc>
      </w:tr>
      <w:tr>
        <w:tblPrEx>
          <w:tblCellMar>
            <w:top w:w="0" w:type="dxa"/>
            <w:left w:w="0" w:type="dxa"/>
            <w:bottom w:w="0" w:type="dxa"/>
            <w:right w:w="0" w:type="dxa"/>
          </w:tblCellMar>
        </w:tblPrEx>
        <w:trPr>
          <w:trHeight w:val="567"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集约化平台组件数量</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14个</w:t>
            </w:r>
          </w:p>
        </w:tc>
      </w:tr>
      <w:tr>
        <w:tblPrEx>
          <w:tblCellMar>
            <w:top w:w="0" w:type="dxa"/>
            <w:left w:w="0" w:type="dxa"/>
            <w:bottom w:w="0" w:type="dxa"/>
            <w:right w:w="0" w:type="dxa"/>
          </w:tblCellMar>
        </w:tblPrEx>
        <w:trPr>
          <w:trHeight w:val="567"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具备建设运营支撑能力的站点数量</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61个</w:t>
            </w:r>
          </w:p>
        </w:tc>
      </w:tr>
      <w:tr>
        <w:tblPrEx>
          <w:tblCellMar>
            <w:top w:w="0" w:type="dxa"/>
            <w:left w:w="0" w:type="dxa"/>
            <w:bottom w:w="0" w:type="dxa"/>
            <w:right w:w="0" w:type="dxa"/>
          </w:tblCellMar>
        </w:tblPrEx>
        <w:trPr>
          <w:trHeight w:val="567"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质量指标</w:t>
            </w: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服务全年整体可用性</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≥99.9%</w:t>
            </w:r>
          </w:p>
        </w:tc>
      </w:tr>
      <w:tr>
        <w:tblPrEx>
          <w:tblCellMar>
            <w:top w:w="0" w:type="dxa"/>
            <w:left w:w="0" w:type="dxa"/>
            <w:bottom w:w="0" w:type="dxa"/>
            <w:right w:w="0" w:type="dxa"/>
          </w:tblCellMar>
        </w:tblPrEx>
        <w:trPr>
          <w:trHeight w:val="567"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系统应急响应时间</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≤5分钟</w:t>
            </w:r>
          </w:p>
        </w:tc>
      </w:tr>
      <w:tr>
        <w:tblPrEx>
          <w:tblCellMar>
            <w:top w:w="0" w:type="dxa"/>
            <w:left w:w="0" w:type="dxa"/>
            <w:bottom w:w="0" w:type="dxa"/>
            <w:right w:w="0" w:type="dxa"/>
          </w:tblCellMar>
        </w:tblPrEx>
        <w:trPr>
          <w:trHeight w:val="567"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系统故障修复响应时间</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≤4小时</w:t>
            </w:r>
          </w:p>
        </w:tc>
      </w:tr>
      <w:tr>
        <w:tblPrEx>
          <w:tblCellMar>
            <w:top w:w="0" w:type="dxa"/>
            <w:left w:w="0" w:type="dxa"/>
            <w:bottom w:w="0" w:type="dxa"/>
            <w:right w:w="0" w:type="dxa"/>
          </w:tblCellMar>
        </w:tblPrEx>
        <w:trPr>
          <w:trHeight w:val="567"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测评质量</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通过等保三级测评</w:t>
            </w:r>
          </w:p>
        </w:tc>
      </w:tr>
      <w:tr>
        <w:tblPrEx>
          <w:tblCellMar>
            <w:top w:w="0" w:type="dxa"/>
            <w:left w:w="0" w:type="dxa"/>
            <w:bottom w:w="0" w:type="dxa"/>
            <w:right w:w="0" w:type="dxa"/>
          </w:tblCellMar>
        </w:tblPrEx>
        <w:trPr>
          <w:trHeight w:val="567"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运维保障团队提供运维保障时间</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7*24小时</w:t>
            </w:r>
          </w:p>
        </w:tc>
      </w:tr>
      <w:tr>
        <w:tblPrEx>
          <w:tblCellMar>
            <w:top w:w="0" w:type="dxa"/>
            <w:left w:w="0" w:type="dxa"/>
            <w:bottom w:w="0" w:type="dxa"/>
            <w:right w:w="0" w:type="dxa"/>
          </w:tblCellMar>
        </w:tblPrEx>
        <w:trPr>
          <w:trHeight w:val="1163"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时效指标</w:t>
            </w: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工作进度</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招标时间：5月底前；采购到位时间：6月底前</w:t>
            </w:r>
          </w:p>
        </w:tc>
      </w:tr>
      <w:tr>
        <w:tblPrEx>
          <w:tblCellMar>
            <w:top w:w="0" w:type="dxa"/>
            <w:left w:w="0" w:type="dxa"/>
            <w:bottom w:w="0" w:type="dxa"/>
            <w:right w:w="0" w:type="dxa"/>
          </w:tblCellMar>
        </w:tblPrEx>
        <w:trPr>
          <w:trHeight w:val="1103"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支出进度</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6月底前支付50%，2021年12月31日前支付100%</w:t>
            </w:r>
          </w:p>
        </w:tc>
      </w:tr>
      <w:tr>
        <w:tblPrEx>
          <w:tblCellMar>
            <w:top w:w="0" w:type="dxa"/>
            <w:left w:w="0" w:type="dxa"/>
            <w:bottom w:w="0" w:type="dxa"/>
            <w:right w:w="0" w:type="dxa"/>
          </w:tblCellMar>
        </w:tblPrEx>
        <w:trPr>
          <w:trHeight w:val="567"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成本指标</w:t>
            </w: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项目总成本控制数</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3056.89万元</w:t>
            </w:r>
          </w:p>
        </w:tc>
      </w:tr>
      <w:tr>
        <w:tblPrEx>
          <w:tblCellMar>
            <w:top w:w="0" w:type="dxa"/>
            <w:left w:w="0" w:type="dxa"/>
            <w:bottom w:w="0" w:type="dxa"/>
            <w:right w:w="0" w:type="dxa"/>
          </w:tblCellMar>
        </w:tblPrEx>
        <w:trPr>
          <w:trHeight w:val="567"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人员平均成本</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1.48万元/月</w:t>
            </w:r>
          </w:p>
        </w:tc>
      </w:tr>
      <w:tr>
        <w:tblPrEx>
          <w:tblCellMar>
            <w:top w:w="0" w:type="dxa"/>
            <w:left w:w="0" w:type="dxa"/>
            <w:bottom w:w="0" w:type="dxa"/>
            <w:right w:w="0" w:type="dxa"/>
          </w:tblCellMar>
        </w:tblPrEx>
        <w:trPr>
          <w:trHeight w:val="1043" w:hRule="atLeast"/>
        </w:trPr>
        <w:tc>
          <w:tcPr>
            <w:tcW w:w="1080" w:type="dxa"/>
            <w:vMerge w:val="restart"/>
            <w:tcBorders>
              <w:top w:val="single" w:color="000000" w:sz="4" w:space="0"/>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效益指标</w:t>
            </w:r>
          </w:p>
        </w:tc>
        <w:tc>
          <w:tcPr>
            <w:tcW w:w="123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经济效益</w:t>
            </w:r>
            <w:r>
              <w:rPr>
                <w:rFonts w:ascii="Times New Roman" w:hAnsi="Times New Roman" w:eastAsia="宋体" w:cs="Times New Roman"/>
                <w:color w:val="000000"/>
                <w:kern w:val="0"/>
                <w:lang w:bidi="ar"/>
              </w:rPr>
              <w:br w:type="textWrapping"/>
            </w:r>
            <w:r>
              <w:rPr>
                <w:rFonts w:ascii="Times New Roman" w:hAnsi="Times New Roman" w:eastAsia="宋体" w:cs="Times New Roman"/>
                <w:color w:val="000000"/>
                <w:kern w:val="0"/>
                <w:lang w:bidi="ar"/>
              </w:rPr>
              <w:t>指标</w:t>
            </w: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全市政府网站技术服务集约化保障，各部门不再单独申请网站相关技术运维费用</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lang w:bidi="ar"/>
              </w:rPr>
              <w:t>达到预期目标</w:t>
            </w:r>
          </w:p>
        </w:tc>
      </w:tr>
      <w:tr>
        <w:tblPrEx>
          <w:tblCellMar>
            <w:top w:w="0" w:type="dxa"/>
            <w:left w:w="0" w:type="dxa"/>
            <w:bottom w:w="0" w:type="dxa"/>
            <w:right w:w="0" w:type="dxa"/>
          </w:tblCellMar>
        </w:tblPrEx>
        <w:trPr>
          <w:trHeight w:val="567" w:hRule="atLeast"/>
        </w:trPr>
        <w:tc>
          <w:tcPr>
            <w:tcW w:w="1080" w:type="dxa"/>
            <w:vMerge w:val="continue"/>
            <w:tcBorders>
              <w:top w:val="single" w:color="000000" w:sz="4" w:space="0"/>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color w:val="000000"/>
              </w:rPr>
            </w:pPr>
            <w:r>
              <w:rPr>
                <w:rFonts w:ascii="Times New Roman" w:hAnsi="Times New Roman" w:eastAsia="宋体" w:cs="Times New Roman"/>
                <w:color w:val="000000"/>
                <w:kern w:val="0"/>
                <w:lang w:bidi="ar"/>
              </w:rPr>
              <w:t>社会效益</w:t>
            </w:r>
            <w:r>
              <w:rPr>
                <w:rFonts w:ascii="Times New Roman" w:hAnsi="Times New Roman" w:eastAsia="宋体" w:cs="Times New Roman"/>
                <w:color w:val="000000"/>
                <w:kern w:val="0"/>
                <w:lang w:bidi="ar"/>
              </w:rPr>
              <w:br w:type="textWrapping"/>
            </w:r>
            <w:r>
              <w:rPr>
                <w:rFonts w:ascii="Times New Roman" w:hAnsi="Times New Roman" w:eastAsia="宋体" w:cs="Times New Roman"/>
                <w:color w:val="000000"/>
                <w:kern w:val="0"/>
                <w:lang w:bidi="ar"/>
              </w:rPr>
              <w:t>指标</w:t>
            </w: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政府网站信息公开共享得到提升，数据共享率</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≥99%</w:t>
            </w:r>
          </w:p>
        </w:tc>
      </w:tr>
      <w:tr>
        <w:tblPrEx>
          <w:tblCellMar>
            <w:top w:w="0" w:type="dxa"/>
            <w:left w:w="0" w:type="dxa"/>
            <w:bottom w:w="0" w:type="dxa"/>
            <w:right w:w="0" w:type="dxa"/>
          </w:tblCellMar>
        </w:tblPrEx>
        <w:trPr>
          <w:trHeight w:val="567" w:hRule="atLeast"/>
        </w:trPr>
        <w:tc>
          <w:tcPr>
            <w:tcW w:w="1080" w:type="dxa"/>
            <w:vMerge w:val="continue"/>
            <w:tcBorders>
              <w:top w:val="single" w:color="000000" w:sz="4" w:space="0"/>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全年重大信息安全事故率</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0%</w:t>
            </w:r>
          </w:p>
        </w:tc>
      </w:tr>
      <w:tr>
        <w:tblPrEx>
          <w:tblCellMar>
            <w:top w:w="0" w:type="dxa"/>
            <w:left w:w="0" w:type="dxa"/>
            <w:bottom w:w="0" w:type="dxa"/>
            <w:right w:w="0" w:type="dxa"/>
          </w:tblCellMar>
        </w:tblPrEx>
        <w:trPr>
          <w:trHeight w:val="567" w:hRule="atLeast"/>
        </w:trPr>
        <w:tc>
          <w:tcPr>
            <w:tcW w:w="1080" w:type="dxa"/>
            <w:vMerge w:val="continue"/>
            <w:tcBorders>
              <w:top w:val="single" w:color="000000" w:sz="4" w:space="0"/>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“一网通查”、“一网通答”服务全市各政府部门网站覆盖率</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rPr>
            </w:pPr>
            <w:r>
              <w:rPr>
                <w:rFonts w:ascii="Times New Roman" w:hAnsi="Times New Roman" w:eastAsia="宋体" w:cs="Times New Roman"/>
                <w:color w:val="000000"/>
                <w:kern w:val="0"/>
                <w:lang w:bidi="ar"/>
              </w:rPr>
              <w:t>100%</w:t>
            </w:r>
          </w:p>
        </w:tc>
      </w:tr>
      <w:tr>
        <w:tblPrEx>
          <w:tblCellMar>
            <w:top w:w="0" w:type="dxa"/>
            <w:left w:w="0" w:type="dxa"/>
            <w:bottom w:w="0" w:type="dxa"/>
            <w:right w:w="0" w:type="dxa"/>
          </w:tblCellMar>
        </w:tblPrEx>
        <w:trPr>
          <w:trHeight w:val="567" w:hRule="atLeast"/>
        </w:trPr>
        <w:tc>
          <w:tcPr>
            <w:tcW w:w="1080" w:type="dxa"/>
            <w:vMerge w:val="continue"/>
            <w:tcBorders>
              <w:top w:val="single" w:color="000000" w:sz="4" w:space="0"/>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rPr>
            </w:pPr>
          </w:p>
        </w:tc>
        <w:tc>
          <w:tcPr>
            <w:tcW w:w="123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可持续影响指标</w:t>
            </w: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以服务形式交付，确保长期持续正常使用</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lang w:bidi="ar"/>
              </w:rPr>
              <w:t>达到预期目标</w:t>
            </w:r>
          </w:p>
        </w:tc>
      </w:tr>
      <w:tr>
        <w:tblPrEx>
          <w:tblCellMar>
            <w:top w:w="0" w:type="dxa"/>
            <w:left w:w="0" w:type="dxa"/>
            <w:bottom w:w="0" w:type="dxa"/>
            <w:right w:w="0" w:type="dxa"/>
          </w:tblCellMar>
        </w:tblPrEx>
        <w:trPr>
          <w:trHeight w:val="567" w:hRule="atLeast"/>
        </w:trPr>
        <w:tc>
          <w:tcPr>
            <w:tcW w:w="1080" w:type="dxa"/>
            <w:tcBorders>
              <w:top w:val="single" w:color="auto"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color w:val="000000"/>
              </w:rPr>
            </w:pPr>
            <w:r>
              <w:rPr>
                <w:rFonts w:ascii="Times New Roman" w:hAnsi="Times New Roman" w:eastAsia="宋体" w:cs="Times New Roman"/>
                <w:color w:val="000000"/>
                <w:lang w:bidi="ar"/>
              </w:rPr>
              <w:t>满意度指标</w:t>
            </w:r>
          </w:p>
        </w:tc>
        <w:tc>
          <w:tcPr>
            <w:tcW w:w="123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服务对象满意度指标</w:t>
            </w:r>
          </w:p>
        </w:tc>
        <w:tc>
          <w:tcPr>
            <w:tcW w:w="442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使用单位的满意度</w:t>
            </w:r>
          </w:p>
        </w:tc>
        <w:tc>
          <w:tcPr>
            <w:tcW w:w="21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textAlignment w:val="center"/>
              <w:rPr>
                <w:rFonts w:ascii="Times New Roman" w:hAnsi="Times New Roman" w:eastAsia="宋体" w:cs="Times New Roman"/>
                <w:color w:val="000000"/>
                <w:kern w:val="0"/>
                <w:lang w:bidi="ar"/>
              </w:rPr>
            </w:pPr>
            <w:r>
              <w:rPr>
                <w:rFonts w:ascii="Times New Roman" w:hAnsi="Times New Roman" w:eastAsia="宋体" w:cs="Times New Roman"/>
                <w:color w:val="000000"/>
                <w:kern w:val="0"/>
                <w:lang w:bidi="ar"/>
              </w:rPr>
              <w:t>≥90%</w:t>
            </w:r>
          </w:p>
        </w:tc>
      </w:tr>
    </w:tbl>
    <w:p>
      <w:pPr>
        <w:pStyle w:val="2"/>
        <w:widowControl w:val="0"/>
        <w:spacing w:line="560" w:lineRule="exact"/>
        <w:ind w:firstLine="640" w:firstLineChars="200"/>
        <w:rPr>
          <w:rFonts w:ascii="Times New Roman" w:hAnsi="Times New Roman"/>
        </w:rPr>
      </w:pPr>
    </w:p>
    <w:p>
      <w:pPr>
        <w:pStyle w:val="2"/>
        <w:widowControl w:val="0"/>
        <w:spacing w:line="560" w:lineRule="exact"/>
        <w:ind w:firstLine="640" w:firstLineChars="200"/>
        <w:outlineLvl w:val="0"/>
        <w:rPr>
          <w:rFonts w:ascii="Times New Roman" w:hAnsi="Times New Roman" w:eastAsia="黑体"/>
        </w:rPr>
      </w:pPr>
      <w:bookmarkStart w:id="14" w:name="_Toc2389"/>
      <w:r>
        <w:rPr>
          <w:rFonts w:ascii="Times New Roman" w:hAnsi="Times New Roman" w:eastAsia="黑体"/>
        </w:rPr>
        <w:t>二、绩效评价工作开展情况</w:t>
      </w:r>
      <w:bookmarkEnd w:id="14"/>
    </w:p>
    <w:p>
      <w:pPr>
        <w:pStyle w:val="4"/>
        <w:keepNext w:val="0"/>
        <w:keepLines w:val="0"/>
        <w:widowControl w:val="0"/>
        <w:spacing w:line="560" w:lineRule="exact"/>
        <w:ind w:firstLine="640"/>
        <w:rPr>
          <w:rFonts w:ascii="Times New Roman" w:hAnsi="Times New Roman"/>
        </w:rPr>
      </w:pPr>
      <w:bookmarkStart w:id="15" w:name="_Toc25350"/>
      <w:bookmarkStart w:id="16" w:name="_Toc6475"/>
      <w:bookmarkStart w:id="17" w:name="_Toc22616"/>
      <w:bookmarkStart w:id="18" w:name="_Toc36129069"/>
      <w:bookmarkStart w:id="19" w:name="_Toc1778"/>
      <w:bookmarkStart w:id="20" w:name="_Toc35420692"/>
      <w:bookmarkStart w:id="21" w:name="_Toc11373"/>
      <w:bookmarkStart w:id="22" w:name="_Toc26055"/>
      <w:bookmarkStart w:id="23" w:name="_Toc20197"/>
      <w:bookmarkStart w:id="24" w:name="_Toc29701"/>
      <w:bookmarkStart w:id="25" w:name="_Toc24793"/>
      <w:bookmarkStart w:id="26" w:name="_Toc12165"/>
      <w:bookmarkStart w:id="27" w:name="_Toc32029"/>
      <w:bookmarkStart w:id="28" w:name="_Toc30825"/>
      <w:bookmarkStart w:id="29" w:name="_Toc2394"/>
      <w:bookmarkStart w:id="30" w:name="_Toc17008"/>
      <w:r>
        <w:rPr>
          <w:rFonts w:ascii="Times New Roman" w:hAnsi="Times New Roman"/>
        </w:rPr>
        <w:t>（一）</w:t>
      </w:r>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r>
        <w:rPr>
          <w:rFonts w:ascii="Times New Roman" w:hAnsi="Times New Roman"/>
        </w:rPr>
        <w:t>绩效评价目的、对象和范围</w:t>
      </w:r>
      <w:bookmarkEnd w:id="30"/>
    </w:p>
    <w:p>
      <w:pPr>
        <w:spacing w:line="560" w:lineRule="exact"/>
        <w:ind w:firstLine="643" w:firstLineChars="200"/>
        <w:rPr>
          <w:rFonts w:ascii="Times New Roman" w:hAnsi="Times New Roman" w:eastAsia="仿宋" w:cs="Times New Roman"/>
          <w:b/>
          <w:bCs/>
          <w:sz w:val="32"/>
          <w:szCs w:val="22"/>
        </w:rPr>
      </w:pPr>
      <w:bookmarkStart w:id="31" w:name="_Toc15069"/>
      <w:bookmarkStart w:id="32" w:name="_Toc7325"/>
      <w:bookmarkStart w:id="33" w:name="_Toc32344"/>
      <w:bookmarkStart w:id="34" w:name="_Toc5080"/>
      <w:bookmarkStart w:id="35" w:name="_Toc9371"/>
      <w:bookmarkStart w:id="36" w:name="_Toc225"/>
      <w:bookmarkStart w:id="37" w:name="_Toc36129070"/>
      <w:bookmarkStart w:id="38" w:name="_Toc11366"/>
      <w:bookmarkStart w:id="39" w:name="_Toc12101"/>
      <w:bookmarkStart w:id="40" w:name="_Toc6355"/>
      <w:bookmarkStart w:id="41" w:name="_Toc19316"/>
      <w:bookmarkStart w:id="42" w:name="_Toc6404"/>
      <w:bookmarkStart w:id="43" w:name="_Toc17591"/>
      <w:bookmarkStart w:id="44" w:name="_Toc35420693"/>
      <w:r>
        <w:rPr>
          <w:rFonts w:ascii="Times New Roman" w:hAnsi="Times New Roman" w:eastAsia="仿宋" w:cs="Times New Roman"/>
          <w:b/>
          <w:bCs/>
          <w:sz w:val="32"/>
          <w:szCs w:val="22"/>
        </w:rPr>
        <w:t>1.评价目的</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通过本次绩效评价，分析项目的经济性、效率性、效益性和公平性，发现项目在决策过程、资金投入管理和使用过程、相关管理制度办法的健全及执行过程、实现的产出及取得的效益等方面存在的问题，为主管部门改进工作提供决策建议和依据，促进项目实施单位树立以结果为导向的绩效管理理念，提高科学决策水平，规范项目管理，保证项目资金使用的规范性、安全性。</w:t>
      </w:r>
    </w:p>
    <w:p>
      <w:pPr>
        <w:spacing w:line="560" w:lineRule="exact"/>
        <w:ind w:firstLine="643" w:firstLineChars="200"/>
        <w:rPr>
          <w:rFonts w:ascii="Times New Roman" w:hAnsi="Times New Roman" w:eastAsia="仿宋" w:cs="Times New Roman"/>
          <w:b/>
          <w:bCs/>
          <w:sz w:val="32"/>
          <w:szCs w:val="22"/>
        </w:rPr>
      </w:pPr>
      <w:r>
        <w:rPr>
          <w:rFonts w:ascii="Times New Roman" w:hAnsi="Times New Roman" w:eastAsia="仿宋" w:cs="Times New Roman"/>
          <w:b/>
          <w:bCs/>
          <w:sz w:val="32"/>
          <w:szCs w:val="22"/>
        </w:rPr>
        <w:t>2.评价对象及范围</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根据</w:t>
      </w:r>
      <w:r>
        <w:rPr>
          <w:rFonts w:hint="eastAsia" w:ascii="Times New Roman" w:hAnsi="Times New Roman" w:eastAsia="仿宋" w:cs="Times New Roman"/>
          <w:sz w:val="32"/>
          <w:szCs w:val="22"/>
        </w:rPr>
        <w:t>市经济和信息化局</w:t>
      </w:r>
      <w:r>
        <w:rPr>
          <w:rFonts w:ascii="Times New Roman" w:hAnsi="Times New Roman" w:eastAsia="仿宋" w:cs="Times New Roman"/>
          <w:sz w:val="32"/>
          <w:szCs w:val="22"/>
        </w:rPr>
        <w:t>202</w:t>
      </w:r>
      <w:r>
        <w:rPr>
          <w:rFonts w:hint="eastAsia" w:ascii="Times New Roman" w:hAnsi="Times New Roman" w:eastAsia="仿宋" w:cs="Times New Roman"/>
          <w:sz w:val="32"/>
          <w:szCs w:val="22"/>
        </w:rPr>
        <w:t>1</w:t>
      </w:r>
      <w:r>
        <w:rPr>
          <w:rFonts w:ascii="Times New Roman" w:hAnsi="Times New Roman" w:eastAsia="仿宋" w:cs="Times New Roman"/>
          <w:sz w:val="32"/>
          <w:szCs w:val="22"/>
        </w:rPr>
        <w:t>年度项目支出绩效评价工作安排，本次绩效评价工作为针对</w:t>
      </w:r>
      <w:r>
        <w:rPr>
          <w:rFonts w:hint="eastAsia" w:ascii="Times New Roman" w:hAnsi="Times New Roman" w:eastAsia="仿宋" w:cs="Times New Roman"/>
          <w:sz w:val="32"/>
          <w:szCs w:val="22"/>
        </w:rPr>
        <w:t>“</w:t>
      </w:r>
      <w:r>
        <w:rPr>
          <w:rFonts w:ascii="Times New Roman" w:hAnsi="Times New Roman" w:eastAsia="仿宋" w:cs="Times New Roman"/>
          <w:sz w:val="32"/>
          <w:szCs w:val="22"/>
        </w:rPr>
        <w:t>北京市政府网站集约化平台服务及运维</w:t>
      </w:r>
      <w:r>
        <w:rPr>
          <w:rFonts w:hint="eastAsia" w:ascii="Times New Roman" w:hAnsi="Times New Roman" w:eastAsia="仿宋" w:cs="Times New Roman"/>
          <w:sz w:val="32"/>
          <w:szCs w:val="22"/>
        </w:rPr>
        <w:t>”</w:t>
      </w:r>
      <w:r>
        <w:rPr>
          <w:rFonts w:ascii="Times New Roman" w:hAnsi="Times New Roman" w:eastAsia="仿宋" w:cs="Times New Roman"/>
          <w:sz w:val="32"/>
          <w:szCs w:val="22"/>
        </w:rPr>
        <w:t>项目开展的普通程序绩效评价工作。</w:t>
      </w:r>
    </w:p>
    <w:p>
      <w:pPr>
        <w:spacing w:line="560" w:lineRule="exact"/>
        <w:ind w:firstLine="643" w:firstLineChars="200"/>
        <w:rPr>
          <w:rFonts w:ascii="Times New Roman" w:hAnsi="Times New Roman" w:eastAsia="仿宋" w:cs="Times New Roman"/>
          <w:b/>
          <w:bCs/>
          <w:sz w:val="32"/>
          <w:szCs w:val="22"/>
        </w:rPr>
      </w:pPr>
      <w:r>
        <w:rPr>
          <w:rFonts w:ascii="Times New Roman" w:hAnsi="Times New Roman" w:eastAsia="仿宋" w:cs="Times New Roman"/>
          <w:b/>
          <w:bCs/>
          <w:sz w:val="32"/>
          <w:szCs w:val="22"/>
        </w:rPr>
        <w:t>3.评价依据</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（1）《中共北京市委 北京市人民政府关于全面实施预算绩效管理的实施意见》（京发〔2019〕12号）；</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（2）《北京市项目支出绩效评价管理办法》（京财绩效〔2020〕2146号）；</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w:t>
      </w:r>
      <w:r>
        <w:rPr>
          <w:rFonts w:hint="eastAsia" w:ascii="Times New Roman" w:hAnsi="Times New Roman" w:eastAsia="仿宋" w:cs="Times New Roman"/>
          <w:sz w:val="32"/>
          <w:szCs w:val="22"/>
        </w:rPr>
        <w:t>3</w:t>
      </w:r>
      <w:r>
        <w:rPr>
          <w:rFonts w:ascii="Times New Roman" w:hAnsi="Times New Roman" w:eastAsia="仿宋" w:cs="Times New Roman"/>
          <w:sz w:val="32"/>
          <w:szCs w:val="22"/>
        </w:rPr>
        <w:t>）相关行业政策、行业标准及专业技术规范；</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w:t>
      </w:r>
      <w:r>
        <w:rPr>
          <w:rFonts w:hint="eastAsia" w:ascii="Times New Roman" w:hAnsi="Times New Roman" w:eastAsia="仿宋" w:cs="Times New Roman"/>
          <w:sz w:val="32"/>
          <w:szCs w:val="22"/>
        </w:rPr>
        <w:t>4</w:t>
      </w:r>
      <w:r>
        <w:rPr>
          <w:rFonts w:ascii="Times New Roman" w:hAnsi="Times New Roman" w:eastAsia="仿宋" w:cs="Times New Roman"/>
          <w:sz w:val="32"/>
          <w:szCs w:val="22"/>
        </w:rPr>
        <w:t>）</w:t>
      </w:r>
      <w:r>
        <w:rPr>
          <w:rFonts w:hint="eastAsia" w:ascii="Times New Roman" w:hAnsi="Times New Roman" w:eastAsia="仿宋" w:cs="Times New Roman"/>
          <w:sz w:val="32"/>
          <w:szCs w:val="22"/>
        </w:rPr>
        <w:t>首都之窗</w:t>
      </w:r>
      <w:r>
        <w:rPr>
          <w:rFonts w:ascii="Times New Roman" w:hAnsi="Times New Roman" w:eastAsia="仿宋" w:cs="Times New Roman"/>
          <w:sz w:val="32"/>
          <w:szCs w:val="22"/>
        </w:rPr>
        <w:t>提供的绩效目标申报表、绩效报告以及其他相关资料。</w:t>
      </w:r>
    </w:p>
    <w:p>
      <w:pPr>
        <w:pStyle w:val="4"/>
        <w:keepNext w:val="0"/>
        <w:keepLines w:val="0"/>
        <w:widowControl w:val="0"/>
        <w:spacing w:line="560" w:lineRule="exact"/>
        <w:ind w:firstLine="640"/>
        <w:rPr>
          <w:rFonts w:ascii="Times New Roman" w:hAnsi="Times New Roman"/>
        </w:rPr>
      </w:pPr>
      <w:bookmarkStart w:id="45" w:name="_Toc21426"/>
      <w:bookmarkStart w:id="46" w:name="_Toc28406"/>
      <w:r>
        <w:rPr>
          <w:rFonts w:ascii="Times New Roman" w:hAnsi="Times New Roman"/>
        </w:rPr>
        <w:t>（二）</w:t>
      </w:r>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r>
        <w:rPr>
          <w:rFonts w:ascii="Times New Roman" w:hAnsi="Times New Roman"/>
        </w:rPr>
        <w:t>绩效评价原则、评价指标体系</w:t>
      </w:r>
      <w:bookmarkEnd w:id="46"/>
    </w:p>
    <w:p>
      <w:pPr>
        <w:spacing w:line="560" w:lineRule="exact"/>
        <w:ind w:firstLine="643" w:firstLineChars="200"/>
        <w:rPr>
          <w:rFonts w:ascii="Times New Roman" w:hAnsi="Times New Roman" w:eastAsia="仿宋" w:cs="Times New Roman"/>
          <w:b/>
          <w:bCs/>
          <w:sz w:val="32"/>
          <w:szCs w:val="22"/>
        </w:rPr>
      </w:pPr>
      <w:bookmarkStart w:id="47" w:name="_Toc26807"/>
      <w:bookmarkStart w:id="48" w:name="_Toc21010"/>
      <w:bookmarkStart w:id="49" w:name="_Toc6126"/>
      <w:r>
        <w:rPr>
          <w:rFonts w:ascii="Times New Roman" w:hAnsi="Times New Roman" w:eastAsia="仿宋" w:cs="Times New Roman"/>
          <w:b/>
          <w:bCs/>
          <w:sz w:val="32"/>
          <w:szCs w:val="22"/>
        </w:rPr>
        <w:t>1.绩效评价原则</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（1）绩效导向原则。以绩效导向和成本控制理念为出发点，以决策、过程、产出和效益为评价重点，注重投入产出比，对整个项目进行综合评价。</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（2）科学规范原则。通过规范的程序，采用定性与定量相结合的方法，通过多种途径和手段充分收集证据资料，保证评价结论科学可信。</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（3）客观公正原则。秉承公开、公平、公正原则，实事求是、公平合理地进行评价，利益相关方不得影响评价过程及评价结果。</w:t>
      </w:r>
    </w:p>
    <w:p>
      <w:pPr>
        <w:spacing w:line="560" w:lineRule="exact"/>
        <w:ind w:firstLine="643" w:firstLineChars="200"/>
        <w:outlineLvl w:val="2"/>
        <w:rPr>
          <w:rFonts w:ascii="Times New Roman" w:hAnsi="Times New Roman" w:eastAsia="仿宋" w:cs="Times New Roman"/>
          <w:b/>
          <w:sz w:val="32"/>
          <w:szCs w:val="20"/>
        </w:rPr>
      </w:pPr>
      <w:bookmarkStart w:id="50" w:name="_Toc7600"/>
      <w:bookmarkStart w:id="51" w:name="_Toc16847"/>
      <w:r>
        <w:rPr>
          <w:rFonts w:ascii="Times New Roman" w:hAnsi="Times New Roman" w:eastAsia="仿宋" w:cs="Times New Roman"/>
          <w:b/>
          <w:sz w:val="32"/>
          <w:szCs w:val="20"/>
        </w:rPr>
        <w:t>2.评价指标体系</w:t>
      </w:r>
      <w:bookmarkEnd w:id="47"/>
      <w:bookmarkEnd w:id="48"/>
      <w:bookmarkEnd w:id="49"/>
      <w:bookmarkEnd w:id="50"/>
      <w:bookmarkEnd w:id="51"/>
    </w:p>
    <w:p>
      <w:pPr>
        <w:spacing w:line="560" w:lineRule="exact"/>
        <w:ind w:firstLine="640" w:firstLineChars="200"/>
        <w:rPr>
          <w:rFonts w:hint="eastAsia" w:ascii="Times New Roman" w:hAnsi="Times New Roman" w:eastAsia="仿宋" w:cs="Times New Roman"/>
          <w:sz w:val="32"/>
          <w:szCs w:val="22"/>
        </w:rPr>
      </w:pPr>
      <w:r>
        <w:rPr>
          <w:rFonts w:hint="eastAsia" w:ascii="Times New Roman" w:hAnsi="Times New Roman" w:eastAsia="仿宋" w:cs="Times New Roman"/>
          <w:sz w:val="32"/>
          <w:szCs w:val="22"/>
        </w:rPr>
        <w:t>本次评价指标体系根据《北京市项目支出绩效评价管理办法》（京财绩效〔2020〕2146号）有关要求设置，围绕决策、过程、产出、效益四个维度分解制定项目绩效评价指标体系，并根据指标的重要性与相关性确定权重，详见下表</w:t>
      </w:r>
      <w:r>
        <w:rPr>
          <w:rFonts w:hint="eastAsia" w:ascii="Times New Roman" w:hAnsi="Times New Roman" w:eastAsia="仿宋" w:cs="Times New Roman"/>
          <w:sz w:val="32"/>
          <w:szCs w:val="22"/>
          <w:lang w:val="en-US" w:eastAsia="zh-CN"/>
        </w:rPr>
        <w:t>3</w:t>
      </w:r>
      <w:r>
        <w:rPr>
          <w:rFonts w:hint="eastAsia" w:ascii="Times New Roman" w:hAnsi="Times New Roman" w:eastAsia="仿宋" w:cs="Times New Roman"/>
          <w:sz w:val="32"/>
          <w:szCs w:val="22"/>
        </w:rPr>
        <w:t>。</w:t>
      </w:r>
    </w:p>
    <w:p>
      <w:pPr>
        <w:adjustRightInd w:val="0"/>
        <w:snapToGrid w:val="0"/>
        <w:spacing w:after="163" w:afterLines="50" w:line="560" w:lineRule="exact"/>
        <w:jc w:val="center"/>
        <w:rPr>
          <w:rFonts w:hint="eastAsia" w:ascii="黑体" w:hAnsi="黑体" w:eastAsia="黑体" w:cs="黑体"/>
          <w:color w:val="000000"/>
          <w:kern w:val="0"/>
          <w:sz w:val="28"/>
          <w:szCs w:val="28"/>
        </w:rPr>
      </w:pPr>
      <w:r>
        <w:rPr>
          <w:rFonts w:hint="eastAsia" w:ascii="黑体" w:hAnsi="黑体" w:eastAsia="黑体" w:cs="黑体"/>
          <w:color w:val="000000"/>
          <w:kern w:val="0"/>
          <w:sz w:val="28"/>
          <w:szCs w:val="28"/>
        </w:rPr>
        <w:t xml:space="preserve">表3 </w:t>
      </w:r>
      <w:r>
        <w:rPr>
          <w:rFonts w:hint="eastAsia" w:ascii="黑体" w:hAnsi="黑体" w:eastAsia="黑体" w:cs="黑体"/>
          <w:color w:val="000000"/>
          <w:kern w:val="0"/>
          <w:sz w:val="28"/>
          <w:szCs w:val="28"/>
          <w:lang w:eastAsia="zh-CN"/>
        </w:rPr>
        <w:t>项目</w:t>
      </w:r>
      <w:r>
        <w:rPr>
          <w:rFonts w:hint="eastAsia" w:ascii="黑体" w:hAnsi="黑体" w:eastAsia="黑体" w:cs="黑体"/>
          <w:color w:val="000000"/>
          <w:kern w:val="0"/>
          <w:sz w:val="28"/>
          <w:szCs w:val="28"/>
        </w:rPr>
        <w:t>绩效评价指标体系</w:t>
      </w:r>
    </w:p>
    <w:tbl>
      <w:tblPr>
        <w:tblStyle w:val="17"/>
        <w:tblW w:w="846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21"/>
        <w:gridCol w:w="2816"/>
        <w:gridCol w:w="34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blHeader/>
        </w:trPr>
        <w:tc>
          <w:tcPr>
            <w:tcW w:w="2221" w:type="dxa"/>
            <w:shd w:val="clear" w:color="auto" w:fill="D7D7D7" w:themeFill="background1" w:themeFillShade="D8"/>
            <w:vAlign w:val="center"/>
          </w:tcPr>
          <w:p>
            <w:pPr>
              <w:widowControl/>
              <w:jc w:val="center"/>
              <w:rPr>
                <w:rFonts w:ascii="宋体" w:hAnsi="宋体" w:cs="宋体"/>
                <w:b/>
                <w:bCs/>
                <w:color w:val="000000"/>
                <w:kern w:val="0"/>
                <w:szCs w:val="21"/>
              </w:rPr>
            </w:pPr>
            <w:r>
              <w:rPr>
                <w:rFonts w:hint="eastAsia" w:ascii="宋体" w:hAnsi="宋体" w:cs="宋体"/>
                <w:b/>
                <w:bCs/>
                <w:color w:val="000000"/>
                <w:kern w:val="0"/>
                <w:szCs w:val="21"/>
              </w:rPr>
              <w:t>一级指标</w:t>
            </w:r>
          </w:p>
        </w:tc>
        <w:tc>
          <w:tcPr>
            <w:tcW w:w="2816" w:type="dxa"/>
            <w:shd w:val="clear" w:color="auto" w:fill="D7D7D7" w:themeFill="background1" w:themeFillShade="D8"/>
            <w:vAlign w:val="center"/>
          </w:tcPr>
          <w:p>
            <w:pPr>
              <w:widowControl/>
              <w:jc w:val="center"/>
              <w:rPr>
                <w:rFonts w:ascii="宋体" w:hAnsi="宋体" w:cs="宋体"/>
                <w:b/>
                <w:bCs/>
                <w:color w:val="000000"/>
                <w:kern w:val="0"/>
                <w:szCs w:val="21"/>
              </w:rPr>
            </w:pPr>
            <w:r>
              <w:rPr>
                <w:rFonts w:hint="eastAsia" w:ascii="宋体" w:hAnsi="宋体" w:cs="宋体"/>
                <w:b/>
                <w:bCs/>
                <w:color w:val="000000"/>
                <w:kern w:val="0"/>
                <w:szCs w:val="21"/>
              </w:rPr>
              <w:t>二级指标</w:t>
            </w:r>
          </w:p>
        </w:tc>
        <w:tc>
          <w:tcPr>
            <w:tcW w:w="3429" w:type="dxa"/>
            <w:shd w:val="clear" w:color="auto" w:fill="D7D7D7" w:themeFill="background1" w:themeFillShade="D8"/>
            <w:vAlign w:val="center"/>
          </w:tcPr>
          <w:p>
            <w:pPr>
              <w:widowControl/>
              <w:jc w:val="center"/>
              <w:rPr>
                <w:rFonts w:ascii="宋体" w:hAnsi="宋体" w:cs="宋体"/>
                <w:b/>
                <w:bCs/>
                <w:color w:val="000000"/>
                <w:kern w:val="0"/>
                <w:szCs w:val="21"/>
              </w:rPr>
            </w:pPr>
            <w:r>
              <w:rPr>
                <w:rFonts w:hint="eastAsia" w:ascii="宋体" w:hAnsi="宋体" w:cs="宋体"/>
                <w:b/>
                <w:bCs/>
                <w:color w:val="000000"/>
                <w:kern w:val="0"/>
                <w:szCs w:val="21"/>
              </w:rPr>
              <w:t>三级指标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restart"/>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决策</w:t>
            </w:r>
          </w:p>
          <w:p>
            <w:pPr>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w:t>
            </w:r>
            <w:r>
              <w:rPr>
                <w:rFonts w:hint="default" w:ascii="Times New Roman" w:hAnsi="Times New Roman" w:cs="Times New Roman"/>
                <w:color w:val="000000"/>
                <w:kern w:val="0"/>
                <w:szCs w:val="21"/>
                <w:lang w:val="en-US" w:eastAsia="zh-CN"/>
              </w:rPr>
              <w:t>20</w:t>
            </w:r>
            <w:r>
              <w:rPr>
                <w:rFonts w:hint="default" w:ascii="Times New Roman" w:hAnsi="Times New Roman" w:cs="Times New Roman"/>
                <w:color w:val="000000"/>
                <w:kern w:val="0"/>
                <w:szCs w:val="21"/>
              </w:rPr>
              <w:t>分）</w:t>
            </w:r>
          </w:p>
        </w:tc>
        <w:tc>
          <w:tcPr>
            <w:tcW w:w="2816" w:type="dxa"/>
            <w:vMerge w:val="restart"/>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项目立项（7分）</w:t>
            </w: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立项依据充分性（4分）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widowControl/>
              <w:jc w:val="center"/>
              <w:rPr>
                <w:rFonts w:hint="default" w:ascii="Times New Roman" w:hAnsi="Times New Roman" w:cs="Times New Roman"/>
                <w:color w:val="000000"/>
                <w:kern w:val="0"/>
                <w:szCs w:val="21"/>
              </w:rPr>
            </w:pPr>
          </w:p>
        </w:tc>
        <w:tc>
          <w:tcPr>
            <w:tcW w:w="2816" w:type="dxa"/>
            <w:vMerge w:val="continue"/>
            <w:vAlign w:val="center"/>
          </w:tcPr>
          <w:p>
            <w:pPr>
              <w:widowControl/>
              <w:jc w:val="left"/>
              <w:rPr>
                <w:rFonts w:hint="default" w:ascii="Times New Roman" w:hAnsi="Times New Roman" w:cs="Times New Roman"/>
                <w:color w:val="000000"/>
                <w:kern w:val="0"/>
                <w:szCs w:val="21"/>
              </w:rPr>
            </w:pP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立项程序规范性（3分）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widowControl/>
              <w:jc w:val="left"/>
              <w:rPr>
                <w:rFonts w:hint="default" w:ascii="Times New Roman" w:hAnsi="Times New Roman" w:cs="Times New Roman"/>
                <w:color w:val="000000"/>
                <w:kern w:val="0"/>
                <w:sz w:val="22"/>
              </w:rPr>
            </w:pPr>
          </w:p>
        </w:tc>
        <w:tc>
          <w:tcPr>
            <w:tcW w:w="2816" w:type="dxa"/>
            <w:vMerge w:val="restart"/>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绩效目标（</w:t>
            </w:r>
            <w:r>
              <w:rPr>
                <w:rFonts w:hint="default" w:ascii="Times New Roman" w:hAnsi="Times New Roman" w:cs="Times New Roman"/>
                <w:color w:val="000000"/>
                <w:kern w:val="0"/>
                <w:szCs w:val="21"/>
                <w:lang w:val="en-US" w:eastAsia="zh-CN"/>
              </w:rPr>
              <w:t>7</w:t>
            </w:r>
            <w:r>
              <w:rPr>
                <w:rFonts w:hint="default" w:ascii="Times New Roman" w:hAnsi="Times New Roman" w:cs="Times New Roman"/>
                <w:color w:val="000000"/>
                <w:kern w:val="0"/>
                <w:szCs w:val="21"/>
              </w:rPr>
              <w:t>分）</w:t>
            </w: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绩效目标合理性（</w:t>
            </w:r>
            <w:r>
              <w:rPr>
                <w:rFonts w:hint="default" w:ascii="Times New Roman" w:hAnsi="Times New Roman" w:cs="Times New Roman"/>
                <w:color w:val="000000"/>
                <w:kern w:val="0"/>
                <w:szCs w:val="21"/>
                <w:lang w:val="en-US" w:eastAsia="zh-CN"/>
              </w:rPr>
              <w:t>4</w:t>
            </w:r>
            <w:r>
              <w:rPr>
                <w:rFonts w:hint="default" w:ascii="Times New Roman" w:hAnsi="Times New Roman" w:cs="Times New Roman"/>
                <w:color w:val="000000"/>
                <w:kern w:val="0"/>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widowControl/>
              <w:jc w:val="left"/>
              <w:rPr>
                <w:rFonts w:hint="default" w:ascii="Times New Roman" w:hAnsi="Times New Roman" w:cs="Times New Roman"/>
                <w:color w:val="000000"/>
                <w:kern w:val="0"/>
                <w:sz w:val="22"/>
              </w:rPr>
            </w:pPr>
          </w:p>
        </w:tc>
        <w:tc>
          <w:tcPr>
            <w:tcW w:w="2816" w:type="dxa"/>
            <w:vMerge w:val="continue"/>
            <w:vAlign w:val="center"/>
          </w:tcPr>
          <w:p>
            <w:pPr>
              <w:widowControl/>
              <w:jc w:val="left"/>
              <w:rPr>
                <w:rFonts w:hint="default" w:ascii="Times New Roman" w:hAnsi="Times New Roman" w:cs="Times New Roman"/>
                <w:color w:val="000000"/>
                <w:kern w:val="0"/>
                <w:szCs w:val="21"/>
              </w:rPr>
            </w:pP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绩效指标明确性（3分）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widowControl/>
              <w:jc w:val="left"/>
              <w:rPr>
                <w:rFonts w:hint="default" w:ascii="Times New Roman" w:hAnsi="Times New Roman" w:cs="Times New Roman"/>
                <w:color w:val="000000"/>
                <w:kern w:val="0"/>
                <w:sz w:val="22"/>
              </w:rPr>
            </w:pPr>
          </w:p>
        </w:tc>
        <w:tc>
          <w:tcPr>
            <w:tcW w:w="2816" w:type="dxa"/>
            <w:vMerge w:val="restart"/>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资金投入（</w:t>
            </w:r>
            <w:r>
              <w:rPr>
                <w:rFonts w:hint="default" w:ascii="Times New Roman" w:hAnsi="Times New Roman" w:cs="Times New Roman"/>
                <w:color w:val="000000"/>
                <w:kern w:val="0"/>
                <w:szCs w:val="21"/>
                <w:lang w:val="en-US" w:eastAsia="zh-CN"/>
              </w:rPr>
              <w:t>6</w:t>
            </w:r>
            <w:r>
              <w:rPr>
                <w:rFonts w:hint="default" w:ascii="Times New Roman" w:hAnsi="Times New Roman" w:cs="Times New Roman"/>
                <w:color w:val="000000"/>
                <w:kern w:val="0"/>
                <w:szCs w:val="21"/>
              </w:rPr>
              <w:t>分）</w:t>
            </w: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预算编制科学性（</w:t>
            </w:r>
            <w:r>
              <w:rPr>
                <w:rFonts w:hint="default" w:ascii="Times New Roman" w:hAnsi="Times New Roman" w:cs="Times New Roman"/>
                <w:color w:val="000000"/>
                <w:kern w:val="0"/>
                <w:szCs w:val="21"/>
                <w:lang w:val="en-US" w:eastAsia="zh-CN"/>
              </w:rPr>
              <w:t>3</w:t>
            </w:r>
            <w:r>
              <w:rPr>
                <w:rFonts w:hint="default" w:ascii="Times New Roman" w:hAnsi="Times New Roman" w:cs="Times New Roman"/>
                <w:color w:val="000000"/>
                <w:kern w:val="0"/>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widowControl/>
              <w:jc w:val="left"/>
              <w:rPr>
                <w:rFonts w:hint="default" w:ascii="Times New Roman" w:hAnsi="Times New Roman" w:cs="Times New Roman"/>
                <w:color w:val="000000"/>
                <w:kern w:val="0"/>
                <w:sz w:val="22"/>
              </w:rPr>
            </w:pPr>
          </w:p>
        </w:tc>
        <w:tc>
          <w:tcPr>
            <w:tcW w:w="2816" w:type="dxa"/>
            <w:vMerge w:val="continue"/>
            <w:vAlign w:val="center"/>
          </w:tcPr>
          <w:p>
            <w:pPr>
              <w:widowControl/>
              <w:jc w:val="left"/>
              <w:rPr>
                <w:rFonts w:hint="default" w:ascii="Times New Roman" w:hAnsi="Times New Roman" w:cs="Times New Roman"/>
                <w:color w:val="000000"/>
                <w:kern w:val="0"/>
                <w:szCs w:val="21"/>
              </w:rPr>
            </w:pP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资金分配合理性（</w:t>
            </w:r>
            <w:r>
              <w:rPr>
                <w:rFonts w:hint="default" w:ascii="Times New Roman" w:hAnsi="Times New Roman" w:cs="Times New Roman"/>
                <w:color w:val="000000"/>
                <w:kern w:val="0"/>
                <w:szCs w:val="21"/>
                <w:lang w:val="en-US" w:eastAsia="zh-CN"/>
              </w:rPr>
              <w:t>3</w:t>
            </w:r>
            <w:r>
              <w:rPr>
                <w:rFonts w:hint="default" w:ascii="Times New Roman" w:hAnsi="Times New Roman" w:cs="Times New Roman"/>
                <w:color w:val="000000"/>
                <w:kern w:val="0"/>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restart"/>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过程</w:t>
            </w:r>
          </w:p>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w:t>
            </w:r>
            <w:r>
              <w:rPr>
                <w:rFonts w:hint="default" w:ascii="Times New Roman" w:hAnsi="Times New Roman" w:cs="Times New Roman"/>
                <w:color w:val="000000"/>
                <w:kern w:val="0"/>
                <w:szCs w:val="21"/>
                <w:lang w:val="en-US" w:eastAsia="zh-CN"/>
              </w:rPr>
              <w:t>20</w:t>
            </w:r>
            <w:r>
              <w:rPr>
                <w:rFonts w:hint="default" w:ascii="Times New Roman" w:hAnsi="Times New Roman" w:cs="Times New Roman"/>
                <w:color w:val="000000"/>
                <w:kern w:val="0"/>
                <w:szCs w:val="21"/>
              </w:rPr>
              <w:t>分）</w:t>
            </w:r>
          </w:p>
        </w:tc>
        <w:tc>
          <w:tcPr>
            <w:tcW w:w="2816" w:type="dxa"/>
            <w:vMerge w:val="restart"/>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资金管理（10分）</w:t>
            </w: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资金到位率（2分）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jc w:val="left"/>
              <w:rPr>
                <w:rFonts w:hint="default" w:ascii="Times New Roman" w:hAnsi="Times New Roman" w:cs="Times New Roman"/>
                <w:color w:val="000000"/>
                <w:kern w:val="0"/>
                <w:szCs w:val="21"/>
              </w:rPr>
            </w:pPr>
          </w:p>
        </w:tc>
        <w:tc>
          <w:tcPr>
            <w:tcW w:w="2816" w:type="dxa"/>
            <w:vMerge w:val="continue"/>
            <w:vAlign w:val="center"/>
          </w:tcPr>
          <w:p>
            <w:pPr>
              <w:widowControl/>
              <w:jc w:val="left"/>
              <w:rPr>
                <w:rFonts w:hint="default" w:ascii="Times New Roman" w:hAnsi="Times New Roman" w:cs="Times New Roman"/>
                <w:color w:val="000000"/>
                <w:kern w:val="0"/>
                <w:szCs w:val="21"/>
              </w:rPr>
            </w:pP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预算执行率（</w:t>
            </w:r>
            <w:r>
              <w:rPr>
                <w:rFonts w:hint="default" w:ascii="Times New Roman" w:hAnsi="Times New Roman" w:cs="Times New Roman"/>
                <w:color w:val="000000"/>
                <w:kern w:val="0"/>
                <w:szCs w:val="21"/>
                <w:lang w:val="en-US" w:eastAsia="zh-CN"/>
              </w:rPr>
              <w:t>2</w:t>
            </w:r>
            <w:r>
              <w:rPr>
                <w:rFonts w:hint="default" w:ascii="Times New Roman" w:hAnsi="Times New Roman" w:cs="Times New Roman"/>
                <w:color w:val="000000"/>
                <w:kern w:val="0"/>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jc w:val="left"/>
              <w:rPr>
                <w:rFonts w:hint="default" w:ascii="Times New Roman" w:hAnsi="Times New Roman" w:cs="Times New Roman"/>
                <w:color w:val="000000"/>
                <w:kern w:val="0"/>
                <w:sz w:val="22"/>
              </w:rPr>
            </w:pPr>
          </w:p>
        </w:tc>
        <w:tc>
          <w:tcPr>
            <w:tcW w:w="2816" w:type="dxa"/>
            <w:vMerge w:val="continue"/>
            <w:vAlign w:val="center"/>
          </w:tcPr>
          <w:p>
            <w:pPr>
              <w:widowControl/>
              <w:jc w:val="left"/>
              <w:rPr>
                <w:rFonts w:hint="default" w:ascii="Times New Roman" w:hAnsi="Times New Roman" w:cs="Times New Roman"/>
                <w:color w:val="000000"/>
                <w:kern w:val="0"/>
                <w:szCs w:val="21"/>
              </w:rPr>
            </w:pP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资金使用合规性（</w:t>
            </w:r>
            <w:r>
              <w:rPr>
                <w:rFonts w:hint="default" w:ascii="Times New Roman" w:hAnsi="Times New Roman" w:cs="Times New Roman"/>
                <w:color w:val="000000"/>
                <w:kern w:val="0"/>
                <w:szCs w:val="21"/>
                <w:lang w:val="en-US" w:eastAsia="zh-CN"/>
              </w:rPr>
              <w:t>6</w:t>
            </w:r>
            <w:r>
              <w:rPr>
                <w:rFonts w:hint="default" w:ascii="Times New Roman" w:hAnsi="Times New Roman" w:cs="Times New Roman"/>
                <w:color w:val="000000"/>
                <w:kern w:val="0"/>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jc w:val="left"/>
              <w:rPr>
                <w:rFonts w:hint="default" w:ascii="Times New Roman" w:hAnsi="Times New Roman" w:cs="Times New Roman"/>
                <w:color w:val="000000"/>
                <w:kern w:val="0"/>
                <w:sz w:val="22"/>
              </w:rPr>
            </w:pPr>
          </w:p>
        </w:tc>
        <w:tc>
          <w:tcPr>
            <w:tcW w:w="2816" w:type="dxa"/>
            <w:vMerge w:val="restart"/>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组织实施（1</w:t>
            </w:r>
            <w:r>
              <w:rPr>
                <w:rFonts w:hint="default" w:ascii="Times New Roman" w:hAnsi="Times New Roman" w:cs="Times New Roman"/>
                <w:color w:val="000000"/>
                <w:kern w:val="0"/>
                <w:szCs w:val="21"/>
                <w:lang w:val="en-US" w:eastAsia="zh-CN"/>
              </w:rPr>
              <w:t>0</w:t>
            </w:r>
            <w:r>
              <w:rPr>
                <w:rFonts w:hint="default" w:ascii="Times New Roman" w:hAnsi="Times New Roman" w:cs="Times New Roman"/>
                <w:color w:val="000000"/>
                <w:kern w:val="0"/>
                <w:szCs w:val="21"/>
              </w:rPr>
              <w:t>分）</w:t>
            </w: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管理制度健全性（</w:t>
            </w:r>
            <w:r>
              <w:rPr>
                <w:rFonts w:hint="default" w:ascii="Times New Roman" w:hAnsi="Times New Roman" w:cs="Times New Roman"/>
                <w:color w:val="000000"/>
                <w:kern w:val="0"/>
                <w:szCs w:val="21"/>
                <w:lang w:val="en-US" w:eastAsia="zh-CN"/>
              </w:rPr>
              <w:t>4</w:t>
            </w:r>
            <w:r>
              <w:rPr>
                <w:rFonts w:hint="default" w:ascii="Times New Roman" w:hAnsi="Times New Roman" w:cs="Times New Roman"/>
                <w:color w:val="000000"/>
                <w:kern w:val="0"/>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widowControl/>
              <w:jc w:val="left"/>
              <w:rPr>
                <w:rFonts w:hint="default" w:ascii="Times New Roman" w:hAnsi="Times New Roman" w:cs="Times New Roman"/>
                <w:color w:val="000000"/>
                <w:kern w:val="0"/>
                <w:sz w:val="22"/>
              </w:rPr>
            </w:pPr>
          </w:p>
        </w:tc>
        <w:tc>
          <w:tcPr>
            <w:tcW w:w="2816" w:type="dxa"/>
            <w:vMerge w:val="continue"/>
            <w:vAlign w:val="center"/>
          </w:tcPr>
          <w:p>
            <w:pPr>
              <w:widowControl/>
              <w:jc w:val="left"/>
              <w:rPr>
                <w:rFonts w:hint="default" w:ascii="Times New Roman" w:hAnsi="Times New Roman" w:cs="Times New Roman"/>
                <w:color w:val="000000"/>
                <w:kern w:val="0"/>
                <w:szCs w:val="21"/>
              </w:rPr>
            </w:pP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制度执行有效性（</w:t>
            </w:r>
            <w:r>
              <w:rPr>
                <w:rFonts w:hint="default" w:ascii="Times New Roman" w:hAnsi="Times New Roman" w:cs="Times New Roman"/>
                <w:color w:val="000000"/>
                <w:kern w:val="0"/>
                <w:szCs w:val="21"/>
                <w:lang w:val="en-US" w:eastAsia="zh-CN"/>
              </w:rPr>
              <w:t>6</w:t>
            </w:r>
            <w:r>
              <w:rPr>
                <w:rFonts w:hint="default" w:ascii="Times New Roman" w:hAnsi="Times New Roman" w:cs="Times New Roman"/>
                <w:color w:val="000000"/>
                <w:kern w:val="0"/>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restart"/>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产出</w:t>
            </w:r>
          </w:p>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（30分）</w:t>
            </w:r>
          </w:p>
        </w:tc>
        <w:tc>
          <w:tcPr>
            <w:tcW w:w="2816"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产出数量（10分）</w:t>
            </w: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实际完成率（10分）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jc w:val="left"/>
              <w:rPr>
                <w:rFonts w:hint="default" w:ascii="Times New Roman" w:hAnsi="Times New Roman" w:cs="Times New Roman"/>
                <w:color w:val="000000"/>
                <w:kern w:val="0"/>
                <w:szCs w:val="21"/>
              </w:rPr>
            </w:pPr>
          </w:p>
        </w:tc>
        <w:tc>
          <w:tcPr>
            <w:tcW w:w="2816"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产出质量（10分）</w:t>
            </w: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项目工作质量达标情况（10分）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jc w:val="left"/>
              <w:rPr>
                <w:rFonts w:hint="default" w:ascii="Times New Roman" w:hAnsi="Times New Roman" w:cs="Times New Roman"/>
                <w:color w:val="000000"/>
                <w:kern w:val="0"/>
                <w:sz w:val="22"/>
              </w:rPr>
            </w:pPr>
          </w:p>
        </w:tc>
        <w:tc>
          <w:tcPr>
            <w:tcW w:w="2816"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产出时效（5分）</w:t>
            </w: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各项工作完成及时性（5分）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widowControl/>
              <w:jc w:val="left"/>
              <w:rPr>
                <w:rFonts w:hint="default" w:ascii="Times New Roman" w:hAnsi="Times New Roman" w:cs="Times New Roman"/>
                <w:color w:val="000000"/>
                <w:kern w:val="0"/>
                <w:sz w:val="22"/>
              </w:rPr>
            </w:pPr>
          </w:p>
        </w:tc>
        <w:tc>
          <w:tcPr>
            <w:tcW w:w="2816"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产出成本（5分）</w:t>
            </w: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成本节约率（5分）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restart"/>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效益</w:t>
            </w:r>
          </w:p>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（30分）</w:t>
            </w:r>
          </w:p>
        </w:tc>
        <w:tc>
          <w:tcPr>
            <w:tcW w:w="2816" w:type="dxa"/>
            <w:vMerge w:val="restart"/>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项目效益</w:t>
            </w:r>
          </w:p>
          <w:p>
            <w:pPr>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（30分）</w:t>
            </w: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社会效益（1</w:t>
            </w:r>
            <w:r>
              <w:rPr>
                <w:rFonts w:hint="default" w:ascii="Times New Roman" w:hAnsi="Times New Roman" w:cs="Times New Roman"/>
                <w:color w:val="000000"/>
                <w:kern w:val="0"/>
                <w:szCs w:val="21"/>
                <w:lang w:val="en-US" w:eastAsia="zh-CN"/>
              </w:rPr>
              <w:t>5</w:t>
            </w:r>
            <w:r>
              <w:rPr>
                <w:rFonts w:hint="default" w:ascii="Times New Roman" w:hAnsi="Times New Roman" w:cs="Times New Roman"/>
                <w:color w:val="000000"/>
                <w:kern w:val="0"/>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jc w:val="left"/>
              <w:rPr>
                <w:rFonts w:hint="default" w:ascii="Times New Roman" w:hAnsi="Times New Roman" w:cs="Times New Roman"/>
                <w:color w:val="000000"/>
                <w:kern w:val="0"/>
                <w:szCs w:val="21"/>
              </w:rPr>
            </w:pPr>
          </w:p>
        </w:tc>
        <w:tc>
          <w:tcPr>
            <w:tcW w:w="2816" w:type="dxa"/>
            <w:vMerge w:val="continue"/>
            <w:shd w:val="clear" w:color="auto" w:fill="auto"/>
            <w:vAlign w:val="center"/>
          </w:tcPr>
          <w:p>
            <w:pPr>
              <w:widowControl/>
              <w:jc w:val="center"/>
              <w:rPr>
                <w:rFonts w:hint="default" w:ascii="Times New Roman" w:hAnsi="Times New Roman" w:cs="Times New Roman"/>
                <w:color w:val="000000"/>
                <w:kern w:val="0"/>
                <w:szCs w:val="21"/>
              </w:rPr>
            </w:pP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可持续影响（</w:t>
            </w:r>
            <w:r>
              <w:rPr>
                <w:rFonts w:hint="default" w:ascii="Times New Roman" w:hAnsi="Times New Roman" w:cs="Times New Roman"/>
                <w:color w:val="000000"/>
                <w:kern w:val="0"/>
                <w:szCs w:val="21"/>
                <w:lang w:val="en-US" w:eastAsia="zh-CN"/>
              </w:rPr>
              <w:t>5</w:t>
            </w:r>
            <w:r>
              <w:rPr>
                <w:rFonts w:hint="default" w:ascii="Times New Roman" w:hAnsi="Times New Roman" w:cs="Times New Roman"/>
                <w:color w:val="000000"/>
                <w:kern w:val="0"/>
                <w:szCs w:val="21"/>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221" w:type="dxa"/>
            <w:vMerge w:val="continue"/>
            <w:shd w:val="clear" w:color="auto" w:fill="auto"/>
            <w:vAlign w:val="center"/>
          </w:tcPr>
          <w:p>
            <w:pPr>
              <w:widowControl/>
              <w:jc w:val="left"/>
              <w:rPr>
                <w:rFonts w:hint="default" w:ascii="Times New Roman" w:hAnsi="Times New Roman" w:cs="Times New Roman"/>
                <w:color w:val="000000"/>
                <w:kern w:val="0"/>
                <w:sz w:val="22"/>
              </w:rPr>
            </w:pPr>
          </w:p>
        </w:tc>
        <w:tc>
          <w:tcPr>
            <w:tcW w:w="2816" w:type="dxa"/>
            <w:vMerge w:val="continue"/>
            <w:shd w:val="clear" w:color="auto" w:fill="auto"/>
            <w:vAlign w:val="center"/>
          </w:tcPr>
          <w:p>
            <w:pPr>
              <w:widowControl/>
              <w:jc w:val="left"/>
              <w:rPr>
                <w:rFonts w:hint="default" w:ascii="Times New Roman" w:hAnsi="Times New Roman" w:cs="Times New Roman"/>
                <w:color w:val="000000"/>
                <w:kern w:val="0"/>
                <w:sz w:val="22"/>
              </w:rPr>
            </w:pPr>
          </w:p>
        </w:tc>
        <w:tc>
          <w:tcPr>
            <w:tcW w:w="3429" w:type="dxa"/>
            <w:shd w:val="clear" w:color="auto" w:fill="auto"/>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满意度（10分）</w:t>
            </w:r>
          </w:p>
        </w:tc>
      </w:tr>
    </w:tbl>
    <w:p>
      <w:pPr>
        <w:pStyle w:val="16"/>
        <w:keepNext w:val="0"/>
        <w:keepLines w:val="0"/>
        <w:pageBreakBefore w:val="0"/>
        <w:widowControl w:val="0"/>
        <w:kinsoku/>
        <w:wordWrap/>
        <w:overflowPunct/>
        <w:topLinePunct w:val="0"/>
        <w:autoSpaceDE/>
        <w:autoSpaceDN/>
        <w:bidi w:val="0"/>
        <w:adjustRightInd/>
        <w:snapToGrid/>
        <w:spacing w:after="0"/>
        <w:ind w:left="0" w:leftChars="0" w:firstLine="0" w:firstLineChars="0"/>
        <w:textAlignment w:val="auto"/>
        <w:outlineLvl w:val="9"/>
        <w:rPr>
          <w:rFonts w:hint="eastAsia" w:ascii="仿宋" w:hAnsi="仿宋" w:eastAsia="仿宋" w:cs="仿宋"/>
          <w:sz w:val="32"/>
          <w:szCs w:val="32"/>
        </w:rPr>
      </w:pPr>
    </w:p>
    <w:p>
      <w:pPr>
        <w:spacing w:line="560" w:lineRule="exact"/>
        <w:ind w:firstLine="640" w:firstLineChars="200"/>
        <w:outlineLvl w:val="2"/>
        <w:rPr>
          <w:rFonts w:ascii="Times New Roman" w:hAnsi="Times New Roman" w:eastAsia="仿宋" w:cs="Times New Roman"/>
          <w:b/>
          <w:sz w:val="32"/>
          <w:szCs w:val="20"/>
        </w:rPr>
      </w:pPr>
      <w:bookmarkStart w:id="52" w:name="_Toc24628"/>
      <w:r>
        <w:rPr>
          <w:rFonts w:hint="eastAsia" w:ascii="Times New Roman" w:hAnsi="Times New Roman" w:eastAsia="楷体" w:cs="Times New Roman"/>
          <w:kern w:val="2"/>
          <w:sz w:val="32"/>
          <w:szCs w:val="22"/>
          <w:lang w:val="en-US" w:eastAsia="zh-CN" w:bidi="ar-SA"/>
        </w:rPr>
        <w:t>（三）</w:t>
      </w:r>
      <w:r>
        <w:rPr>
          <w:rFonts w:ascii="Times New Roman" w:hAnsi="Times New Roman" w:eastAsia="楷体" w:cs="Times New Roman"/>
          <w:kern w:val="2"/>
          <w:sz w:val="32"/>
          <w:szCs w:val="22"/>
          <w:lang w:val="en-US" w:eastAsia="zh-CN" w:bidi="ar-SA"/>
        </w:rPr>
        <w:t>评价方法、评价标准</w:t>
      </w:r>
      <w:bookmarkEnd w:id="52"/>
    </w:p>
    <w:p>
      <w:pPr>
        <w:spacing w:line="560" w:lineRule="exact"/>
        <w:ind w:firstLine="643" w:firstLineChars="200"/>
        <w:rPr>
          <w:rFonts w:ascii="Times New Roman" w:hAnsi="Times New Roman" w:eastAsia="仿宋" w:cs="Times New Roman"/>
          <w:b/>
          <w:bCs/>
          <w:sz w:val="32"/>
          <w:szCs w:val="22"/>
        </w:rPr>
      </w:pPr>
      <w:r>
        <w:rPr>
          <w:rFonts w:hint="eastAsia" w:ascii="Times New Roman" w:hAnsi="Times New Roman" w:eastAsia="仿宋" w:cs="Times New Roman"/>
          <w:b/>
          <w:bCs/>
          <w:sz w:val="32"/>
          <w:szCs w:val="22"/>
          <w:lang w:val="en-US" w:eastAsia="zh-CN"/>
        </w:rPr>
        <w:t>1.</w:t>
      </w:r>
      <w:r>
        <w:rPr>
          <w:rFonts w:ascii="Times New Roman" w:hAnsi="Times New Roman" w:eastAsia="仿宋" w:cs="Times New Roman"/>
          <w:b/>
          <w:bCs/>
          <w:sz w:val="32"/>
          <w:szCs w:val="22"/>
        </w:rPr>
        <w:t>评价方法</w:t>
      </w:r>
    </w:p>
    <w:p>
      <w:pPr>
        <w:spacing w:line="560" w:lineRule="exact"/>
        <w:ind w:firstLine="640" w:firstLineChars="200"/>
        <w:rPr>
          <w:rFonts w:ascii="Times New Roman" w:hAnsi="Times New Roman" w:eastAsia="仿宋" w:cs="Times New Roman"/>
          <w:sz w:val="32"/>
          <w:szCs w:val="22"/>
        </w:rPr>
      </w:pPr>
      <w:r>
        <w:rPr>
          <w:rFonts w:hint="eastAsia" w:ascii="Times New Roman" w:hAnsi="Times New Roman" w:eastAsia="仿宋" w:cs="Times New Roman"/>
          <w:sz w:val="32"/>
          <w:szCs w:val="22"/>
          <w:lang w:eastAsia="zh-CN"/>
        </w:rPr>
        <w:t>（</w:t>
      </w:r>
      <w:r>
        <w:rPr>
          <w:rFonts w:hint="eastAsia" w:ascii="Times New Roman" w:hAnsi="Times New Roman" w:eastAsia="仿宋" w:cs="Times New Roman"/>
          <w:sz w:val="32"/>
          <w:szCs w:val="22"/>
          <w:lang w:val="en-US" w:eastAsia="zh-CN"/>
        </w:rPr>
        <w:t>1</w:t>
      </w:r>
      <w:r>
        <w:rPr>
          <w:rFonts w:hint="eastAsia" w:ascii="Times New Roman" w:hAnsi="Times New Roman" w:eastAsia="仿宋" w:cs="Times New Roman"/>
          <w:sz w:val="32"/>
          <w:szCs w:val="22"/>
          <w:lang w:eastAsia="zh-CN"/>
        </w:rPr>
        <w:t>）</w:t>
      </w:r>
      <w:r>
        <w:rPr>
          <w:rFonts w:ascii="Times New Roman" w:hAnsi="Times New Roman" w:eastAsia="仿宋" w:cs="Times New Roman"/>
          <w:sz w:val="32"/>
          <w:szCs w:val="22"/>
        </w:rPr>
        <w:t>因素分析法</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通过查阅整理</w:t>
      </w:r>
      <w:r>
        <w:rPr>
          <w:rFonts w:hint="eastAsia" w:ascii="Times New Roman" w:hAnsi="Times New Roman" w:eastAsia="仿宋" w:cs="Times New Roman"/>
          <w:sz w:val="32"/>
          <w:szCs w:val="22"/>
        </w:rPr>
        <w:t>首都之窗</w:t>
      </w:r>
      <w:r>
        <w:rPr>
          <w:rFonts w:ascii="Times New Roman" w:hAnsi="Times New Roman" w:eastAsia="仿宋" w:cs="Times New Roman"/>
          <w:sz w:val="32"/>
          <w:szCs w:val="22"/>
        </w:rPr>
        <w:t>提供的相关资料，结合国家、北京市相关政策法规和计划等相关文件，对项目立项依据、背景、预算、过程管理资料及产出效益材料进行查阅，梳理项目问题并分析成因。</w:t>
      </w:r>
    </w:p>
    <w:p>
      <w:pPr>
        <w:spacing w:line="560" w:lineRule="exact"/>
        <w:ind w:firstLine="640" w:firstLineChars="200"/>
        <w:rPr>
          <w:rFonts w:ascii="Times New Roman" w:hAnsi="Times New Roman" w:eastAsia="仿宋" w:cs="Times New Roman"/>
          <w:sz w:val="32"/>
          <w:szCs w:val="22"/>
        </w:rPr>
      </w:pPr>
      <w:r>
        <w:rPr>
          <w:rFonts w:hint="eastAsia" w:ascii="Times New Roman" w:hAnsi="Times New Roman" w:eastAsia="仿宋" w:cs="Times New Roman"/>
          <w:sz w:val="32"/>
          <w:szCs w:val="22"/>
          <w:lang w:eastAsia="zh-CN"/>
        </w:rPr>
        <w:t>（</w:t>
      </w:r>
      <w:r>
        <w:rPr>
          <w:rFonts w:hint="eastAsia" w:ascii="Times New Roman" w:hAnsi="Times New Roman" w:eastAsia="仿宋" w:cs="Times New Roman"/>
          <w:sz w:val="32"/>
          <w:szCs w:val="22"/>
          <w:lang w:val="en-US" w:eastAsia="zh-CN"/>
        </w:rPr>
        <w:t>2</w:t>
      </w:r>
      <w:r>
        <w:rPr>
          <w:rFonts w:hint="eastAsia" w:ascii="Times New Roman" w:hAnsi="Times New Roman" w:eastAsia="仿宋" w:cs="Times New Roman"/>
          <w:sz w:val="32"/>
          <w:szCs w:val="22"/>
          <w:lang w:eastAsia="zh-CN"/>
        </w:rPr>
        <w:t>）</w:t>
      </w:r>
      <w:r>
        <w:rPr>
          <w:rFonts w:ascii="Times New Roman" w:hAnsi="Times New Roman" w:eastAsia="仿宋" w:cs="Times New Roman"/>
          <w:sz w:val="32"/>
          <w:szCs w:val="22"/>
        </w:rPr>
        <w:t>公众评判法</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组织专家采用集中评议的方法，通过查阅相关资料、召开专家会、听取情况介绍、质询等方法了解项目情况，根据专家评议结果形成评价结论并提出建设性意见。</w:t>
      </w:r>
    </w:p>
    <w:p>
      <w:pPr>
        <w:spacing w:line="560" w:lineRule="exact"/>
        <w:ind w:firstLine="643" w:firstLineChars="200"/>
        <w:rPr>
          <w:rFonts w:ascii="Times New Roman" w:hAnsi="Times New Roman" w:eastAsia="仿宋" w:cs="Times New Roman"/>
          <w:b/>
          <w:bCs/>
          <w:sz w:val="32"/>
          <w:szCs w:val="22"/>
        </w:rPr>
      </w:pPr>
      <w:r>
        <w:rPr>
          <w:rFonts w:hint="eastAsia" w:ascii="Times New Roman" w:hAnsi="Times New Roman" w:eastAsia="仿宋" w:cs="Times New Roman"/>
          <w:b/>
          <w:bCs/>
          <w:sz w:val="32"/>
          <w:szCs w:val="22"/>
          <w:lang w:val="en-US" w:eastAsia="zh-CN"/>
        </w:rPr>
        <w:t>2.</w:t>
      </w:r>
      <w:r>
        <w:rPr>
          <w:rFonts w:ascii="Times New Roman" w:hAnsi="Times New Roman" w:eastAsia="仿宋" w:cs="Times New Roman"/>
          <w:b/>
          <w:bCs/>
          <w:sz w:val="32"/>
          <w:szCs w:val="22"/>
        </w:rPr>
        <w:t>评价标准</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评价工作组以投入产出分析为基本方法，通过建立综合评价指标体系，参考历史数据及绩效评价等级要求确定评分标准，对北京市政府网站集约化平台服务及运维项目的决策、过程、产出、效益情况进行综合评判。</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绩效评价结果采取评分和评级相结合的方式，具体分值和等级可根据不同评价内容设定。总分一般设置为100分，等级一般划分为4档：90（含）-100分为优、80（含）-90分为良、60（含）-80分为中、60分以下为差。</w:t>
      </w:r>
    </w:p>
    <w:p>
      <w:pPr>
        <w:pStyle w:val="4"/>
        <w:keepNext w:val="0"/>
        <w:keepLines w:val="0"/>
        <w:widowControl w:val="0"/>
        <w:spacing w:line="560" w:lineRule="exact"/>
        <w:ind w:firstLine="640"/>
        <w:rPr>
          <w:rFonts w:ascii="Times New Roman" w:hAnsi="Times New Roman"/>
        </w:rPr>
      </w:pPr>
      <w:bookmarkStart w:id="53" w:name="_Toc26650"/>
      <w:bookmarkStart w:id="54" w:name="_Toc5750"/>
      <w:bookmarkStart w:id="55" w:name="_Toc30996"/>
      <w:bookmarkStart w:id="56" w:name="_Toc31405"/>
      <w:bookmarkStart w:id="57" w:name="_Toc16441"/>
      <w:bookmarkStart w:id="58" w:name="_Toc23601"/>
      <w:bookmarkStart w:id="59" w:name="_Toc23425"/>
      <w:bookmarkStart w:id="60" w:name="_Toc30662"/>
      <w:bookmarkStart w:id="61" w:name="_Toc24601"/>
      <w:bookmarkStart w:id="62" w:name="_Toc8099"/>
      <w:bookmarkStart w:id="63" w:name="_Toc17498"/>
      <w:bookmarkStart w:id="64" w:name="_Toc35420694"/>
      <w:bookmarkStart w:id="65" w:name="_Toc11813"/>
      <w:bookmarkStart w:id="66" w:name="_Toc7858"/>
      <w:bookmarkStart w:id="67" w:name="_Toc36129071"/>
      <w:bookmarkStart w:id="68" w:name="_Toc32576"/>
      <w:r>
        <w:rPr>
          <w:rFonts w:ascii="Times New Roman" w:hAnsi="Times New Roman"/>
        </w:rPr>
        <w:t>（</w:t>
      </w:r>
      <w:r>
        <w:rPr>
          <w:rFonts w:hint="eastAsia" w:ascii="Times New Roman" w:hAnsi="Times New Roman"/>
          <w:lang w:eastAsia="zh-CN"/>
        </w:rPr>
        <w:t>四</w:t>
      </w:r>
      <w:r>
        <w:rPr>
          <w:rFonts w:ascii="Times New Roman" w:hAnsi="Times New Roman"/>
        </w:rPr>
        <w:t>）绩效评价工作过程</w:t>
      </w:r>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p>
    <w:p>
      <w:pPr>
        <w:spacing w:line="560" w:lineRule="exact"/>
        <w:ind w:firstLine="643" w:firstLineChars="200"/>
        <w:rPr>
          <w:rFonts w:ascii="Times New Roman" w:hAnsi="Times New Roman" w:eastAsia="仿宋" w:cs="Times New Roman"/>
          <w:b/>
          <w:bCs/>
          <w:sz w:val="32"/>
          <w:szCs w:val="22"/>
        </w:rPr>
      </w:pPr>
      <w:bookmarkStart w:id="69" w:name="_Toc35420695"/>
      <w:r>
        <w:rPr>
          <w:rFonts w:ascii="Times New Roman" w:hAnsi="Times New Roman" w:eastAsia="仿宋" w:cs="Times New Roman"/>
          <w:b/>
          <w:bCs/>
          <w:sz w:val="32"/>
          <w:szCs w:val="22"/>
        </w:rPr>
        <w:t>1.前期准备情况</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评价工作组于评价前期进行了绩效评价工作的内部研讨及培训，制定评价实施方案，并与</w:t>
      </w:r>
      <w:r>
        <w:rPr>
          <w:rFonts w:hint="eastAsia" w:ascii="Times New Roman" w:hAnsi="Times New Roman" w:eastAsia="仿宋" w:cs="Times New Roman"/>
          <w:sz w:val="32"/>
          <w:szCs w:val="22"/>
        </w:rPr>
        <w:t>市经济和信息化局</w:t>
      </w:r>
      <w:r>
        <w:rPr>
          <w:rFonts w:ascii="Times New Roman" w:hAnsi="Times New Roman" w:eastAsia="仿宋" w:cs="Times New Roman"/>
          <w:sz w:val="32"/>
          <w:szCs w:val="22"/>
        </w:rPr>
        <w:t>、</w:t>
      </w:r>
      <w:r>
        <w:rPr>
          <w:rFonts w:hint="eastAsia" w:ascii="Times New Roman" w:hAnsi="Times New Roman" w:eastAsia="仿宋" w:cs="Times New Roman"/>
          <w:sz w:val="32"/>
          <w:szCs w:val="22"/>
        </w:rPr>
        <w:t>首都之窗</w:t>
      </w:r>
      <w:r>
        <w:rPr>
          <w:rFonts w:ascii="Times New Roman" w:hAnsi="Times New Roman" w:eastAsia="仿宋" w:cs="Times New Roman"/>
          <w:sz w:val="32"/>
          <w:szCs w:val="22"/>
        </w:rPr>
        <w:t>建立了沟通协调工作机制。</w:t>
      </w:r>
    </w:p>
    <w:p>
      <w:pPr>
        <w:spacing w:line="560" w:lineRule="exact"/>
        <w:ind w:firstLine="643" w:firstLineChars="200"/>
        <w:rPr>
          <w:rFonts w:ascii="Times New Roman" w:hAnsi="Times New Roman" w:eastAsia="仿宋" w:cs="Times New Roman"/>
          <w:b/>
          <w:bCs/>
          <w:sz w:val="32"/>
          <w:szCs w:val="22"/>
        </w:rPr>
      </w:pPr>
      <w:r>
        <w:rPr>
          <w:rFonts w:ascii="Times New Roman" w:hAnsi="Times New Roman" w:eastAsia="仿宋" w:cs="Times New Roman"/>
          <w:b/>
          <w:bCs/>
          <w:sz w:val="32"/>
          <w:szCs w:val="22"/>
        </w:rPr>
        <w:t>2.项目资料审核</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收集和整理项目相关资料，初步了解项目特点和预期目标，对项目完成情况和资金使用等内容进行审核。</w:t>
      </w:r>
    </w:p>
    <w:p>
      <w:pPr>
        <w:spacing w:line="560" w:lineRule="exact"/>
        <w:ind w:firstLine="643" w:firstLineChars="200"/>
        <w:rPr>
          <w:rFonts w:ascii="Times New Roman" w:hAnsi="Times New Roman" w:eastAsia="仿宋" w:cs="Times New Roman"/>
          <w:b/>
          <w:bCs/>
          <w:sz w:val="32"/>
          <w:szCs w:val="22"/>
        </w:rPr>
      </w:pPr>
      <w:r>
        <w:rPr>
          <w:rFonts w:ascii="Times New Roman" w:hAnsi="Times New Roman" w:eastAsia="仿宋" w:cs="Times New Roman"/>
          <w:b/>
          <w:bCs/>
          <w:sz w:val="32"/>
          <w:szCs w:val="22"/>
        </w:rPr>
        <w:t>3.专家预备会</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依据项目初步审核情况，评价工作组于202</w:t>
      </w:r>
      <w:r>
        <w:rPr>
          <w:rFonts w:hint="eastAsia" w:ascii="Times New Roman" w:hAnsi="Times New Roman" w:eastAsia="仿宋" w:cs="Times New Roman"/>
          <w:sz w:val="32"/>
          <w:szCs w:val="22"/>
        </w:rPr>
        <w:t>2</w:t>
      </w:r>
      <w:r>
        <w:rPr>
          <w:rFonts w:ascii="Times New Roman" w:hAnsi="Times New Roman" w:eastAsia="仿宋" w:cs="Times New Roman"/>
          <w:sz w:val="32"/>
          <w:szCs w:val="22"/>
        </w:rPr>
        <w:t>年</w:t>
      </w:r>
      <w:r>
        <w:rPr>
          <w:rFonts w:hint="eastAsia" w:ascii="Times New Roman" w:hAnsi="Times New Roman" w:eastAsia="仿宋" w:cs="Times New Roman"/>
          <w:sz w:val="32"/>
          <w:szCs w:val="22"/>
        </w:rPr>
        <w:t>5</w:t>
      </w:r>
      <w:r>
        <w:rPr>
          <w:rFonts w:ascii="Times New Roman" w:hAnsi="Times New Roman" w:eastAsia="仿宋" w:cs="Times New Roman"/>
          <w:sz w:val="32"/>
          <w:szCs w:val="22"/>
        </w:rPr>
        <w:t>月</w:t>
      </w:r>
      <w:r>
        <w:rPr>
          <w:rFonts w:hint="eastAsia" w:ascii="Times New Roman" w:hAnsi="Times New Roman" w:eastAsia="仿宋" w:cs="Times New Roman"/>
          <w:sz w:val="32"/>
          <w:szCs w:val="22"/>
        </w:rPr>
        <w:t>5</w:t>
      </w:r>
      <w:r>
        <w:rPr>
          <w:rFonts w:ascii="Times New Roman" w:hAnsi="Times New Roman" w:eastAsia="仿宋" w:cs="Times New Roman"/>
          <w:sz w:val="32"/>
          <w:szCs w:val="22"/>
        </w:rPr>
        <w:t>日组织召开了专家</w:t>
      </w:r>
      <w:r>
        <w:rPr>
          <w:rFonts w:hint="eastAsia" w:ascii="Times New Roman" w:hAnsi="Times New Roman" w:eastAsia="仿宋" w:cs="Times New Roman"/>
          <w:sz w:val="32"/>
          <w:szCs w:val="22"/>
        </w:rPr>
        <w:t>预备</w:t>
      </w:r>
      <w:r>
        <w:rPr>
          <w:rFonts w:ascii="Times New Roman" w:hAnsi="Times New Roman" w:eastAsia="仿宋" w:cs="Times New Roman"/>
          <w:sz w:val="32"/>
          <w:szCs w:val="22"/>
        </w:rPr>
        <w:t>会</w:t>
      </w:r>
      <w:r>
        <w:rPr>
          <w:rFonts w:hint="eastAsia" w:ascii="Times New Roman" w:hAnsi="Times New Roman" w:eastAsia="仿宋" w:cs="Times New Roman"/>
          <w:sz w:val="32"/>
          <w:szCs w:val="22"/>
        </w:rPr>
        <w:t>，</w:t>
      </w:r>
      <w:r>
        <w:rPr>
          <w:rFonts w:ascii="Times New Roman" w:hAnsi="Times New Roman" w:eastAsia="仿宋" w:cs="Times New Roman"/>
          <w:sz w:val="32"/>
          <w:szCs w:val="22"/>
        </w:rPr>
        <w:t>邀请专家对项目进行审核讨论，并形成专家初步审核意见，完善指标体系。</w:t>
      </w:r>
    </w:p>
    <w:p>
      <w:pPr>
        <w:spacing w:line="560" w:lineRule="exact"/>
        <w:ind w:firstLine="643" w:firstLineChars="200"/>
        <w:rPr>
          <w:rFonts w:ascii="Times New Roman" w:hAnsi="Times New Roman" w:eastAsia="仿宋" w:cs="Times New Roman"/>
          <w:b/>
          <w:bCs/>
          <w:sz w:val="32"/>
          <w:szCs w:val="22"/>
        </w:rPr>
      </w:pPr>
      <w:r>
        <w:rPr>
          <w:rFonts w:ascii="Times New Roman" w:hAnsi="Times New Roman" w:eastAsia="仿宋" w:cs="Times New Roman"/>
          <w:b/>
          <w:bCs/>
          <w:sz w:val="32"/>
          <w:szCs w:val="22"/>
        </w:rPr>
        <w:t>4.专家评价会</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结合专家预备会反馈的专家意见及项目单位补充资料情况，评价工作组于202</w:t>
      </w:r>
      <w:r>
        <w:rPr>
          <w:rFonts w:hint="eastAsia" w:ascii="Times New Roman" w:hAnsi="Times New Roman" w:eastAsia="仿宋" w:cs="Times New Roman"/>
          <w:sz w:val="32"/>
          <w:szCs w:val="22"/>
        </w:rPr>
        <w:t>2</w:t>
      </w:r>
      <w:r>
        <w:rPr>
          <w:rFonts w:ascii="Times New Roman" w:hAnsi="Times New Roman" w:eastAsia="仿宋" w:cs="Times New Roman"/>
          <w:sz w:val="32"/>
          <w:szCs w:val="22"/>
        </w:rPr>
        <w:t>年</w:t>
      </w:r>
      <w:r>
        <w:rPr>
          <w:rFonts w:hint="eastAsia" w:ascii="Times New Roman" w:hAnsi="Times New Roman" w:eastAsia="仿宋" w:cs="Times New Roman"/>
          <w:sz w:val="32"/>
          <w:szCs w:val="22"/>
        </w:rPr>
        <w:t>5</w:t>
      </w:r>
      <w:r>
        <w:rPr>
          <w:rFonts w:ascii="Times New Roman" w:hAnsi="Times New Roman" w:eastAsia="仿宋" w:cs="Times New Roman"/>
          <w:sz w:val="32"/>
          <w:szCs w:val="22"/>
        </w:rPr>
        <w:t>月</w:t>
      </w:r>
      <w:r>
        <w:rPr>
          <w:rFonts w:hint="eastAsia" w:ascii="Times New Roman" w:hAnsi="Times New Roman" w:eastAsia="仿宋" w:cs="Times New Roman"/>
          <w:sz w:val="32"/>
          <w:szCs w:val="22"/>
        </w:rPr>
        <w:t>11</w:t>
      </w:r>
      <w:r>
        <w:rPr>
          <w:rFonts w:ascii="Times New Roman" w:hAnsi="Times New Roman" w:eastAsia="仿宋" w:cs="Times New Roman"/>
          <w:sz w:val="32"/>
          <w:szCs w:val="22"/>
        </w:rPr>
        <w:t>日组织召开了专家评价会，各专家就项目审核中发现的问题对项目单位进行问询，项目单位就问题进行解答，经充分讨论后，最终形成专家及专家组评价意见。</w:t>
      </w:r>
    </w:p>
    <w:p>
      <w:pPr>
        <w:spacing w:line="560" w:lineRule="exact"/>
        <w:ind w:firstLine="643" w:firstLineChars="200"/>
        <w:rPr>
          <w:rFonts w:ascii="Times New Roman" w:hAnsi="Times New Roman" w:eastAsia="仿宋" w:cs="Times New Roman"/>
          <w:b/>
          <w:bCs/>
          <w:sz w:val="32"/>
          <w:szCs w:val="22"/>
        </w:rPr>
      </w:pPr>
      <w:r>
        <w:rPr>
          <w:rFonts w:ascii="Times New Roman" w:hAnsi="Times New Roman" w:eastAsia="仿宋" w:cs="Times New Roman"/>
          <w:b/>
          <w:bCs/>
          <w:sz w:val="32"/>
          <w:szCs w:val="22"/>
        </w:rPr>
        <w:t>5.撰写绩效评价报告</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评价工作组根据专家</w:t>
      </w:r>
      <w:r>
        <w:rPr>
          <w:rFonts w:hint="eastAsia" w:ascii="Times New Roman" w:hAnsi="Times New Roman" w:eastAsia="仿宋" w:cs="Times New Roman"/>
          <w:sz w:val="32"/>
          <w:szCs w:val="22"/>
        </w:rPr>
        <w:t>评价</w:t>
      </w:r>
      <w:r>
        <w:rPr>
          <w:rFonts w:ascii="Times New Roman" w:hAnsi="Times New Roman" w:eastAsia="仿宋" w:cs="Times New Roman"/>
          <w:sz w:val="32"/>
          <w:szCs w:val="22"/>
        </w:rPr>
        <w:t>意见，完成绩效评价报告初稿撰写，与</w:t>
      </w:r>
      <w:r>
        <w:rPr>
          <w:rFonts w:hint="eastAsia" w:ascii="Times New Roman" w:hAnsi="Times New Roman" w:eastAsia="仿宋" w:cs="Times New Roman"/>
          <w:sz w:val="32"/>
          <w:szCs w:val="22"/>
        </w:rPr>
        <w:t>市经济和信息化局</w:t>
      </w:r>
      <w:r>
        <w:rPr>
          <w:rFonts w:ascii="Times New Roman" w:hAnsi="Times New Roman" w:eastAsia="仿宋" w:cs="Times New Roman"/>
          <w:sz w:val="32"/>
          <w:szCs w:val="22"/>
        </w:rPr>
        <w:t>及项目单位沟通后，形成最终评价报告。</w:t>
      </w:r>
    </w:p>
    <w:bookmarkEnd w:id="69"/>
    <w:p>
      <w:pPr>
        <w:pStyle w:val="2"/>
        <w:widowControl w:val="0"/>
        <w:spacing w:line="560" w:lineRule="exact"/>
        <w:ind w:firstLine="640" w:firstLineChars="200"/>
        <w:outlineLvl w:val="0"/>
        <w:rPr>
          <w:rFonts w:ascii="Times New Roman" w:hAnsi="Times New Roman" w:eastAsia="黑体"/>
        </w:rPr>
      </w:pPr>
      <w:bookmarkStart w:id="70" w:name="_Toc13106"/>
      <w:r>
        <w:rPr>
          <w:rFonts w:ascii="Times New Roman" w:hAnsi="Times New Roman" w:eastAsia="黑体"/>
        </w:rPr>
        <w:t>三、综合评价情况及评价结论</w:t>
      </w:r>
      <w:bookmarkEnd w:id="70"/>
    </w:p>
    <w:p>
      <w:pPr>
        <w:spacing w:line="560" w:lineRule="exact"/>
        <w:ind w:firstLine="640" w:firstLineChars="200"/>
        <w:rPr>
          <w:rFonts w:ascii="Times New Roman" w:hAnsi="Times New Roman" w:eastAsia="仿宋" w:cs="Times New Roman"/>
          <w:sz w:val="32"/>
          <w:szCs w:val="22"/>
        </w:rPr>
      </w:pPr>
      <w:r>
        <w:rPr>
          <w:rFonts w:hint="eastAsia" w:ascii="Times New Roman" w:hAnsi="Times New Roman" w:eastAsia="仿宋" w:cs="Times New Roman"/>
          <w:sz w:val="32"/>
          <w:szCs w:val="22"/>
        </w:rPr>
        <w:t>2021年度，</w:t>
      </w:r>
      <w:r>
        <w:rPr>
          <w:rFonts w:ascii="Times New Roman" w:hAnsi="Times New Roman" w:eastAsia="仿宋" w:cs="Times New Roman"/>
          <w:sz w:val="32"/>
          <w:szCs w:val="22"/>
        </w:rPr>
        <w:t>项目</w:t>
      </w:r>
      <w:r>
        <w:rPr>
          <w:rFonts w:hint="eastAsia" w:ascii="Times New Roman" w:hAnsi="Times New Roman" w:eastAsia="仿宋" w:cs="Times New Roman"/>
          <w:sz w:val="32"/>
          <w:szCs w:val="22"/>
        </w:rPr>
        <w:t>完成</w:t>
      </w:r>
      <w:r>
        <w:rPr>
          <w:rFonts w:ascii="Times New Roman" w:hAnsi="Times New Roman" w:eastAsia="仿宋" w:cs="Times New Roman"/>
          <w:sz w:val="32"/>
          <w:szCs w:val="22"/>
        </w:rPr>
        <w:t>政府网站集约化平台政务云服务租用、政府网站集约化平台安全接入及运维、政府网站集约化平台应用系统运维、政府网站集约化平台业务运维</w:t>
      </w:r>
      <w:r>
        <w:rPr>
          <w:rFonts w:hint="eastAsia" w:ascii="Times New Roman" w:hAnsi="Times New Roman" w:eastAsia="仿宋" w:cs="Times New Roman"/>
          <w:sz w:val="32"/>
          <w:szCs w:val="22"/>
        </w:rPr>
        <w:t>等四项服务及运维内容</w:t>
      </w:r>
      <w:r>
        <w:rPr>
          <w:rFonts w:ascii="Times New Roman" w:hAnsi="Times New Roman" w:eastAsia="仿宋" w:cs="Times New Roman"/>
          <w:sz w:val="32"/>
          <w:szCs w:val="22"/>
        </w:rPr>
        <w:t>，持续优化政府网站建设的统一标准规范，统一采买集约化平台各类技术组件和政务云服务资源，</w:t>
      </w:r>
      <w:r>
        <w:rPr>
          <w:rFonts w:hint="eastAsia" w:ascii="Times New Roman" w:hAnsi="Times New Roman" w:eastAsia="仿宋" w:cs="Times New Roman"/>
          <w:sz w:val="32"/>
          <w:szCs w:val="22"/>
        </w:rPr>
        <w:t>为</w:t>
      </w:r>
      <w:r>
        <w:rPr>
          <w:rFonts w:ascii="Times New Roman" w:hAnsi="Times New Roman" w:eastAsia="仿宋" w:cs="Times New Roman"/>
          <w:sz w:val="32"/>
          <w:szCs w:val="22"/>
        </w:rPr>
        <w:t>集约化平台</w:t>
      </w:r>
      <w:r>
        <w:rPr>
          <w:rFonts w:hint="eastAsia" w:ascii="Times New Roman" w:hAnsi="Times New Roman" w:eastAsia="仿宋" w:cs="Times New Roman"/>
          <w:sz w:val="32"/>
          <w:szCs w:val="22"/>
        </w:rPr>
        <w:t>提供</w:t>
      </w:r>
      <w:r>
        <w:rPr>
          <w:rFonts w:ascii="Times New Roman" w:hAnsi="Times New Roman" w:eastAsia="仿宋" w:cs="Times New Roman"/>
          <w:sz w:val="32"/>
          <w:szCs w:val="22"/>
        </w:rPr>
        <w:t>整体的统一运维监管、统一安全防护服务</w:t>
      </w:r>
      <w:r>
        <w:rPr>
          <w:rFonts w:hint="eastAsia" w:ascii="Times New Roman" w:hAnsi="Times New Roman" w:eastAsia="仿宋" w:cs="Times New Roman"/>
          <w:sz w:val="32"/>
          <w:szCs w:val="22"/>
        </w:rPr>
        <w:t>；</w:t>
      </w:r>
      <w:r>
        <w:rPr>
          <w:rFonts w:ascii="Times New Roman" w:hAnsi="Times New Roman" w:eastAsia="仿宋" w:cs="Times New Roman"/>
          <w:sz w:val="32"/>
          <w:szCs w:val="22"/>
        </w:rPr>
        <w:t>运维和应用全市统一信息资源库，提供全市政府网站的统一信息资源管理</w:t>
      </w:r>
      <w:r>
        <w:rPr>
          <w:rFonts w:hint="eastAsia" w:ascii="Times New Roman" w:hAnsi="Times New Roman" w:eastAsia="仿宋" w:cs="Times New Roman"/>
          <w:sz w:val="32"/>
          <w:szCs w:val="22"/>
        </w:rPr>
        <w:t>；</w:t>
      </w:r>
      <w:r>
        <w:rPr>
          <w:rFonts w:ascii="Times New Roman" w:hAnsi="Times New Roman" w:eastAsia="仿宋" w:cs="Times New Roman"/>
          <w:bCs/>
          <w:sz w:val="32"/>
          <w:szCs w:val="20"/>
        </w:rPr>
        <w:t>实现</w:t>
      </w:r>
      <w:r>
        <w:rPr>
          <w:rFonts w:hint="eastAsia" w:ascii="仿宋" w:hAnsi="仿宋" w:eastAsia="仿宋" w:cs="仿宋"/>
          <w:bCs/>
          <w:sz w:val="32"/>
          <w:szCs w:val="20"/>
        </w:rPr>
        <w:t>“一网通查”“一网通答”“一网通办”</w:t>
      </w:r>
      <w:r>
        <w:rPr>
          <w:rFonts w:ascii="Times New Roman" w:hAnsi="Times New Roman" w:eastAsia="仿宋" w:cs="Times New Roman"/>
          <w:bCs/>
          <w:sz w:val="32"/>
          <w:szCs w:val="20"/>
        </w:rPr>
        <w:t>服务</w:t>
      </w:r>
      <w:r>
        <w:rPr>
          <w:rFonts w:hint="eastAsia" w:ascii="Times New Roman" w:hAnsi="Times New Roman" w:eastAsia="仿宋" w:cs="Times New Roman"/>
          <w:bCs/>
          <w:sz w:val="32"/>
          <w:szCs w:val="20"/>
        </w:rPr>
        <w:t>；</w:t>
      </w:r>
      <w:r>
        <w:rPr>
          <w:rFonts w:ascii="Times New Roman" w:hAnsi="Times New Roman" w:eastAsia="仿宋" w:cs="Times New Roman"/>
          <w:bCs/>
          <w:sz w:val="32"/>
          <w:szCs w:val="20"/>
        </w:rPr>
        <w:t>保障</w:t>
      </w:r>
      <w:r>
        <w:rPr>
          <w:rFonts w:ascii="Times New Roman" w:hAnsi="Times New Roman" w:eastAsia="仿宋" w:cs="Times New Roman"/>
          <w:sz w:val="32"/>
          <w:szCs w:val="22"/>
        </w:rPr>
        <w:t>北京市政府门户网站以及全部市级政府部门网站</w:t>
      </w:r>
      <w:r>
        <w:rPr>
          <w:rFonts w:ascii="Times New Roman" w:hAnsi="Times New Roman" w:eastAsia="仿宋" w:cs="Times New Roman"/>
          <w:bCs/>
          <w:sz w:val="32"/>
          <w:szCs w:val="20"/>
        </w:rPr>
        <w:t>整体安全平稳高效运行</w:t>
      </w:r>
      <w:r>
        <w:rPr>
          <w:rFonts w:hint="eastAsia" w:ascii="Times New Roman" w:hAnsi="Times New Roman" w:eastAsia="仿宋" w:cs="Times New Roman"/>
          <w:sz w:val="32"/>
          <w:szCs w:val="22"/>
        </w:rPr>
        <w:t>。</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但本次评价发现，项目在立项程序、绩效目标及指标设置、预算编制、合同管理、过程管理、产出质量</w:t>
      </w:r>
      <w:r>
        <w:rPr>
          <w:rFonts w:hint="eastAsia" w:ascii="Times New Roman" w:hAnsi="Times New Roman" w:eastAsia="仿宋" w:cs="Times New Roman"/>
          <w:sz w:val="32"/>
          <w:szCs w:val="22"/>
        </w:rPr>
        <w:t>考核</w:t>
      </w:r>
      <w:r>
        <w:rPr>
          <w:rFonts w:ascii="Times New Roman" w:hAnsi="Times New Roman" w:eastAsia="仿宋" w:cs="Times New Roman"/>
          <w:sz w:val="32"/>
          <w:szCs w:val="22"/>
        </w:rPr>
        <w:t>等方面仍需进一步完善。根据绩效评价指标体系，综合对项目决策、过程、产出、效益四个方面进行评价，2021年度项目绩效评价综合得分8</w:t>
      </w:r>
      <w:r>
        <w:rPr>
          <w:rFonts w:hint="eastAsia" w:ascii="Times New Roman" w:hAnsi="Times New Roman" w:eastAsia="仿宋" w:cs="Times New Roman"/>
          <w:sz w:val="32"/>
          <w:szCs w:val="22"/>
        </w:rPr>
        <w:t>4</w:t>
      </w:r>
      <w:r>
        <w:rPr>
          <w:rFonts w:ascii="Times New Roman" w:hAnsi="Times New Roman" w:eastAsia="仿宋" w:cs="Times New Roman"/>
          <w:sz w:val="32"/>
          <w:szCs w:val="22"/>
        </w:rPr>
        <w:t>.</w:t>
      </w:r>
      <w:r>
        <w:rPr>
          <w:rFonts w:hint="eastAsia" w:ascii="Times New Roman" w:hAnsi="Times New Roman" w:eastAsia="仿宋" w:cs="Times New Roman"/>
          <w:sz w:val="32"/>
          <w:szCs w:val="22"/>
        </w:rPr>
        <w:t>80</w:t>
      </w:r>
      <w:r>
        <w:rPr>
          <w:rFonts w:ascii="Times New Roman" w:hAnsi="Times New Roman" w:eastAsia="仿宋" w:cs="Times New Roman"/>
          <w:sz w:val="32"/>
          <w:szCs w:val="22"/>
        </w:rPr>
        <w:t>分</w:t>
      </w:r>
      <w:r>
        <w:rPr>
          <w:rFonts w:hint="eastAsia" w:ascii="Times New Roman" w:hAnsi="Times New Roman" w:eastAsia="仿宋" w:cs="Times New Roman"/>
          <w:sz w:val="32"/>
          <w:szCs w:val="22"/>
        </w:rPr>
        <w:t>（详见表</w:t>
      </w:r>
      <w:r>
        <w:rPr>
          <w:rFonts w:hint="eastAsia" w:ascii="Times New Roman" w:hAnsi="Times New Roman" w:eastAsia="仿宋" w:cs="Times New Roman"/>
          <w:sz w:val="32"/>
          <w:szCs w:val="22"/>
          <w:lang w:val="en-US" w:eastAsia="zh-CN"/>
        </w:rPr>
        <w:t>4</w:t>
      </w:r>
      <w:r>
        <w:rPr>
          <w:rFonts w:hint="eastAsia" w:ascii="Times New Roman" w:hAnsi="Times New Roman" w:eastAsia="仿宋" w:cs="Times New Roman"/>
          <w:sz w:val="32"/>
          <w:szCs w:val="22"/>
        </w:rPr>
        <w:t>）</w:t>
      </w:r>
      <w:r>
        <w:rPr>
          <w:rFonts w:ascii="Times New Roman" w:hAnsi="Times New Roman" w:eastAsia="仿宋" w:cs="Times New Roman"/>
          <w:sz w:val="32"/>
          <w:szCs w:val="22"/>
        </w:rPr>
        <w:t>，绩效评定结论为</w:t>
      </w:r>
      <w:r>
        <w:rPr>
          <w:rFonts w:hint="eastAsia" w:ascii="Times New Roman" w:hAnsi="Times New Roman" w:eastAsia="仿宋" w:cs="Times New Roman"/>
          <w:sz w:val="32"/>
          <w:szCs w:val="22"/>
        </w:rPr>
        <w:t>“</w:t>
      </w:r>
      <w:r>
        <w:rPr>
          <w:rFonts w:ascii="Times New Roman" w:hAnsi="Times New Roman" w:eastAsia="仿宋" w:cs="Times New Roman"/>
          <w:sz w:val="32"/>
          <w:szCs w:val="22"/>
        </w:rPr>
        <w:t>良</w:t>
      </w:r>
      <w:r>
        <w:rPr>
          <w:rFonts w:hint="eastAsia" w:ascii="Times New Roman" w:hAnsi="Times New Roman" w:eastAsia="仿宋" w:cs="Times New Roman"/>
          <w:sz w:val="32"/>
          <w:szCs w:val="22"/>
        </w:rPr>
        <w:t>”</w:t>
      </w:r>
      <w:r>
        <w:rPr>
          <w:rFonts w:ascii="Times New Roman" w:hAnsi="Times New Roman" w:eastAsia="仿宋" w:cs="Times New Roman"/>
          <w:sz w:val="32"/>
          <w:szCs w:val="22"/>
        </w:rPr>
        <w:t>。</w:t>
      </w:r>
      <w:r>
        <w:rPr>
          <w:rFonts w:ascii="Times New Roman" w:hAnsi="Times New Roman" w:eastAsia="仿宋" w:cs="Times New Roman"/>
          <w:sz w:val="32"/>
          <w:szCs w:val="32"/>
        </w:rPr>
        <w:t>具体评分情况见附件1</w:t>
      </w:r>
      <w:r>
        <w:rPr>
          <w:rFonts w:ascii="Times New Roman" w:hAnsi="Times New Roman" w:eastAsia="仿宋" w:cs="Times New Roman"/>
          <w:sz w:val="32"/>
          <w:szCs w:val="22"/>
        </w:rPr>
        <w:t>。</w:t>
      </w:r>
    </w:p>
    <w:p>
      <w:pPr>
        <w:adjustRightInd w:val="0"/>
        <w:snapToGrid w:val="0"/>
        <w:spacing w:after="163" w:afterLines="50" w:line="560" w:lineRule="exact"/>
        <w:jc w:val="center"/>
        <w:rPr>
          <w:rFonts w:hint="eastAsia" w:ascii="黑体" w:hAnsi="黑体" w:eastAsia="黑体" w:cs="黑体"/>
          <w:color w:val="000000"/>
          <w:kern w:val="0"/>
          <w:sz w:val="28"/>
          <w:szCs w:val="28"/>
        </w:rPr>
      </w:pPr>
      <w:r>
        <w:rPr>
          <w:rFonts w:hint="eastAsia" w:ascii="黑体" w:hAnsi="黑体" w:eastAsia="黑体" w:cs="黑体"/>
          <w:color w:val="000000"/>
          <w:kern w:val="0"/>
          <w:sz w:val="28"/>
          <w:szCs w:val="28"/>
        </w:rPr>
        <w:t>表</w:t>
      </w:r>
      <w:r>
        <w:rPr>
          <w:rFonts w:hint="eastAsia" w:ascii="黑体" w:hAnsi="黑体" w:eastAsia="黑体" w:cs="黑体"/>
          <w:color w:val="000000"/>
          <w:kern w:val="0"/>
          <w:sz w:val="28"/>
          <w:szCs w:val="28"/>
          <w:lang w:val="en-US" w:eastAsia="zh-CN"/>
        </w:rPr>
        <w:t>4</w:t>
      </w:r>
      <w:r>
        <w:rPr>
          <w:rFonts w:hint="eastAsia" w:ascii="黑体" w:hAnsi="黑体" w:eastAsia="黑体" w:cs="黑体"/>
          <w:color w:val="000000"/>
          <w:kern w:val="0"/>
          <w:sz w:val="28"/>
          <w:szCs w:val="28"/>
        </w:rPr>
        <w:t xml:space="preserve"> 综合绩效评价得分情况表</w:t>
      </w:r>
    </w:p>
    <w:tbl>
      <w:tblPr>
        <w:tblStyle w:val="17"/>
        <w:tblW w:w="90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37"/>
        <w:gridCol w:w="1774"/>
        <w:gridCol w:w="1775"/>
        <w:gridCol w:w="17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blHeader/>
          <w:jc w:val="center"/>
        </w:trPr>
        <w:tc>
          <w:tcPr>
            <w:tcW w:w="3737" w:type="dxa"/>
            <w:shd w:val="clear" w:color="auto" w:fill="BEBEBE" w:themeFill="background1" w:themeFillShade="BF"/>
            <w:vAlign w:val="center"/>
          </w:tcPr>
          <w:p>
            <w:pPr>
              <w:jc w:val="center"/>
              <w:rPr>
                <w:rFonts w:ascii="Times New Roman" w:hAnsi="Times New Roman" w:eastAsia="宋体" w:cs="Times New Roman"/>
                <w:b/>
              </w:rPr>
            </w:pPr>
            <w:r>
              <w:rPr>
                <w:rFonts w:hint="eastAsia" w:ascii="Times New Roman" w:hAnsi="Times New Roman" w:eastAsia="宋体" w:cs="Times New Roman"/>
                <w:b/>
              </w:rPr>
              <w:t>评价内容</w:t>
            </w:r>
          </w:p>
        </w:tc>
        <w:tc>
          <w:tcPr>
            <w:tcW w:w="1774" w:type="dxa"/>
            <w:shd w:val="clear" w:color="auto" w:fill="BEBEBE" w:themeFill="background1" w:themeFillShade="BF"/>
            <w:vAlign w:val="center"/>
          </w:tcPr>
          <w:p>
            <w:pPr>
              <w:jc w:val="center"/>
              <w:rPr>
                <w:rFonts w:ascii="Times New Roman" w:hAnsi="Times New Roman" w:eastAsia="宋体" w:cs="Times New Roman"/>
                <w:b/>
              </w:rPr>
            </w:pPr>
            <w:r>
              <w:rPr>
                <w:rFonts w:hint="eastAsia" w:ascii="Times New Roman" w:hAnsi="Times New Roman" w:eastAsia="宋体" w:cs="Times New Roman"/>
                <w:b/>
              </w:rPr>
              <w:t>标准</w:t>
            </w:r>
            <w:r>
              <w:rPr>
                <w:rFonts w:ascii="Times New Roman" w:hAnsi="Times New Roman" w:eastAsia="宋体" w:cs="Times New Roman"/>
                <w:b/>
              </w:rPr>
              <w:t>分值</w:t>
            </w:r>
          </w:p>
        </w:tc>
        <w:tc>
          <w:tcPr>
            <w:tcW w:w="1775" w:type="dxa"/>
            <w:shd w:val="clear" w:color="auto" w:fill="BEBEBE" w:themeFill="background1" w:themeFillShade="BF"/>
            <w:vAlign w:val="center"/>
          </w:tcPr>
          <w:p>
            <w:pPr>
              <w:jc w:val="center"/>
              <w:rPr>
                <w:rFonts w:ascii="Times New Roman" w:hAnsi="Times New Roman" w:eastAsia="宋体" w:cs="Times New Roman"/>
                <w:b/>
              </w:rPr>
            </w:pPr>
            <w:r>
              <w:rPr>
                <w:rFonts w:hint="eastAsia" w:ascii="Times New Roman" w:hAnsi="Times New Roman" w:eastAsia="宋体" w:cs="Times New Roman"/>
                <w:b/>
              </w:rPr>
              <w:t>评价</w:t>
            </w:r>
            <w:r>
              <w:rPr>
                <w:rFonts w:ascii="Times New Roman" w:hAnsi="Times New Roman" w:eastAsia="宋体" w:cs="Times New Roman"/>
                <w:b/>
              </w:rPr>
              <w:t>得分</w:t>
            </w:r>
          </w:p>
        </w:tc>
        <w:tc>
          <w:tcPr>
            <w:tcW w:w="1774"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737" w:type="dxa"/>
            <w:vAlign w:val="center"/>
          </w:tcPr>
          <w:p>
            <w:pPr>
              <w:jc w:val="center"/>
              <w:rPr>
                <w:rFonts w:ascii="Times New Roman" w:hAnsi="Times New Roman" w:eastAsia="宋体" w:cs="Times New Roman"/>
              </w:rPr>
            </w:pPr>
            <w:r>
              <w:rPr>
                <w:rFonts w:hint="eastAsia" w:ascii="Times New Roman" w:hAnsi="Times New Roman" w:eastAsia="宋体" w:cs="Times New Roman"/>
              </w:rPr>
              <w:t>决策</w:t>
            </w:r>
          </w:p>
        </w:tc>
        <w:tc>
          <w:tcPr>
            <w:tcW w:w="1774" w:type="dxa"/>
            <w:vAlign w:val="center"/>
          </w:tcPr>
          <w:p>
            <w:pPr>
              <w:jc w:val="center"/>
              <w:rPr>
                <w:rFonts w:ascii="Times New Roman" w:hAnsi="Times New Roman" w:eastAsia="宋体" w:cs="Times New Roman"/>
              </w:rPr>
            </w:pPr>
            <w:r>
              <w:rPr>
                <w:rFonts w:hint="eastAsia" w:ascii="Times New Roman" w:hAnsi="Times New Roman" w:eastAsia="宋体" w:cs="Times New Roman"/>
              </w:rPr>
              <w:t>20.00</w:t>
            </w:r>
          </w:p>
        </w:tc>
        <w:tc>
          <w:tcPr>
            <w:tcW w:w="1775"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16.14</w:t>
            </w:r>
          </w:p>
        </w:tc>
        <w:tc>
          <w:tcPr>
            <w:tcW w:w="1774" w:type="dxa"/>
            <w:vAlign w:val="center"/>
          </w:tcPr>
          <w:p>
            <w:pPr>
              <w:widowControl/>
              <w:jc w:val="center"/>
              <w:textAlignment w:val="center"/>
              <w:rPr>
                <w:rFonts w:ascii="Times New Roman" w:hAnsi="Times New Roman" w:eastAsia="宋体" w:cs="Times New Roman"/>
              </w:rPr>
            </w:pPr>
            <w:r>
              <w:rPr>
                <w:rFonts w:hint="eastAsia" w:ascii="Times New Roman" w:hAnsi="Times New Roman" w:eastAsia="宋体" w:cs="Times New Roman"/>
              </w:rPr>
              <w:t>80.70%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737" w:type="dxa"/>
            <w:vAlign w:val="center"/>
          </w:tcPr>
          <w:p>
            <w:pPr>
              <w:jc w:val="center"/>
              <w:rPr>
                <w:rFonts w:ascii="Times New Roman" w:hAnsi="Times New Roman" w:eastAsia="宋体" w:cs="Times New Roman"/>
              </w:rPr>
            </w:pPr>
            <w:r>
              <w:rPr>
                <w:rFonts w:hint="eastAsia" w:ascii="Times New Roman" w:hAnsi="Times New Roman" w:eastAsia="宋体" w:cs="Times New Roman"/>
              </w:rPr>
              <w:t>过程</w:t>
            </w:r>
          </w:p>
        </w:tc>
        <w:tc>
          <w:tcPr>
            <w:tcW w:w="1774" w:type="dxa"/>
            <w:vAlign w:val="center"/>
          </w:tcPr>
          <w:p>
            <w:pPr>
              <w:jc w:val="center"/>
              <w:rPr>
                <w:rFonts w:ascii="Times New Roman" w:hAnsi="Times New Roman" w:eastAsia="宋体" w:cs="Times New Roman"/>
              </w:rPr>
            </w:pPr>
            <w:r>
              <w:rPr>
                <w:rFonts w:hint="eastAsia" w:ascii="Times New Roman" w:hAnsi="Times New Roman" w:eastAsia="宋体" w:cs="Times New Roman"/>
              </w:rPr>
              <w:t>20.00</w:t>
            </w:r>
          </w:p>
        </w:tc>
        <w:tc>
          <w:tcPr>
            <w:tcW w:w="1775" w:type="dxa"/>
            <w:vAlign w:val="center"/>
          </w:tcPr>
          <w:p>
            <w:pPr>
              <w:widowControl/>
              <w:jc w:val="center"/>
              <w:textAlignment w:val="center"/>
              <w:rPr>
                <w:rFonts w:ascii="Times New Roman" w:hAnsi="Times New Roman" w:eastAsia="宋体" w:cs="Times New Roman"/>
              </w:rPr>
            </w:pPr>
            <w:r>
              <w:rPr>
                <w:rFonts w:hint="eastAsia" w:ascii="Times New Roman" w:hAnsi="Times New Roman" w:eastAsia="宋体" w:cs="Times New Roman"/>
              </w:rPr>
              <w:t>17.06</w:t>
            </w:r>
          </w:p>
        </w:tc>
        <w:tc>
          <w:tcPr>
            <w:tcW w:w="1774" w:type="dxa"/>
            <w:vAlign w:val="center"/>
          </w:tcPr>
          <w:p>
            <w:pPr>
              <w:widowControl/>
              <w:jc w:val="center"/>
              <w:textAlignment w:val="center"/>
              <w:rPr>
                <w:rFonts w:ascii="Times New Roman" w:hAnsi="Times New Roman" w:eastAsia="宋体" w:cs="Times New Roman"/>
              </w:rPr>
            </w:pPr>
            <w:r>
              <w:rPr>
                <w:rFonts w:hint="eastAsia" w:ascii="Times New Roman" w:hAnsi="Times New Roman" w:eastAsia="宋体" w:cs="Times New Roman"/>
              </w:rPr>
              <w:t>85.30%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737" w:type="dxa"/>
            <w:vAlign w:val="center"/>
          </w:tcPr>
          <w:p>
            <w:pPr>
              <w:jc w:val="center"/>
              <w:rPr>
                <w:rFonts w:ascii="Times New Roman" w:hAnsi="Times New Roman" w:eastAsia="宋体" w:cs="Times New Roman"/>
              </w:rPr>
            </w:pPr>
            <w:r>
              <w:rPr>
                <w:rFonts w:hint="eastAsia" w:ascii="Times New Roman" w:hAnsi="Times New Roman" w:eastAsia="宋体" w:cs="Times New Roman"/>
              </w:rPr>
              <w:t>产出</w:t>
            </w:r>
          </w:p>
        </w:tc>
        <w:tc>
          <w:tcPr>
            <w:tcW w:w="1774" w:type="dxa"/>
            <w:vAlign w:val="center"/>
          </w:tcPr>
          <w:p>
            <w:pPr>
              <w:jc w:val="center"/>
              <w:rPr>
                <w:rFonts w:ascii="Times New Roman" w:hAnsi="Times New Roman" w:eastAsia="宋体" w:cs="Times New Roman"/>
              </w:rPr>
            </w:pPr>
            <w:r>
              <w:rPr>
                <w:rFonts w:hint="eastAsia" w:ascii="Times New Roman" w:hAnsi="Times New Roman" w:eastAsia="宋体" w:cs="Times New Roman"/>
              </w:rPr>
              <w:t>30.00</w:t>
            </w:r>
          </w:p>
        </w:tc>
        <w:tc>
          <w:tcPr>
            <w:tcW w:w="1775" w:type="dxa"/>
            <w:vAlign w:val="center"/>
          </w:tcPr>
          <w:p>
            <w:pPr>
              <w:widowControl/>
              <w:jc w:val="center"/>
              <w:textAlignment w:val="center"/>
              <w:rPr>
                <w:rFonts w:ascii="Times New Roman" w:hAnsi="Times New Roman" w:eastAsia="宋体" w:cs="Times New Roman"/>
              </w:rPr>
            </w:pPr>
            <w:r>
              <w:rPr>
                <w:rFonts w:hint="eastAsia" w:ascii="Times New Roman" w:hAnsi="Times New Roman" w:eastAsia="宋体" w:cs="Times New Roman"/>
              </w:rPr>
              <w:t>25.70</w:t>
            </w:r>
          </w:p>
        </w:tc>
        <w:tc>
          <w:tcPr>
            <w:tcW w:w="1774" w:type="dxa"/>
            <w:vAlign w:val="center"/>
          </w:tcPr>
          <w:p>
            <w:pPr>
              <w:widowControl/>
              <w:jc w:val="center"/>
              <w:textAlignment w:val="center"/>
              <w:rPr>
                <w:rFonts w:ascii="Times New Roman" w:hAnsi="Times New Roman" w:eastAsia="宋体" w:cs="Times New Roman"/>
              </w:rPr>
            </w:pPr>
            <w:r>
              <w:rPr>
                <w:rFonts w:hint="eastAsia" w:ascii="Times New Roman" w:hAnsi="Times New Roman" w:eastAsia="宋体" w:cs="Times New Roman"/>
              </w:rPr>
              <w:t>85.67%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737" w:type="dxa"/>
            <w:vAlign w:val="center"/>
          </w:tcPr>
          <w:p>
            <w:pPr>
              <w:jc w:val="center"/>
              <w:rPr>
                <w:rFonts w:ascii="Times New Roman" w:hAnsi="Times New Roman" w:eastAsia="宋体" w:cs="Times New Roman"/>
              </w:rPr>
            </w:pPr>
            <w:r>
              <w:rPr>
                <w:rFonts w:hint="eastAsia" w:ascii="Times New Roman" w:hAnsi="Times New Roman" w:eastAsia="宋体" w:cs="Times New Roman"/>
              </w:rPr>
              <w:t>效益</w:t>
            </w:r>
          </w:p>
        </w:tc>
        <w:tc>
          <w:tcPr>
            <w:tcW w:w="1774" w:type="dxa"/>
            <w:vAlign w:val="center"/>
          </w:tcPr>
          <w:p>
            <w:pPr>
              <w:jc w:val="center"/>
              <w:rPr>
                <w:rFonts w:ascii="Times New Roman" w:hAnsi="Times New Roman" w:eastAsia="宋体" w:cs="Times New Roman"/>
              </w:rPr>
            </w:pPr>
            <w:r>
              <w:rPr>
                <w:rFonts w:hint="eastAsia" w:ascii="Times New Roman" w:hAnsi="Times New Roman" w:eastAsia="宋体" w:cs="Times New Roman"/>
              </w:rPr>
              <w:t>30.00</w:t>
            </w:r>
          </w:p>
        </w:tc>
        <w:tc>
          <w:tcPr>
            <w:tcW w:w="1775" w:type="dxa"/>
            <w:vAlign w:val="center"/>
          </w:tcPr>
          <w:p>
            <w:pPr>
              <w:widowControl/>
              <w:jc w:val="center"/>
              <w:textAlignment w:val="center"/>
              <w:rPr>
                <w:rFonts w:ascii="Times New Roman" w:hAnsi="Times New Roman" w:eastAsia="宋体" w:cs="Times New Roman"/>
              </w:rPr>
            </w:pPr>
            <w:r>
              <w:rPr>
                <w:rFonts w:hint="eastAsia" w:ascii="Times New Roman" w:hAnsi="Times New Roman" w:eastAsia="宋体" w:cs="Times New Roman"/>
              </w:rPr>
              <w:t>25.90</w:t>
            </w:r>
          </w:p>
        </w:tc>
        <w:tc>
          <w:tcPr>
            <w:tcW w:w="1774" w:type="dxa"/>
            <w:vAlign w:val="center"/>
          </w:tcPr>
          <w:p>
            <w:pPr>
              <w:widowControl/>
              <w:jc w:val="center"/>
              <w:textAlignment w:val="center"/>
              <w:rPr>
                <w:rFonts w:ascii="Times New Roman" w:hAnsi="Times New Roman" w:eastAsia="宋体" w:cs="Times New Roman"/>
              </w:rPr>
            </w:pPr>
            <w:r>
              <w:rPr>
                <w:rFonts w:hint="eastAsia" w:ascii="Times New Roman" w:hAnsi="Times New Roman" w:eastAsia="宋体" w:cs="Times New Roman"/>
              </w:rPr>
              <w:t>86.33%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737" w:type="dxa"/>
            <w:vAlign w:val="center"/>
          </w:tcPr>
          <w:p>
            <w:pPr>
              <w:jc w:val="center"/>
              <w:rPr>
                <w:rFonts w:ascii="Times New Roman" w:hAnsi="Times New Roman" w:eastAsia="宋体" w:cs="Times New Roman"/>
              </w:rPr>
            </w:pPr>
            <w:r>
              <w:rPr>
                <w:rFonts w:hint="eastAsia" w:ascii="Times New Roman" w:hAnsi="Times New Roman" w:eastAsia="宋体" w:cs="Times New Roman"/>
              </w:rPr>
              <w:t>综合得分</w:t>
            </w:r>
          </w:p>
        </w:tc>
        <w:tc>
          <w:tcPr>
            <w:tcW w:w="1774" w:type="dxa"/>
            <w:vAlign w:val="center"/>
          </w:tcPr>
          <w:p>
            <w:pPr>
              <w:jc w:val="center"/>
              <w:rPr>
                <w:rFonts w:ascii="Times New Roman" w:hAnsi="Times New Roman" w:eastAsia="宋体" w:cs="Times New Roman"/>
              </w:rPr>
            </w:pPr>
            <w:r>
              <w:rPr>
                <w:rFonts w:hint="eastAsia" w:ascii="Times New Roman" w:hAnsi="Times New Roman" w:eastAsia="宋体" w:cs="Times New Roman"/>
              </w:rPr>
              <w:t>100.00</w:t>
            </w:r>
          </w:p>
        </w:tc>
        <w:tc>
          <w:tcPr>
            <w:tcW w:w="1775" w:type="dxa"/>
            <w:vAlign w:val="center"/>
          </w:tcPr>
          <w:p>
            <w:pPr>
              <w:widowControl/>
              <w:jc w:val="center"/>
              <w:textAlignment w:val="center"/>
              <w:rPr>
                <w:rFonts w:ascii="Times New Roman" w:hAnsi="Times New Roman" w:eastAsia="宋体" w:cs="Times New Roman"/>
              </w:rPr>
            </w:pPr>
            <w:r>
              <w:rPr>
                <w:rFonts w:hint="eastAsia" w:ascii="Times New Roman" w:hAnsi="Times New Roman" w:eastAsia="宋体" w:cs="Times New Roman"/>
              </w:rPr>
              <w:t>84.80</w:t>
            </w:r>
          </w:p>
        </w:tc>
        <w:tc>
          <w:tcPr>
            <w:tcW w:w="1774" w:type="dxa"/>
            <w:vAlign w:val="center"/>
          </w:tcPr>
          <w:p>
            <w:pPr>
              <w:widowControl/>
              <w:jc w:val="center"/>
              <w:textAlignment w:val="center"/>
              <w:rPr>
                <w:rFonts w:ascii="Times New Roman" w:hAnsi="Times New Roman" w:eastAsia="宋体" w:cs="Times New Roman"/>
              </w:rPr>
            </w:pPr>
            <w:r>
              <w:rPr>
                <w:rFonts w:hint="eastAsia" w:ascii="Times New Roman" w:hAnsi="Times New Roman" w:eastAsia="宋体" w:cs="Times New Roman"/>
              </w:rPr>
              <w:t>84.80%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737" w:type="dxa"/>
            <w:vAlign w:val="center"/>
          </w:tcPr>
          <w:p>
            <w:pPr>
              <w:jc w:val="center"/>
              <w:rPr>
                <w:rFonts w:ascii="Times New Roman" w:hAnsi="Times New Roman" w:eastAsia="宋体" w:cs="Times New Roman"/>
              </w:rPr>
            </w:pPr>
            <w:r>
              <w:rPr>
                <w:rFonts w:hint="eastAsia" w:ascii="Times New Roman" w:hAnsi="Times New Roman" w:eastAsia="宋体" w:cs="Times New Roman"/>
              </w:rPr>
              <w:t>绩效评定等级</w:t>
            </w:r>
          </w:p>
        </w:tc>
        <w:tc>
          <w:tcPr>
            <w:tcW w:w="5323" w:type="dxa"/>
            <w:gridSpan w:val="3"/>
            <w:vAlign w:val="center"/>
          </w:tcPr>
          <w:p>
            <w:pPr>
              <w:widowControl/>
              <w:jc w:val="center"/>
              <w:textAlignment w:val="center"/>
              <w:rPr>
                <w:rFonts w:ascii="Times New Roman" w:hAnsi="Times New Roman" w:eastAsia="宋体" w:cs="Times New Roman"/>
              </w:rPr>
            </w:pPr>
            <w:r>
              <w:rPr>
                <w:rFonts w:hint="eastAsia" w:ascii="Times New Roman" w:hAnsi="Times New Roman" w:eastAsia="宋体" w:cs="Times New Roman"/>
                <w:b/>
                <w:bCs/>
              </w:rPr>
              <w:t>良</w:t>
            </w:r>
          </w:p>
        </w:tc>
      </w:tr>
    </w:tbl>
    <w:p>
      <w:pPr>
        <w:spacing w:line="560" w:lineRule="exact"/>
        <w:outlineLvl w:val="2"/>
        <w:rPr>
          <w:rFonts w:ascii="Times New Roman" w:hAnsi="Times New Roman" w:eastAsia="仿宋" w:cs="Times New Roman"/>
          <w:bCs/>
          <w:sz w:val="32"/>
          <w:szCs w:val="20"/>
        </w:rPr>
      </w:pPr>
    </w:p>
    <w:p>
      <w:pPr>
        <w:pStyle w:val="2"/>
        <w:widowControl w:val="0"/>
        <w:spacing w:line="560" w:lineRule="exact"/>
        <w:ind w:firstLine="640" w:firstLineChars="200"/>
        <w:outlineLvl w:val="0"/>
        <w:rPr>
          <w:rFonts w:ascii="Times New Roman" w:hAnsi="Times New Roman" w:eastAsia="黑体"/>
        </w:rPr>
      </w:pPr>
      <w:bookmarkStart w:id="71" w:name="_Toc24039"/>
      <w:r>
        <w:rPr>
          <w:rFonts w:ascii="Times New Roman" w:hAnsi="Times New Roman" w:eastAsia="黑体"/>
        </w:rPr>
        <w:t>四、绩效评价指标分析</w:t>
      </w:r>
      <w:bookmarkEnd w:id="71"/>
    </w:p>
    <w:p>
      <w:pPr>
        <w:spacing w:line="560" w:lineRule="exact"/>
        <w:ind w:firstLine="640" w:firstLineChars="200"/>
        <w:outlineLvl w:val="1"/>
        <w:rPr>
          <w:rFonts w:ascii="Times New Roman" w:hAnsi="Times New Roman" w:eastAsia="楷体" w:cs="Times New Roman"/>
          <w:sz w:val="32"/>
          <w:szCs w:val="20"/>
        </w:rPr>
      </w:pPr>
      <w:bookmarkStart w:id="72" w:name="_Toc28166"/>
      <w:bookmarkStart w:id="73" w:name="_Toc30381"/>
      <w:bookmarkStart w:id="74" w:name="_Toc22395"/>
      <w:bookmarkStart w:id="75" w:name="_Toc35420697"/>
      <w:bookmarkStart w:id="76" w:name="_Toc9525"/>
      <w:bookmarkStart w:id="77" w:name="_Toc8402"/>
      <w:bookmarkStart w:id="78" w:name="_Toc27638"/>
      <w:bookmarkStart w:id="79" w:name="_Toc28594"/>
      <w:bookmarkStart w:id="80" w:name="_Toc6480"/>
      <w:bookmarkStart w:id="81" w:name="_Toc17492"/>
      <w:bookmarkStart w:id="82" w:name="_Toc24254"/>
      <w:bookmarkStart w:id="83" w:name="_Toc8401"/>
      <w:bookmarkStart w:id="84" w:name="_Toc36129074"/>
      <w:bookmarkStart w:id="85" w:name="_Toc16554"/>
      <w:bookmarkStart w:id="86" w:name="_Toc30230"/>
      <w:bookmarkStart w:id="87" w:name="_Toc23761"/>
      <w:r>
        <w:rPr>
          <w:rFonts w:ascii="Times New Roman" w:hAnsi="Times New Roman" w:eastAsia="楷体" w:cs="Times New Roman"/>
          <w:sz w:val="32"/>
          <w:szCs w:val="20"/>
        </w:rPr>
        <w:t>（一）项目决策情况</w:t>
      </w:r>
      <w:bookmarkEnd w:id="72"/>
      <w:bookmarkEnd w:id="73"/>
      <w:bookmarkEnd w:id="74"/>
      <w:bookmarkEnd w:id="75"/>
      <w:bookmarkEnd w:id="76"/>
      <w:bookmarkEnd w:id="77"/>
      <w:bookmarkEnd w:id="78"/>
      <w:bookmarkEnd w:id="79"/>
      <w:bookmarkEnd w:id="80"/>
      <w:bookmarkEnd w:id="81"/>
      <w:bookmarkEnd w:id="82"/>
      <w:bookmarkEnd w:id="83"/>
      <w:bookmarkEnd w:id="84"/>
      <w:bookmarkEnd w:id="85"/>
      <w:r>
        <w:rPr>
          <w:rFonts w:ascii="Times New Roman" w:hAnsi="Times New Roman" w:eastAsia="楷体" w:cs="Times New Roman"/>
          <w:sz w:val="32"/>
          <w:szCs w:val="20"/>
        </w:rPr>
        <w:t>分析</w:t>
      </w:r>
      <w:bookmarkEnd w:id="86"/>
      <w:bookmarkEnd w:id="87"/>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项目决策指标分值20分，绩效评价得分为</w:t>
      </w:r>
      <w:r>
        <w:rPr>
          <w:rFonts w:hint="eastAsia" w:ascii="Times New Roman" w:hAnsi="Times New Roman" w:eastAsia="仿宋" w:cs="Times New Roman"/>
          <w:sz w:val="32"/>
          <w:szCs w:val="22"/>
        </w:rPr>
        <w:t>16.14</w:t>
      </w:r>
      <w:r>
        <w:rPr>
          <w:rFonts w:ascii="Times New Roman" w:hAnsi="Times New Roman" w:eastAsia="仿宋" w:cs="Times New Roman"/>
          <w:sz w:val="32"/>
          <w:szCs w:val="22"/>
        </w:rPr>
        <w:t>分。下设3个二级指标，6个三级指标。评分详见表</w:t>
      </w:r>
      <w:r>
        <w:rPr>
          <w:rFonts w:hint="eastAsia" w:ascii="Times New Roman" w:hAnsi="Times New Roman" w:eastAsia="仿宋" w:cs="Times New Roman"/>
          <w:sz w:val="32"/>
          <w:szCs w:val="22"/>
          <w:lang w:val="en-US" w:eastAsia="zh-CN"/>
        </w:rPr>
        <w:t>5</w:t>
      </w:r>
      <w:r>
        <w:rPr>
          <w:rFonts w:ascii="Times New Roman" w:hAnsi="Times New Roman" w:eastAsia="仿宋" w:cs="Times New Roman"/>
          <w:sz w:val="32"/>
          <w:szCs w:val="22"/>
        </w:rPr>
        <w:t>。</w:t>
      </w:r>
    </w:p>
    <w:p>
      <w:pPr>
        <w:adjustRightInd w:val="0"/>
        <w:snapToGrid w:val="0"/>
        <w:spacing w:after="163" w:afterLines="50" w:line="560" w:lineRule="exact"/>
        <w:jc w:val="center"/>
        <w:rPr>
          <w:rFonts w:ascii="Times New Roman" w:hAnsi="Times New Roman" w:eastAsia="黑体" w:cs="Times New Roman"/>
          <w:color w:val="000000"/>
          <w:kern w:val="0"/>
          <w:sz w:val="28"/>
          <w:szCs w:val="28"/>
        </w:rPr>
      </w:pPr>
      <w:r>
        <w:rPr>
          <w:rFonts w:ascii="Times New Roman" w:hAnsi="Times New Roman" w:eastAsia="黑体" w:cs="Times New Roman"/>
          <w:color w:val="000000"/>
          <w:kern w:val="0"/>
          <w:sz w:val="28"/>
          <w:szCs w:val="28"/>
        </w:rPr>
        <w:t>表</w:t>
      </w:r>
      <w:r>
        <w:rPr>
          <w:rFonts w:hint="eastAsia" w:ascii="Times New Roman" w:hAnsi="Times New Roman" w:eastAsia="黑体" w:cs="Times New Roman"/>
          <w:color w:val="000000"/>
          <w:kern w:val="0"/>
          <w:sz w:val="28"/>
          <w:szCs w:val="28"/>
          <w:lang w:val="en-US" w:eastAsia="zh-CN"/>
        </w:rPr>
        <w:t>5</w:t>
      </w:r>
      <w:r>
        <w:rPr>
          <w:rFonts w:ascii="Times New Roman" w:hAnsi="Times New Roman" w:eastAsia="黑体" w:cs="Times New Roman"/>
          <w:color w:val="000000"/>
          <w:kern w:val="0"/>
          <w:sz w:val="28"/>
          <w:szCs w:val="28"/>
        </w:rPr>
        <w:t xml:space="preserve"> 项目决策指标设定及评分情况表</w:t>
      </w:r>
    </w:p>
    <w:tbl>
      <w:tblPr>
        <w:tblStyle w:val="17"/>
        <w:tblW w:w="86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04"/>
        <w:gridCol w:w="1871"/>
        <w:gridCol w:w="2268"/>
        <w:gridCol w:w="1077"/>
        <w:gridCol w:w="1077"/>
        <w:gridCol w:w="10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blHeader/>
          <w:jc w:val="center"/>
        </w:trPr>
        <w:tc>
          <w:tcPr>
            <w:tcW w:w="1304"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一级指标</w:t>
            </w:r>
          </w:p>
        </w:tc>
        <w:tc>
          <w:tcPr>
            <w:tcW w:w="1871"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二级指标</w:t>
            </w:r>
          </w:p>
        </w:tc>
        <w:tc>
          <w:tcPr>
            <w:tcW w:w="2268"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三级指标</w:t>
            </w:r>
          </w:p>
        </w:tc>
        <w:tc>
          <w:tcPr>
            <w:tcW w:w="1077"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分值</w:t>
            </w:r>
          </w:p>
        </w:tc>
        <w:tc>
          <w:tcPr>
            <w:tcW w:w="1077"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得分</w:t>
            </w:r>
          </w:p>
        </w:tc>
        <w:tc>
          <w:tcPr>
            <w:tcW w:w="1077"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304" w:type="dxa"/>
            <w:vMerge w:val="restart"/>
            <w:vAlign w:val="center"/>
          </w:tcPr>
          <w:p>
            <w:pPr>
              <w:jc w:val="center"/>
              <w:rPr>
                <w:rFonts w:hint="default" w:ascii="Times New Roman" w:hAnsi="Times New Roman" w:eastAsia="宋体" w:cs="Times New Roman"/>
              </w:rPr>
            </w:pPr>
            <w:r>
              <w:rPr>
                <w:rFonts w:hint="default" w:ascii="Times New Roman" w:hAnsi="Times New Roman" w:eastAsia="宋体" w:cs="Times New Roman"/>
              </w:rPr>
              <w:t>决策</w:t>
            </w:r>
          </w:p>
          <w:p>
            <w:pPr>
              <w:jc w:val="center"/>
              <w:rPr>
                <w:rFonts w:hint="default" w:ascii="Times New Roman" w:hAnsi="Times New Roman" w:eastAsia="宋体" w:cs="Times New Roman"/>
              </w:rPr>
            </w:pPr>
            <w:r>
              <w:rPr>
                <w:rFonts w:hint="default" w:ascii="Times New Roman" w:hAnsi="Times New Roman" w:eastAsia="宋体" w:cs="Times New Roman"/>
              </w:rPr>
              <w:t>（20分）</w:t>
            </w:r>
          </w:p>
        </w:tc>
        <w:tc>
          <w:tcPr>
            <w:tcW w:w="1871" w:type="dxa"/>
            <w:vMerge w:val="restart"/>
            <w:vAlign w:val="center"/>
          </w:tcPr>
          <w:p>
            <w:pPr>
              <w:jc w:val="center"/>
              <w:rPr>
                <w:rFonts w:hint="default" w:ascii="Times New Roman" w:hAnsi="Times New Roman" w:eastAsia="宋体" w:cs="Times New Roman"/>
              </w:rPr>
            </w:pPr>
            <w:r>
              <w:rPr>
                <w:rFonts w:hint="default" w:ascii="Times New Roman" w:hAnsi="Times New Roman" w:eastAsia="宋体" w:cs="Times New Roman"/>
              </w:rPr>
              <w:t>项目立项（7分）</w:t>
            </w:r>
          </w:p>
        </w:tc>
        <w:tc>
          <w:tcPr>
            <w:tcW w:w="2268"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立项依据充分性</w:t>
            </w:r>
          </w:p>
        </w:tc>
        <w:tc>
          <w:tcPr>
            <w:tcW w:w="1077"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4.00</w:t>
            </w:r>
          </w:p>
        </w:tc>
        <w:tc>
          <w:tcPr>
            <w:tcW w:w="1077" w:type="dxa"/>
            <w:vAlign w:val="center"/>
          </w:tcPr>
          <w:p>
            <w:pPr>
              <w:widowControl/>
              <w:jc w:val="center"/>
              <w:textAlignment w:val="center"/>
              <w:rPr>
                <w:rFonts w:hint="default" w:ascii="Times New Roman" w:hAnsi="Times New Roman" w:eastAsia="宋体" w:cs="Times New Roman"/>
              </w:rPr>
            </w:pPr>
            <w:r>
              <w:rPr>
                <w:rFonts w:hint="default" w:ascii="Times New Roman" w:hAnsi="Times New Roman" w:eastAsia="宋体" w:cs="Times New Roman"/>
                <w:color w:val="000000"/>
                <w:kern w:val="0"/>
                <w:lang w:bidi="ar"/>
              </w:rPr>
              <w:t>3.52</w:t>
            </w:r>
          </w:p>
        </w:tc>
        <w:tc>
          <w:tcPr>
            <w:tcW w:w="1077" w:type="dxa"/>
            <w:vAlign w:val="center"/>
          </w:tcPr>
          <w:p>
            <w:pPr>
              <w:widowControl/>
              <w:jc w:val="center"/>
              <w:textAlignment w:val="center"/>
              <w:rPr>
                <w:rFonts w:hint="default" w:ascii="Times New Roman" w:hAnsi="Times New Roman" w:eastAsia="宋体" w:cs="Times New Roman"/>
              </w:rPr>
            </w:pPr>
            <w:r>
              <w:rPr>
                <w:rFonts w:hint="default" w:ascii="Times New Roman" w:hAnsi="Times New Roman" w:eastAsia="宋体" w:cs="Times New Roman"/>
                <w:color w:val="000000"/>
                <w:kern w:val="0"/>
                <w:lang w:bidi="ar"/>
              </w:rPr>
              <w:t>88.00%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304" w:type="dxa"/>
            <w:vMerge w:val="continue"/>
            <w:vAlign w:val="center"/>
          </w:tcPr>
          <w:p>
            <w:pPr>
              <w:jc w:val="center"/>
              <w:rPr>
                <w:rFonts w:hint="default" w:ascii="Times New Roman" w:hAnsi="Times New Roman" w:eastAsia="宋体" w:cs="Times New Roman"/>
              </w:rPr>
            </w:pPr>
          </w:p>
        </w:tc>
        <w:tc>
          <w:tcPr>
            <w:tcW w:w="1871" w:type="dxa"/>
            <w:vMerge w:val="continue"/>
            <w:vAlign w:val="center"/>
          </w:tcPr>
          <w:p>
            <w:pPr>
              <w:jc w:val="center"/>
              <w:rPr>
                <w:rFonts w:hint="default" w:ascii="Times New Roman" w:hAnsi="Times New Roman" w:eastAsia="宋体" w:cs="Times New Roman"/>
              </w:rPr>
            </w:pPr>
          </w:p>
        </w:tc>
        <w:tc>
          <w:tcPr>
            <w:tcW w:w="2268"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立项程序规范性</w:t>
            </w:r>
          </w:p>
        </w:tc>
        <w:tc>
          <w:tcPr>
            <w:tcW w:w="1077"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3.00</w:t>
            </w:r>
          </w:p>
        </w:tc>
        <w:tc>
          <w:tcPr>
            <w:tcW w:w="1077" w:type="dxa"/>
            <w:vAlign w:val="center"/>
          </w:tcPr>
          <w:p>
            <w:pPr>
              <w:widowControl/>
              <w:jc w:val="center"/>
              <w:textAlignment w:val="center"/>
              <w:rPr>
                <w:rFonts w:hint="default" w:ascii="Times New Roman" w:hAnsi="Times New Roman" w:eastAsia="宋体" w:cs="Times New Roman"/>
              </w:rPr>
            </w:pPr>
            <w:r>
              <w:rPr>
                <w:rFonts w:hint="default" w:ascii="Times New Roman" w:hAnsi="Times New Roman" w:eastAsia="宋体" w:cs="Times New Roman"/>
                <w:color w:val="000000"/>
                <w:kern w:val="0"/>
                <w:lang w:bidi="ar"/>
              </w:rPr>
              <w:t>2.74</w:t>
            </w:r>
          </w:p>
        </w:tc>
        <w:tc>
          <w:tcPr>
            <w:tcW w:w="1077" w:type="dxa"/>
            <w:vAlign w:val="center"/>
          </w:tcPr>
          <w:p>
            <w:pPr>
              <w:widowControl/>
              <w:jc w:val="center"/>
              <w:textAlignment w:val="center"/>
              <w:rPr>
                <w:rFonts w:hint="default" w:ascii="Times New Roman" w:hAnsi="Times New Roman" w:eastAsia="宋体" w:cs="Times New Roman"/>
              </w:rPr>
            </w:pPr>
            <w:r>
              <w:rPr>
                <w:rFonts w:hint="default" w:ascii="Times New Roman" w:hAnsi="Times New Roman" w:eastAsia="宋体" w:cs="Times New Roman"/>
                <w:color w:val="000000"/>
                <w:kern w:val="0"/>
                <w:lang w:bidi="ar"/>
              </w:rPr>
              <w:t>91.33%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304" w:type="dxa"/>
            <w:vMerge w:val="continue"/>
            <w:vAlign w:val="center"/>
          </w:tcPr>
          <w:p>
            <w:pPr>
              <w:jc w:val="center"/>
              <w:rPr>
                <w:rFonts w:hint="default" w:ascii="Times New Roman" w:hAnsi="Times New Roman" w:eastAsia="宋体" w:cs="Times New Roman"/>
              </w:rPr>
            </w:pPr>
          </w:p>
        </w:tc>
        <w:tc>
          <w:tcPr>
            <w:tcW w:w="1871" w:type="dxa"/>
            <w:vMerge w:val="restart"/>
            <w:vAlign w:val="center"/>
          </w:tcPr>
          <w:p>
            <w:pPr>
              <w:jc w:val="center"/>
              <w:rPr>
                <w:rFonts w:hint="default" w:ascii="Times New Roman" w:hAnsi="Times New Roman" w:eastAsia="宋体" w:cs="Times New Roman"/>
              </w:rPr>
            </w:pPr>
            <w:r>
              <w:rPr>
                <w:rFonts w:hint="default" w:ascii="Times New Roman" w:hAnsi="Times New Roman" w:eastAsia="宋体" w:cs="Times New Roman"/>
              </w:rPr>
              <w:t>绩效目标（7分）</w:t>
            </w:r>
          </w:p>
        </w:tc>
        <w:tc>
          <w:tcPr>
            <w:tcW w:w="2268"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绩效目标合理性</w:t>
            </w:r>
          </w:p>
        </w:tc>
        <w:tc>
          <w:tcPr>
            <w:tcW w:w="1077"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4.00</w:t>
            </w:r>
          </w:p>
        </w:tc>
        <w:tc>
          <w:tcPr>
            <w:tcW w:w="1077" w:type="dxa"/>
            <w:vAlign w:val="center"/>
          </w:tcPr>
          <w:p>
            <w:pPr>
              <w:widowControl/>
              <w:jc w:val="center"/>
              <w:textAlignment w:val="center"/>
              <w:rPr>
                <w:rFonts w:hint="default" w:ascii="Times New Roman" w:hAnsi="Times New Roman" w:eastAsia="宋体" w:cs="Times New Roman"/>
              </w:rPr>
            </w:pPr>
            <w:r>
              <w:rPr>
                <w:rFonts w:hint="default" w:ascii="Times New Roman" w:hAnsi="Times New Roman" w:eastAsia="宋体" w:cs="Times New Roman"/>
                <w:color w:val="000000"/>
                <w:kern w:val="0"/>
                <w:lang w:bidi="ar"/>
              </w:rPr>
              <w:t>3.32</w:t>
            </w:r>
          </w:p>
        </w:tc>
        <w:tc>
          <w:tcPr>
            <w:tcW w:w="1077" w:type="dxa"/>
            <w:vAlign w:val="center"/>
          </w:tcPr>
          <w:p>
            <w:pPr>
              <w:widowControl/>
              <w:jc w:val="center"/>
              <w:textAlignment w:val="center"/>
              <w:rPr>
                <w:rFonts w:hint="default" w:ascii="Times New Roman" w:hAnsi="Times New Roman" w:eastAsia="宋体" w:cs="Times New Roman"/>
              </w:rPr>
            </w:pPr>
            <w:r>
              <w:rPr>
                <w:rFonts w:hint="default" w:ascii="Times New Roman" w:hAnsi="Times New Roman" w:eastAsia="宋体" w:cs="Times New Roman"/>
                <w:color w:val="000000"/>
                <w:kern w:val="0"/>
                <w:lang w:bidi="ar"/>
              </w:rPr>
              <w:t>83.00%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304" w:type="dxa"/>
            <w:vMerge w:val="continue"/>
            <w:vAlign w:val="center"/>
          </w:tcPr>
          <w:p>
            <w:pPr>
              <w:jc w:val="center"/>
              <w:rPr>
                <w:rFonts w:hint="default" w:ascii="Times New Roman" w:hAnsi="Times New Roman" w:eastAsia="宋体" w:cs="Times New Roman"/>
              </w:rPr>
            </w:pPr>
          </w:p>
        </w:tc>
        <w:tc>
          <w:tcPr>
            <w:tcW w:w="1871" w:type="dxa"/>
            <w:vMerge w:val="continue"/>
            <w:vAlign w:val="center"/>
          </w:tcPr>
          <w:p>
            <w:pPr>
              <w:jc w:val="center"/>
              <w:rPr>
                <w:rFonts w:hint="default" w:ascii="Times New Roman" w:hAnsi="Times New Roman" w:eastAsia="宋体" w:cs="Times New Roman"/>
              </w:rPr>
            </w:pPr>
          </w:p>
        </w:tc>
        <w:tc>
          <w:tcPr>
            <w:tcW w:w="2268"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绩效指标明确性</w:t>
            </w:r>
          </w:p>
        </w:tc>
        <w:tc>
          <w:tcPr>
            <w:tcW w:w="1077"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3.00</w:t>
            </w:r>
          </w:p>
        </w:tc>
        <w:tc>
          <w:tcPr>
            <w:tcW w:w="1077" w:type="dxa"/>
            <w:vAlign w:val="center"/>
          </w:tcPr>
          <w:p>
            <w:pPr>
              <w:widowControl/>
              <w:jc w:val="center"/>
              <w:textAlignment w:val="center"/>
              <w:rPr>
                <w:rFonts w:hint="default" w:ascii="Times New Roman" w:hAnsi="Times New Roman" w:eastAsia="宋体" w:cs="Times New Roman"/>
              </w:rPr>
            </w:pPr>
            <w:r>
              <w:rPr>
                <w:rFonts w:hint="default" w:ascii="Times New Roman" w:hAnsi="Times New Roman" w:eastAsia="宋体" w:cs="Times New Roman"/>
                <w:color w:val="000000"/>
                <w:kern w:val="0"/>
                <w:lang w:bidi="ar"/>
              </w:rPr>
              <w:t>2.24</w:t>
            </w:r>
          </w:p>
        </w:tc>
        <w:tc>
          <w:tcPr>
            <w:tcW w:w="1077" w:type="dxa"/>
            <w:vAlign w:val="center"/>
          </w:tcPr>
          <w:p>
            <w:pPr>
              <w:widowControl/>
              <w:jc w:val="center"/>
              <w:textAlignment w:val="center"/>
              <w:rPr>
                <w:rFonts w:hint="default" w:ascii="Times New Roman" w:hAnsi="Times New Roman" w:eastAsia="宋体" w:cs="Times New Roman"/>
              </w:rPr>
            </w:pPr>
            <w:r>
              <w:rPr>
                <w:rFonts w:hint="default" w:ascii="Times New Roman" w:hAnsi="Times New Roman" w:eastAsia="宋体" w:cs="Times New Roman"/>
                <w:color w:val="000000"/>
                <w:kern w:val="0"/>
                <w:lang w:bidi="ar"/>
              </w:rPr>
              <w:t>74.67%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304" w:type="dxa"/>
            <w:vMerge w:val="continue"/>
            <w:vAlign w:val="center"/>
          </w:tcPr>
          <w:p>
            <w:pPr>
              <w:jc w:val="center"/>
              <w:rPr>
                <w:rFonts w:hint="default" w:ascii="Times New Roman" w:hAnsi="Times New Roman" w:eastAsia="宋体" w:cs="Times New Roman"/>
              </w:rPr>
            </w:pPr>
          </w:p>
        </w:tc>
        <w:tc>
          <w:tcPr>
            <w:tcW w:w="1871" w:type="dxa"/>
            <w:vMerge w:val="restart"/>
            <w:vAlign w:val="center"/>
          </w:tcPr>
          <w:p>
            <w:pPr>
              <w:jc w:val="center"/>
              <w:rPr>
                <w:rFonts w:hint="default" w:ascii="Times New Roman" w:hAnsi="Times New Roman" w:eastAsia="宋体" w:cs="Times New Roman"/>
              </w:rPr>
            </w:pPr>
            <w:r>
              <w:rPr>
                <w:rFonts w:hint="default" w:ascii="Times New Roman" w:hAnsi="Times New Roman" w:eastAsia="宋体" w:cs="Times New Roman"/>
              </w:rPr>
              <w:t>资金投入（6分）</w:t>
            </w:r>
          </w:p>
        </w:tc>
        <w:tc>
          <w:tcPr>
            <w:tcW w:w="2268"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预算编制科学性</w:t>
            </w:r>
          </w:p>
        </w:tc>
        <w:tc>
          <w:tcPr>
            <w:tcW w:w="1077"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3.00</w:t>
            </w:r>
          </w:p>
        </w:tc>
        <w:tc>
          <w:tcPr>
            <w:tcW w:w="1077" w:type="dxa"/>
            <w:vAlign w:val="center"/>
          </w:tcPr>
          <w:p>
            <w:pPr>
              <w:widowControl/>
              <w:jc w:val="center"/>
              <w:textAlignment w:val="center"/>
              <w:rPr>
                <w:rFonts w:hint="default" w:ascii="Times New Roman" w:hAnsi="Times New Roman" w:eastAsia="宋体" w:cs="Times New Roman"/>
              </w:rPr>
            </w:pPr>
            <w:r>
              <w:rPr>
                <w:rFonts w:hint="default" w:ascii="Times New Roman" w:hAnsi="Times New Roman" w:eastAsia="宋体" w:cs="Times New Roman"/>
                <w:color w:val="000000"/>
                <w:kern w:val="0"/>
                <w:lang w:bidi="ar"/>
              </w:rPr>
              <w:t>1.82</w:t>
            </w:r>
          </w:p>
        </w:tc>
        <w:tc>
          <w:tcPr>
            <w:tcW w:w="1077" w:type="dxa"/>
            <w:vAlign w:val="center"/>
          </w:tcPr>
          <w:p>
            <w:pPr>
              <w:widowControl/>
              <w:jc w:val="center"/>
              <w:textAlignment w:val="center"/>
              <w:rPr>
                <w:rFonts w:hint="default" w:ascii="Times New Roman" w:hAnsi="Times New Roman" w:eastAsia="宋体" w:cs="Times New Roman"/>
              </w:rPr>
            </w:pPr>
            <w:r>
              <w:rPr>
                <w:rFonts w:hint="default" w:ascii="Times New Roman" w:hAnsi="Times New Roman" w:eastAsia="宋体" w:cs="Times New Roman"/>
                <w:color w:val="000000"/>
                <w:kern w:val="0"/>
                <w:lang w:bidi="ar"/>
              </w:rPr>
              <w:t>60.67%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304" w:type="dxa"/>
            <w:vMerge w:val="continue"/>
            <w:vAlign w:val="center"/>
          </w:tcPr>
          <w:p>
            <w:pPr>
              <w:jc w:val="center"/>
              <w:rPr>
                <w:rFonts w:hint="default" w:ascii="Times New Roman" w:hAnsi="Times New Roman" w:eastAsia="宋体" w:cs="Times New Roman"/>
              </w:rPr>
            </w:pPr>
          </w:p>
        </w:tc>
        <w:tc>
          <w:tcPr>
            <w:tcW w:w="1871" w:type="dxa"/>
            <w:vMerge w:val="continue"/>
            <w:vAlign w:val="center"/>
          </w:tcPr>
          <w:p>
            <w:pPr>
              <w:jc w:val="center"/>
              <w:rPr>
                <w:rFonts w:hint="default" w:ascii="Times New Roman" w:hAnsi="Times New Roman" w:eastAsia="宋体" w:cs="Times New Roman"/>
              </w:rPr>
            </w:pPr>
          </w:p>
        </w:tc>
        <w:tc>
          <w:tcPr>
            <w:tcW w:w="2268"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资金分配合理性</w:t>
            </w:r>
          </w:p>
        </w:tc>
        <w:tc>
          <w:tcPr>
            <w:tcW w:w="1077"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3.00</w:t>
            </w:r>
          </w:p>
        </w:tc>
        <w:tc>
          <w:tcPr>
            <w:tcW w:w="1077" w:type="dxa"/>
            <w:vAlign w:val="center"/>
          </w:tcPr>
          <w:p>
            <w:pPr>
              <w:widowControl/>
              <w:jc w:val="center"/>
              <w:textAlignment w:val="center"/>
              <w:rPr>
                <w:rFonts w:hint="default" w:ascii="Times New Roman" w:hAnsi="Times New Roman" w:eastAsia="宋体" w:cs="Times New Roman"/>
              </w:rPr>
            </w:pPr>
            <w:r>
              <w:rPr>
                <w:rFonts w:hint="default" w:ascii="Times New Roman" w:hAnsi="Times New Roman" w:eastAsia="宋体" w:cs="Times New Roman"/>
                <w:color w:val="000000"/>
                <w:kern w:val="0"/>
                <w:lang w:bidi="ar"/>
              </w:rPr>
              <w:t>2.50</w:t>
            </w:r>
          </w:p>
        </w:tc>
        <w:tc>
          <w:tcPr>
            <w:tcW w:w="1077" w:type="dxa"/>
            <w:vAlign w:val="center"/>
          </w:tcPr>
          <w:p>
            <w:pPr>
              <w:widowControl/>
              <w:jc w:val="center"/>
              <w:textAlignment w:val="center"/>
              <w:rPr>
                <w:rFonts w:hint="default" w:ascii="Times New Roman" w:hAnsi="Times New Roman" w:eastAsia="宋体" w:cs="Times New Roman"/>
              </w:rPr>
            </w:pPr>
            <w:r>
              <w:rPr>
                <w:rFonts w:hint="default" w:ascii="Times New Roman" w:hAnsi="Times New Roman" w:eastAsia="宋体" w:cs="Times New Roman"/>
                <w:color w:val="000000"/>
                <w:kern w:val="0"/>
                <w:lang w:bidi="ar"/>
              </w:rPr>
              <w:t>83.33%</w:t>
            </w:r>
          </w:p>
        </w:tc>
      </w:tr>
    </w:tbl>
    <w:p>
      <w:pPr>
        <w:spacing w:line="560" w:lineRule="exact"/>
        <w:outlineLvl w:val="2"/>
        <w:rPr>
          <w:rFonts w:ascii="Times New Roman" w:hAnsi="Times New Roman" w:eastAsia="仿宋" w:cs="Times New Roman"/>
          <w:bCs/>
          <w:sz w:val="32"/>
          <w:szCs w:val="20"/>
        </w:rPr>
      </w:pPr>
      <w:bookmarkStart w:id="88" w:name="_Toc28616"/>
      <w:bookmarkStart w:id="89" w:name="_Toc188"/>
      <w:bookmarkStart w:id="90" w:name="_Toc21083"/>
      <w:bookmarkStart w:id="91" w:name="_Toc6783"/>
      <w:bookmarkStart w:id="92" w:name="_Toc5476"/>
    </w:p>
    <w:p>
      <w:pPr>
        <w:spacing w:line="560" w:lineRule="exact"/>
        <w:ind w:firstLine="643" w:firstLineChars="200"/>
        <w:outlineLvl w:val="2"/>
        <w:rPr>
          <w:rFonts w:ascii="Times New Roman" w:hAnsi="Times New Roman" w:eastAsia="仿宋" w:cs="Times New Roman"/>
          <w:b/>
          <w:sz w:val="32"/>
          <w:szCs w:val="20"/>
        </w:rPr>
      </w:pPr>
      <w:r>
        <w:rPr>
          <w:rFonts w:ascii="Times New Roman" w:hAnsi="Times New Roman" w:eastAsia="仿宋" w:cs="Times New Roman"/>
          <w:b/>
          <w:sz w:val="32"/>
          <w:szCs w:val="20"/>
        </w:rPr>
        <w:t>1.项目立项情况分析</w:t>
      </w:r>
      <w:bookmarkEnd w:id="88"/>
      <w:bookmarkEnd w:id="89"/>
      <w:bookmarkEnd w:id="90"/>
      <w:bookmarkEnd w:id="91"/>
      <w:bookmarkEnd w:id="92"/>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（1）立项依据充分性</w:t>
      </w:r>
    </w:p>
    <w:p>
      <w:pPr>
        <w:spacing w:line="560" w:lineRule="exact"/>
        <w:ind w:firstLine="640" w:firstLineChars="200"/>
        <w:rPr>
          <w:rFonts w:ascii="Times New Roman" w:hAnsi="Times New Roman" w:eastAsia="仿宋" w:cs="Times New Roman"/>
          <w:sz w:val="32"/>
          <w:szCs w:val="22"/>
        </w:rPr>
      </w:pPr>
      <w:r>
        <w:rPr>
          <w:rFonts w:hint="eastAsia" w:ascii="Times New Roman" w:hAnsi="Times New Roman" w:eastAsia="仿宋" w:cs="Times New Roman"/>
          <w:sz w:val="32"/>
          <w:szCs w:val="22"/>
          <w:lang w:eastAsia="zh-CN"/>
        </w:rPr>
        <w:t>首都之窗</w:t>
      </w:r>
      <w:r>
        <w:rPr>
          <w:rFonts w:ascii="Times New Roman" w:hAnsi="Times New Roman" w:eastAsia="仿宋" w:cs="Times New Roman"/>
          <w:sz w:val="32"/>
          <w:szCs w:val="22"/>
        </w:rPr>
        <w:t>依据《国务院办公厅关于印发&lt;政府网站发展指引&gt;的通知》（国办发〔2017〕47号）、《国务院办公厅关于印发&lt;政府网站集约化试点工作方案&gt;的通知》（国办函〔2018〕71号）、《国务院办公厅关于推进政务新媒体健康有序发展的意见》（国办发〔2018〕123号）、《北京市人民政府办公厅关于贯彻落实&lt;政府网站发展指引&gt;的实施意见》(京政办发〔2017〕51号)及《北京市人民政府办公厅印发&lt;关于坚持以人民为中心推进一体化网上政府建设的工作方案&gt;的通知》（京政办发〔2019〕9号）等文件精神，根据国务院办公厅关于试点地区完成政府网站集约化工作的要求，按照北京市人民政府、市经济和信息化局的工作部署，开展北京市政府网站集约化平台服务及运维工作。</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项目开展与首都之窗</w:t>
      </w:r>
      <w:r>
        <w:rPr>
          <w:rFonts w:hint="eastAsia" w:ascii="Times New Roman" w:hAnsi="Times New Roman" w:eastAsia="仿宋" w:cs="Times New Roman"/>
          <w:sz w:val="32"/>
          <w:szCs w:val="22"/>
        </w:rPr>
        <w:t>“</w:t>
      </w:r>
      <w:r>
        <w:rPr>
          <w:rFonts w:ascii="Times New Roman" w:hAnsi="Times New Roman" w:eastAsia="仿宋" w:cs="Times New Roman"/>
          <w:sz w:val="32"/>
          <w:szCs w:val="22"/>
        </w:rPr>
        <w:t>负责首都之窗网站的日常管理工作</w:t>
      </w:r>
      <w:r>
        <w:rPr>
          <w:rFonts w:hint="eastAsia" w:ascii="Times New Roman" w:hAnsi="Times New Roman" w:eastAsia="仿宋" w:cs="Times New Roman"/>
          <w:sz w:val="32"/>
          <w:szCs w:val="22"/>
        </w:rPr>
        <w:t>”</w:t>
      </w:r>
      <w:r>
        <w:rPr>
          <w:rFonts w:ascii="Times New Roman" w:hAnsi="Times New Roman" w:eastAsia="仿宋" w:cs="Times New Roman"/>
          <w:sz w:val="32"/>
          <w:szCs w:val="22"/>
        </w:rPr>
        <w:t>等职责相匹配，符合首都之窗作为北京市政府网站集约化平台建设项目的建设主体承担的职责，项目立项依据充分性较好。</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（2）立项程序规范性</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项目</w:t>
      </w:r>
      <w:r>
        <w:rPr>
          <w:rFonts w:hint="eastAsia" w:ascii="Times New Roman" w:hAnsi="Times New Roman" w:eastAsia="仿宋" w:cs="Times New Roman"/>
          <w:sz w:val="32"/>
          <w:szCs w:val="22"/>
          <w:lang w:val="en-US" w:eastAsia="zh-CN"/>
        </w:rPr>
        <w:t>内容围绕</w:t>
      </w:r>
      <w:r>
        <w:rPr>
          <w:rFonts w:ascii="Times New Roman" w:hAnsi="Times New Roman" w:eastAsia="仿宋" w:cs="Times New Roman"/>
          <w:sz w:val="32"/>
          <w:szCs w:val="22"/>
        </w:rPr>
        <w:t>加强政府网站集约化平台功能建设、深化统一信息资源库融合应用、提升网站安全运维能力等年度重点工作</w:t>
      </w:r>
      <w:r>
        <w:rPr>
          <w:rFonts w:hint="eastAsia" w:ascii="Times New Roman" w:hAnsi="Times New Roman" w:eastAsia="仿宋" w:cs="Times New Roman"/>
          <w:sz w:val="32"/>
          <w:szCs w:val="22"/>
          <w:lang w:val="en-US" w:eastAsia="zh-CN"/>
        </w:rPr>
        <w:t>确定</w:t>
      </w:r>
      <w:r>
        <w:rPr>
          <w:rFonts w:hint="eastAsia" w:ascii="Times New Roman" w:hAnsi="Times New Roman" w:eastAsia="仿宋" w:cs="Times New Roman"/>
          <w:sz w:val="32"/>
          <w:szCs w:val="22"/>
          <w:lang w:eastAsia="zh-CN"/>
        </w:rPr>
        <w:t>。</w:t>
      </w:r>
      <w:r>
        <w:rPr>
          <w:rFonts w:ascii="Times New Roman" w:hAnsi="Times New Roman" w:eastAsia="仿宋" w:cs="Times New Roman"/>
          <w:sz w:val="32"/>
          <w:szCs w:val="22"/>
        </w:rPr>
        <w:t>首都之窗根据确定的项目内容及所需资金情况，填报项目申报文本、项目支出预算表及绩效目标申报表，明确项目立项依据、项目主要内容及支出方向。</w:t>
      </w:r>
      <w:r>
        <w:rPr>
          <w:rFonts w:hint="eastAsia" w:ascii="Times New Roman" w:hAnsi="Times New Roman" w:eastAsia="仿宋" w:cs="Times New Roman"/>
          <w:sz w:val="32"/>
          <w:szCs w:val="22"/>
          <w:lang w:val="en-US" w:eastAsia="zh-CN"/>
        </w:rPr>
        <w:t>项目</w:t>
      </w:r>
      <w:r>
        <w:rPr>
          <w:rFonts w:ascii="Times New Roman" w:hAnsi="Times New Roman" w:eastAsia="仿宋" w:cs="Times New Roman"/>
          <w:strike w:val="0"/>
          <w:dstrike w:val="0"/>
          <w:sz w:val="32"/>
          <w:szCs w:val="22"/>
        </w:rPr>
        <w:t>预算经</w:t>
      </w:r>
      <w:r>
        <w:rPr>
          <w:rFonts w:hint="eastAsia" w:ascii="Times New Roman" w:hAnsi="Times New Roman" w:eastAsia="仿宋" w:cs="Times New Roman"/>
          <w:strike w:val="0"/>
          <w:dstrike w:val="0"/>
          <w:sz w:val="32"/>
          <w:szCs w:val="22"/>
          <w:lang w:val="en-US" w:eastAsia="zh-CN"/>
        </w:rPr>
        <w:t>中心</w:t>
      </w:r>
      <w:r>
        <w:rPr>
          <w:rFonts w:ascii="Times New Roman" w:hAnsi="Times New Roman" w:eastAsia="仿宋" w:cs="Times New Roman"/>
          <w:strike w:val="0"/>
          <w:dstrike w:val="0"/>
          <w:sz w:val="32"/>
          <w:szCs w:val="22"/>
          <w:highlight w:val="none"/>
        </w:rPr>
        <w:t>班子会审议</w:t>
      </w:r>
      <w:r>
        <w:rPr>
          <w:rFonts w:ascii="Times New Roman" w:hAnsi="Times New Roman" w:eastAsia="仿宋" w:cs="Times New Roman"/>
          <w:strike w:val="0"/>
          <w:dstrike w:val="0"/>
          <w:sz w:val="32"/>
          <w:szCs w:val="22"/>
        </w:rPr>
        <w:t>通过并报局主管处室、主管局领导批准后正式上报市经济</w:t>
      </w:r>
      <w:r>
        <w:rPr>
          <w:rFonts w:hint="eastAsia" w:ascii="Times New Roman" w:hAnsi="Times New Roman" w:eastAsia="仿宋" w:cs="Times New Roman"/>
          <w:strike w:val="0"/>
          <w:dstrike w:val="0"/>
          <w:sz w:val="32"/>
          <w:szCs w:val="22"/>
        </w:rPr>
        <w:t>和</w:t>
      </w:r>
      <w:r>
        <w:rPr>
          <w:rFonts w:ascii="Times New Roman" w:hAnsi="Times New Roman" w:eastAsia="仿宋" w:cs="Times New Roman"/>
          <w:strike w:val="0"/>
          <w:dstrike w:val="0"/>
          <w:sz w:val="32"/>
          <w:szCs w:val="22"/>
        </w:rPr>
        <w:t>信息化局财务处审核。</w:t>
      </w:r>
      <w:r>
        <w:rPr>
          <w:rFonts w:ascii="Times New Roman" w:hAnsi="Times New Roman" w:eastAsia="仿宋" w:cs="Times New Roman"/>
          <w:sz w:val="32"/>
          <w:szCs w:val="22"/>
        </w:rPr>
        <w:t>项目经</w:t>
      </w:r>
      <w:r>
        <w:rPr>
          <w:rFonts w:hint="eastAsia" w:ascii="Times New Roman" w:hAnsi="Times New Roman" w:eastAsia="仿宋" w:cs="Times New Roman"/>
          <w:sz w:val="32"/>
          <w:szCs w:val="22"/>
        </w:rPr>
        <w:t>“</w:t>
      </w:r>
      <w:r>
        <w:rPr>
          <w:rFonts w:ascii="Times New Roman" w:hAnsi="Times New Roman" w:eastAsia="仿宋" w:cs="Times New Roman"/>
          <w:sz w:val="32"/>
          <w:szCs w:val="22"/>
        </w:rPr>
        <w:t>二上二下</w:t>
      </w:r>
      <w:r>
        <w:rPr>
          <w:rFonts w:hint="eastAsia" w:ascii="Times New Roman" w:hAnsi="Times New Roman" w:eastAsia="仿宋" w:cs="Times New Roman"/>
          <w:sz w:val="32"/>
          <w:szCs w:val="22"/>
        </w:rPr>
        <w:t>”</w:t>
      </w:r>
      <w:r>
        <w:rPr>
          <w:rFonts w:ascii="Times New Roman" w:hAnsi="Times New Roman" w:eastAsia="仿宋" w:cs="Times New Roman"/>
          <w:sz w:val="32"/>
          <w:szCs w:val="22"/>
        </w:rPr>
        <w:t>申报、批复程序后确定立项。</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但项目缺少中长期规划，项目年度计划的指导性不足，购买集约化平台各类技术组件和政务云服务资源，运营和优化</w:t>
      </w:r>
      <w:r>
        <w:rPr>
          <w:rFonts w:hint="eastAsia" w:ascii="Times New Roman" w:hAnsi="Times New Roman" w:eastAsia="仿宋" w:cs="Times New Roman"/>
          <w:sz w:val="32"/>
          <w:szCs w:val="22"/>
          <w:lang w:eastAsia="zh-CN"/>
        </w:rPr>
        <w:t>“</w:t>
      </w:r>
      <w:r>
        <w:rPr>
          <w:rFonts w:ascii="Times New Roman" w:hAnsi="Times New Roman" w:eastAsia="仿宋" w:cs="Times New Roman"/>
          <w:sz w:val="32"/>
          <w:szCs w:val="22"/>
        </w:rPr>
        <w:t>一网通查</w:t>
      </w:r>
      <w:r>
        <w:rPr>
          <w:rFonts w:hint="eastAsia" w:ascii="Times New Roman" w:hAnsi="Times New Roman" w:eastAsia="仿宋" w:cs="Times New Roman"/>
          <w:sz w:val="32"/>
          <w:szCs w:val="22"/>
          <w:lang w:eastAsia="zh-CN"/>
        </w:rPr>
        <w:t>”</w:t>
      </w:r>
      <w:r>
        <w:rPr>
          <w:rFonts w:ascii="Times New Roman" w:hAnsi="Times New Roman" w:eastAsia="仿宋" w:cs="Times New Roman"/>
          <w:sz w:val="32"/>
          <w:szCs w:val="22"/>
        </w:rPr>
        <w:t>服务与</w:t>
      </w:r>
      <w:r>
        <w:rPr>
          <w:rFonts w:hint="eastAsia" w:ascii="Times New Roman" w:hAnsi="Times New Roman" w:eastAsia="仿宋" w:cs="Times New Roman"/>
          <w:sz w:val="32"/>
          <w:szCs w:val="22"/>
          <w:lang w:eastAsia="zh-CN"/>
        </w:rPr>
        <w:t>“</w:t>
      </w:r>
      <w:r>
        <w:rPr>
          <w:rFonts w:ascii="Times New Roman" w:hAnsi="Times New Roman" w:eastAsia="仿宋" w:cs="Times New Roman"/>
          <w:sz w:val="32"/>
          <w:szCs w:val="22"/>
        </w:rPr>
        <w:t>一网通答</w:t>
      </w:r>
      <w:r>
        <w:rPr>
          <w:rFonts w:hint="eastAsia" w:ascii="Times New Roman" w:hAnsi="Times New Roman" w:eastAsia="仿宋" w:cs="Times New Roman"/>
          <w:sz w:val="32"/>
          <w:szCs w:val="22"/>
          <w:lang w:eastAsia="zh-CN"/>
        </w:rPr>
        <w:t>”</w:t>
      </w:r>
      <w:r>
        <w:rPr>
          <w:rFonts w:ascii="Times New Roman" w:hAnsi="Times New Roman" w:eastAsia="仿宋" w:cs="Times New Roman"/>
          <w:sz w:val="32"/>
          <w:szCs w:val="22"/>
        </w:rPr>
        <w:t>服务等需求分析不足。</w:t>
      </w:r>
    </w:p>
    <w:p>
      <w:pPr>
        <w:spacing w:line="560" w:lineRule="exact"/>
        <w:ind w:firstLine="643" w:firstLineChars="200"/>
        <w:outlineLvl w:val="2"/>
        <w:rPr>
          <w:rFonts w:ascii="Times New Roman" w:hAnsi="Times New Roman" w:eastAsia="仿宋" w:cs="Times New Roman"/>
          <w:b/>
          <w:sz w:val="32"/>
          <w:szCs w:val="20"/>
        </w:rPr>
      </w:pPr>
      <w:bookmarkStart w:id="93" w:name="_Toc13516"/>
      <w:bookmarkStart w:id="94" w:name="_Toc1395"/>
      <w:bookmarkStart w:id="95" w:name="_Toc807"/>
      <w:bookmarkStart w:id="96" w:name="_Toc29796"/>
      <w:bookmarkStart w:id="97" w:name="_Toc26976"/>
      <w:r>
        <w:rPr>
          <w:rFonts w:ascii="Times New Roman" w:hAnsi="Times New Roman" w:eastAsia="仿宋" w:cs="Times New Roman"/>
          <w:b/>
          <w:sz w:val="32"/>
          <w:szCs w:val="20"/>
        </w:rPr>
        <w:t>2.绩效目标情况分析</w:t>
      </w:r>
      <w:bookmarkEnd w:id="93"/>
      <w:bookmarkEnd w:id="94"/>
      <w:bookmarkEnd w:id="95"/>
      <w:bookmarkEnd w:id="96"/>
      <w:bookmarkEnd w:id="97"/>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（1）绩效目标合理性</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首都之窗根据项目年度重点工作安排设定年度绩效目标，项目绩效目标反映了项目</w:t>
      </w:r>
      <w:r>
        <w:rPr>
          <w:rFonts w:hint="eastAsia" w:ascii="Times New Roman" w:hAnsi="Times New Roman" w:eastAsia="仿宋" w:cs="Times New Roman"/>
          <w:sz w:val="32"/>
          <w:szCs w:val="22"/>
        </w:rPr>
        <w:t>实施</w:t>
      </w:r>
      <w:r>
        <w:rPr>
          <w:rFonts w:ascii="Times New Roman" w:hAnsi="Times New Roman" w:eastAsia="仿宋" w:cs="Times New Roman"/>
          <w:sz w:val="32"/>
          <w:szCs w:val="22"/>
        </w:rPr>
        <w:t>在强化北京市政府网站集约化平台的运维和安全的保障能力方面的预期效益。但项目年度目标对项目实施的预期产出阐述偏笼统，不够明确、细化，项目仍需进一步规范绩效目标编报工作。</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（2）绩效指标明确性</w:t>
      </w:r>
    </w:p>
    <w:p>
      <w:pPr>
        <w:spacing w:line="560" w:lineRule="exact"/>
        <w:ind w:firstLine="640" w:firstLineChars="200"/>
        <w:rPr>
          <w:rFonts w:ascii="Times New Roman" w:hAnsi="Times New Roman" w:eastAsia="仿宋" w:cs="Times New Roman"/>
          <w:sz w:val="32"/>
          <w:szCs w:val="22"/>
        </w:rPr>
      </w:pPr>
      <w:r>
        <w:rPr>
          <w:rFonts w:hint="eastAsia" w:ascii="Times New Roman" w:hAnsi="Times New Roman" w:eastAsia="仿宋" w:cs="Times New Roman"/>
          <w:sz w:val="32"/>
          <w:szCs w:val="22"/>
          <w:lang w:eastAsia="zh-CN"/>
        </w:rPr>
        <w:t>首都之窗</w:t>
      </w:r>
      <w:r>
        <w:rPr>
          <w:rFonts w:ascii="Times New Roman" w:hAnsi="Times New Roman" w:eastAsia="仿宋" w:cs="Times New Roman"/>
          <w:sz w:val="32"/>
          <w:szCs w:val="22"/>
        </w:rPr>
        <w:t>对年度绩效目标进行分解，从产出、效益、满意度等方面设置了较为具体的三级指标及指标值。</w:t>
      </w:r>
      <w:r>
        <w:rPr>
          <w:rFonts w:hint="eastAsia" w:ascii="Times New Roman" w:hAnsi="Times New Roman" w:eastAsia="仿宋" w:cs="Times New Roman"/>
          <w:sz w:val="32"/>
          <w:szCs w:val="22"/>
        </w:rPr>
        <w:t>但项目绩效指标的设置存在以下不足：</w:t>
      </w:r>
      <w:r>
        <w:rPr>
          <w:rFonts w:hint="eastAsia" w:ascii="Times New Roman" w:hAnsi="Times New Roman" w:eastAsia="仿宋" w:cs="Times New Roman"/>
          <w:b/>
          <w:bCs/>
          <w:sz w:val="32"/>
          <w:szCs w:val="22"/>
        </w:rPr>
        <w:t>一是</w:t>
      </w:r>
      <w:r>
        <w:rPr>
          <w:rFonts w:ascii="Times New Roman" w:hAnsi="Times New Roman" w:eastAsia="仿宋" w:cs="Times New Roman"/>
          <w:sz w:val="32"/>
          <w:szCs w:val="22"/>
        </w:rPr>
        <w:t>绩效指标设置的明确性不足。</w:t>
      </w:r>
      <w:r>
        <w:rPr>
          <w:rFonts w:hint="eastAsia" w:ascii="Times New Roman" w:hAnsi="Times New Roman" w:eastAsia="仿宋" w:cs="Times New Roman"/>
          <w:sz w:val="32"/>
          <w:szCs w:val="22"/>
        </w:rPr>
        <w:t>其中，</w:t>
      </w:r>
      <w:r>
        <w:rPr>
          <w:rFonts w:ascii="Times New Roman" w:hAnsi="Times New Roman" w:eastAsia="仿宋" w:cs="Times New Roman"/>
          <w:sz w:val="32"/>
          <w:szCs w:val="22"/>
        </w:rPr>
        <w:t>数量指标设置笼统，未按照项目运维内容细化，未反映项目应上线单位网站数量；质量指标未设置</w:t>
      </w:r>
      <w:r>
        <w:rPr>
          <w:rFonts w:hint="eastAsia" w:ascii="Times New Roman" w:hAnsi="Times New Roman" w:eastAsia="仿宋" w:cs="Times New Roman"/>
          <w:sz w:val="32"/>
          <w:szCs w:val="22"/>
        </w:rPr>
        <w:t>“</w:t>
      </w:r>
      <w:r>
        <w:rPr>
          <w:rFonts w:ascii="Times New Roman" w:hAnsi="Times New Roman" w:eastAsia="仿宋" w:cs="Times New Roman"/>
          <w:sz w:val="32"/>
          <w:szCs w:val="22"/>
        </w:rPr>
        <w:t>综合资源利用率</w:t>
      </w:r>
      <w:r>
        <w:rPr>
          <w:rFonts w:hint="eastAsia" w:ascii="Times New Roman" w:hAnsi="Times New Roman" w:eastAsia="仿宋" w:cs="Times New Roman"/>
          <w:sz w:val="32"/>
          <w:szCs w:val="22"/>
        </w:rPr>
        <w:t>”</w:t>
      </w:r>
      <w:r>
        <w:rPr>
          <w:rFonts w:ascii="Times New Roman" w:hAnsi="Times New Roman" w:eastAsia="仿宋" w:cs="Times New Roman"/>
          <w:sz w:val="32"/>
          <w:szCs w:val="22"/>
        </w:rPr>
        <w:t>指标，可考核性有待提高；时效指标未对项目实施与验收期限进行考核，指标设置不完整</w:t>
      </w:r>
      <w:r>
        <w:rPr>
          <w:rFonts w:hint="eastAsia" w:ascii="Times New Roman" w:hAnsi="Times New Roman" w:eastAsia="仿宋" w:cs="Times New Roman"/>
          <w:sz w:val="32"/>
          <w:szCs w:val="22"/>
          <w:lang w:eastAsia="zh-CN"/>
        </w:rPr>
        <w:t>。</w:t>
      </w:r>
      <w:r>
        <w:rPr>
          <w:rFonts w:hint="eastAsia" w:ascii="Times New Roman" w:hAnsi="Times New Roman" w:eastAsia="仿宋" w:cs="Times New Roman"/>
          <w:b/>
          <w:bCs/>
          <w:sz w:val="32"/>
          <w:szCs w:val="22"/>
          <w:lang w:eastAsia="zh-CN"/>
        </w:rPr>
        <w:t>二是</w:t>
      </w:r>
      <w:r>
        <w:rPr>
          <w:rFonts w:hint="eastAsia" w:ascii="Times New Roman" w:hAnsi="Times New Roman" w:eastAsia="仿宋" w:cs="Times New Roman"/>
          <w:sz w:val="32"/>
          <w:szCs w:val="22"/>
          <w:lang w:eastAsia="zh-CN"/>
        </w:rPr>
        <w:t>绩效指标设置的合理性有待提升。本项目不产生经济效益，建议将</w:t>
      </w:r>
      <w:r>
        <w:rPr>
          <w:rFonts w:ascii="Times New Roman" w:hAnsi="Times New Roman" w:eastAsia="仿宋" w:cs="Times New Roman"/>
          <w:sz w:val="32"/>
          <w:szCs w:val="22"/>
        </w:rPr>
        <w:t>经济效益指标</w:t>
      </w:r>
      <w:r>
        <w:rPr>
          <w:rFonts w:hint="eastAsia" w:ascii="Times New Roman" w:hAnsi="Times New Roman" w:eastAsia="仿宋" w:cs="Times New Roman"/>
          <w:sz w:val="32"/>
          <w:szCs w:val="22"/>
        </w:rPr>
        <w:t>“</w:t>
      </w:r>
      <w:r>
        <w:rPr>
          <w:rFonts w:ascii="Times New Roman" w:hAnsi="Times New Roman" w:eastAsia="仿宋" w:cs="Times New Roman"/>
          <w:sz w:val="32"/>
          <w:szCs w:val="22"/>
        </w:rPr>
        <w:t>各部门不再单独申请网站相关技术运维费用</w:t>
      </w:r>
      <w:r>
        <w:rPr>
          <w:rFonts w:hint="eastAsia" w:ascii="Times New Roman" w:hAnsi="Times New Roman" w:eastAsia="仿宋" w:cs="Times New Roman"/>
          <w:sz w:val="32"/>
          <w:szCs w:val="22"/>
        </w:rPr>
        <w:t>”调整为</w:t>
      </w:r>
      <w:r>
        <w:rPr>
          <w:rFonts w:hint="eastAsia" w:ascii="Times New Roman" w:hAnsi="Times New Roman" w:eastAsia="仿宋" w:cs="Times New Roman"/>
          <w:sz w:val="32"/>
          <w:szCs w:val="22"/>
          <w:lang w:eastAsia="zh-CN"/>
        </w:rPr>
        <w:t>社会</w:t>
      </w:r>
      <w:r>
        <w:rPr>
          <w:rFonts w:hint="eastAsia" w:ascii="Times New Roman" w:hAnsi="Times New Roman" w:eastAsia="仿宋" w:cs="Times New Roman"/>
          <w:sz w:val="32"/>
          <w:szCs w:val="22"/>
        </w:rPr>
        <w:t>效益指标</w:t>
      </w:r>
      <w:r>
        <w:rPr>
          <w:rFonts w:ascii="Times New Roman" w:hAnsi="Times New Roman" w:eastAsia="仿宋" w:cs="Times New Roman"/>
          <w:sz w:val="32"/>
          <w:szCs w:val="22"/>
        </w:rPr>
        <w:t>。</w:t>
      </w:r>
    </w:p>
    <w:p>
      <w:pPr>
        <w:spacing w:line="560" w:lineRule="exact"/>
        <w:ind w:firstLine="643" w:firstLineChars="200"/>
        <w:outlineLvl w:val="2"/>
        <w:rPr>
          <w:rFonts w:ascii="Times New Roman" w:hAnsi="Times New Roman" w:eastAsia="仿宋" w:cs="Times New Roman"/>
          <w:b/>
          <w:sz w:val="32"/>
          <w:szCs w:val="20"/>
        </w:rPr>
      </w:pPr>
      <w:bookmarkStart w:id="98" w:name="_Toc11705"/>
      <w:bookmarkStart w:id="99" w:name="_Toc810"/>
      <w:bookmarkStart w:id="100" w:name="_Toc17627"/>
      <w:bookmarkStart w:id="101" w:name="_Toc3959"/>
      <w:bookmarkStart w:id="102" w:name="_Toc6972"/>
      <w:r>
        <w:rPr>
          <w:rFonts w:ascii="Times New Roman" w:hAnsi="Times New Roman" w:eastAsia="仿宋" w:cs="Times New Roman"/>
          <w:b/>
          <w:sz w:val="32"/>
          <w:szCs w:val="20"/>
        </w:rPr>
        <w:t>3.资金投入情况分析</w:t>
      </w:r>
      <w:bookmarkEnd w:id="98"/>
      <w:bookmarkEnd w:id="99"/>
      <w:bookmarkEnd w:id="100"/>
      <w:bookmarkEnd w:id="101"/>
      <w:bookmarkEnd w:id="102"/>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（1）预算编制科学性</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首都之窗在编制</w:t>
      </w:r>
      <w:r>
        <w:rPr>
          <w:rFonts w:hint="eastAsia" w:ascii="Times New Roman" w:hAnsi="Times New Roman" w:eastAsia="仿宋" w:cs="Times New Roman"/>
          <w:sz w:val="32"/>
          <w:szCs w:val="22"/>
        </w:rPr>
        <w:t>“</w:t>
      </w:r>
      <w:r>
        <w:rPr>
          <w:rFonts w:ascii="Times New Roman" w:hAnsi="Times New Roman" w:eastAsia="仿宋" w:cs="Times New Roman"/>
          <w:sz w:val="32"/>
          <w:szCs w:val="22"/>
        </w:rPr>
        <w:t>一上</w:t>
      </w:r>
      <w:r>
        <w:rPr>
          <w:rFonts w:hint="eastAsia" w:ascii="Times New Roman" w:hAnsi="Times New Roman" w:eastAsia="仿宋" w:cs="Times New Roman"/>
          <w:sz w:val="32"/>
          <w:szCs w:val="22"/>
        </w:rPr>
        <w:t>”</w:t>
      </w:r>
      <w:r>
        <w:rPr>
          <w:rFonts w:ascii="Times New Roman" w:hAnsi="Times New Roman" w:eastAsia="仿宋" w:cs="Times New Roman"/>
          <w:sz w:val="32"/>
          <w:szCs w:val="22"/>
        </w:rPr>
        <w:t>预算过程中</w:t>
      </w:r>
      <w:r>
        <w:rPr>
          <w:rFonts w:hint="eastAsia" w:ascii="Times New Roman" w:hAnsi="Times New Roman" w:eastAsia="仿宋" w:cs="Times New Roman"/>
          <w:sz w:val="32"/>
          <w:szCs w:val="22"/>
          <w:lang w:eastAsia="zh-CN"/>
        </w:rPr>
        <w:t>，通过对全市政府网站应用系统服务及运维费用调查摸底，并结合项目运维需求、服务内容、配置规模等进行市场询价测算，</w:t>
      </w:r>
      <w:r>
        <w:rPr>
          <w:rFonts w:ascii="Times New Roman" w:hAnsi="Times New Roman" w:eastAsia="仿宋" w:cs="Times New Roman"/>
          <w:sz w:val="32"/>
          <w:szCs w:val="22"/>
        </w:rPr>
        <w:t>提出资金需求</w:t>
      </w:r>
      <w:r>
        <w:rPr>
          <w:rFonts w:hint="eastAsia" w:ascii="Times New Roman" w:hAnsi="Times New Roman" w:eastAsia="仿宋" w:cs="Times New Roman"/>
          <w:sz w:val="32"/>
          <w:szCs w:val="22"/>
          <w:lang w:eastAsia="zh-CN"/>
        </w:rPr>
        <w:t>共</w:t>
      </w:r>
      <w:r>
        <w:rPr>
          <w:rFonts w:ascii="Times New Roman" w:hAnsi="Times New Roman" w:eastAsia="仿宋" w:cs="Times New Roman"/>
          <w:sz w:val="32"/>
          <w:szCs w:val="22"/>
        </w:rPr>
        <w:t>6,220.61万元，经北京市财政局组织预算评审后，审定金额为4,448.98万元。根据《关于市级政府网站集约化平台运维资金保障有关工作的意见》，2021年项目资金参照2018年和2019年各市级部门因集约化平台可集约使用资金的年平均数4,403.78万元，由北京市财政局从各相关部门预算中统一划转至市经济和信息化局统筹使用。2021年2月15日北京市财政局批复了市经济和信息化局2021年部门预算，2月24日，市经济和信息化局批复首都之窗项目预算3</w:t>
      </w:r>
      <w:r>
        <w:rPr>
          <w:rFonts w:hint="eastAsia" w:ascii="Times New Roman" w:hAnsi="Times New Roman" w:eastAsia="仿宋" w:cs="Times New Roman"/>
          <w:sz w:val="32"/>
          <w:szCs w:val="22"/>
        </w:rPr>
        <w:t>,</w:t>
      </w:r>
      <w:r>
        <w:rPr>
          <w:rFonts w:ascii="Times New Roman" w:hAnsi="Times New Roman" w:eastAsia="仿宋" w:cs="Times New Roman"/>
          <w:sz w:val="32"/>
          <w:szCs w:val="22"/>
        </w:rPr>
        <w:t>056.89万元。</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项目在预算编制时论证不够充分，项目服务及运维内容与北京市政府网站集约化平台建设项目质保内容的边界不清晰；部分费用存在申报依据不充分、申报工作量或预算价格偏高等问题；项目预算评审审减率较高，预算编制的科学性仍需提升。</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（2）资金分配合理性</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项目</w:t>
      </w:r>
      <w:r>
        <w:rPr>
          <w:rFonts w:hint="eastAsia" w:ascii="Times New Roman" w:hAnsi="Times New Roman" w:eastAsia="仿宋" w:cs="Times New Roman"/>
          <w:sz w:val="32"/>
          <w:szCs w:val="22"/>
        </w:rPr>
        <w:t>根据北京市政府网站集约化平台建设基础及服务运维需求，结合各项运维服务的内容及范围、配置规模等因素分配预算资金。项目“</w:t>
      </w:r>
      <w:r>
        <w:rPr>
          <w:rFonts w:ascii="Times New Roman" w:hAnsi="Times New Roman" w:eastAsia="仿宋" w:cs="Times New Roman"/>
          <w:sz w:val="32"/>
          <w:szCs w:val="22"/>
        </w:rPr>
        <w:t>二下</w:t>
      </w:r>
      <w:r>
        <w:rPr>
          <w:rFonts w:hint="eastAsia" w:ascii="Times New Roman" w:hAnsi="Times New Roman" w:eastAsia="仿宋" w:cs="Times New Roman"/>
          <w:sz w:val="32"/>
          <w:szCs w:val="22"/>
        </w:rPr>
        <w:t>”</w:t>
      </w:r>
      <w:r>
        <w:rPr>
          <w:rFonts w:ascii="Times New Roman" w:hAnsi="Times New Roman" w:eastAsia="仿宋" w:cs="Times New Roman"/>
          <w:sz w:val="32"/>
          <w:szCs w:val="22"/>
        </w:rPr>
        <w:t>预算批复为3</w:t>
      </w:r>
      <w:r>
        <w:rPr>
          <w:rFonts w:hint="eastAsia" w:ascii="Times New Roman" w:hAnsi="Times New Roman" w:eastAsia="仿宋" w:cs="Times New Roman"/>
          <w:sz w:val="32"/>
          <w:szCs w:val="22"/>
          <w:lang w:val="en-US" w:eastAsia="zh-CN"/>
        </w:rPr>
        <w:t>,</w:t>
      </w:r>
      <w:r>
        <w:rPr>
          <w:rFonts w:ascii="Times New Roman" w:hAnsi="Times New Roman" w:eastAsia="仿宋" w:cs="Times New Roman"/>
          <w:sz w:val="32"/>
          <w:szCs w:val="22"/>
        </w:rPr>
        <w:t>056.89万元，资金分配如下：政府网站集约化平台政务云服务租用（1</w:t>
      </w:r>
      <w:r>
        <w:rPr>
          <w:rFonts w:hint="eastAsia" w:ascii="Times New Roman" w:hAnsi="Times New Roman" w:eastAsia="仿宋" w:cs="Times New Roman"/>
          <w:sz w:val="32"/>
          <w:szCs w:val="22"/>
          <w:lang w:val="en-US" w:eastAsia="zh-CN"/>
        </w:rPr>
        <w:t>,</w:t>
      </w:r>
      <w:r>
        <w:rPr>
          <w:rFonts w:ascii="Times New Roman" w:hAnsi="Times New Roman" w:eastAsia="仿宋" w:cs="Times New Roman"/>
          <w:sz w:val="32"/>
          <w:szCs w:val="22"/>
        </w:rPr>
        <w:t>382.87万元）、政府网站集约化平台安全接入及运维（336.2万元）、政府网站集约化平台应用系统运维（666.02万元）、政府网站集约化平台业务运维（671.8万元）</w:t>
      </w:r>
      <w:r>
        <w:rPr>
          <w:rFonts w:hint="eastAsia" w:ascii="Times New Roman" w:hAnsi="Times New Roman" w:eastAsia="仿宋" w:cs="Times New Roman"/>
          <w:sz w:val="32"/>
          <w:szCs w:val="22"/>
        </w:rPr>
        <w:t>，</w:t>
      </w:r>
      <w:r>
        <w:rPr>
          <w:rFonts w:ascii="Times New Roman" w:hAnsi="Times New Roman" w:eastAsia="仿宋" w:cs="Times New Roman"/>
          <w:sz w:val="32"/>
          <w:szCs w:val="22"/>
        </w:rPr>
        <w:t>资金分配额度合理，与项目实际相适应</w:t>
      </w:r>
      <w:r>
        <w:rPr>
          <w:rFonts w:hint="eastAsia" w:ascii="Times New Roman" w:hAnsi="Times New Roman" w:eastAsia="仿宋" w:cs="Times New Roman"/>
          <w:sz w:val="32"/>
          <w:szCs w:val="22"/>
        </w:rPr>
        <w:t>。</w:t>
      </w:r>
    </w:p>
    <w:p>
      <w:pPr>
        <w:spacing w:line="560" w:lineRule="exact"/>
        <w:ind w:firstLine="640" w:firstLineChars="200"/>
        <w:outlineLvl w:val="1"/>
        <w:rPr>
          <w:rFonts w:ascii="Times New Roman" w:hAnsi="Times New Roman" w:eastAsia="楷体" w:cs="Times New Roman"/>
          <w:sz w:val="32"/>
          <w:szCs w:val="20"/>
        </w:rPr>
      </w:pPr>
      <w:bookmarkStart w:id="103" w:name="_Toc16821"/>
      <w:bookmarkStart w:id="104" w:name="_Toc29990"/>
      <w:r>
        <w:rPr>
          <w:rFonts w:ascii="Times New Roman" w:hAnsi="Times New Roman" w:eastAsia="楷体" w:cs="Times New Roman"/>
          <w:sz w:val="32"/>
          <w:szCs w:val="20"/>
        </w:rPr>
        <w:t>（二）项目过程情况分析</w:t>
      </w:r>
      <w:bookmarkEnd w:id="103"/>
      <w:bookmarkEnd w:id="104"/>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过程指标分值20分，绩效评价得分为</w:t>
      </w:r>
      <w:r>
        <w:rPr>
          <w:rFonts w:hint="eastAsia" w:ascii="Times New Roman" w:hAnsi="Times New Roman" w:eastAsia="仿宋" w:cs="Times New Roman"/>
          <w:sz w:val="32"/>
          <w:szCs w:val="22"/>
        </w:rPr>
        <w:t>17.06</w:t>
      </w:r>
      <w:r>
        <w:rPr>
          <w:rFonts w:ascii="Times New Roman" w:hAnsi="Times New Roman" w:eastAsia="仿宋" w:cs="Times New Roman"/>
          <w:sz w:val="32"/>
          <w:szCs w:val="22"/>
        </w:rPr>
        <w:t>分。下设2个二级指标，5个三级指标，评分详见表</w:t>
      </w:r>
      <w:r>
        <w:rPr>
          <w:rFonts w:hint="eastAsia" w:ascii="Times New Roman" w:hAnsi="Times New Roman" w:eastAsia="仿宋" w:cs="Times New Roman"/>
          <w:sz w:val="32"/>
          <w:szCs w:val="22"/>
          <w:lang w:val="en-US" w:eastAsia="zh-CN"/>
        </w:rPr>
        <w:t>6</w:t>
      </w:r>
      <w:r>
        <w:rPr>
          <w:rFonts w:ascii="Times New Roman" w:hAnsi="Times New Roman" w:eastAsia="仿宋" w:cs="Times New Roman"/>
          <w:sz w:val="32"/>
          <w:szCs w:val="22"/>
        </w:rPr>
        <w:t>。</w:t>
      </w:r>
    </w:p>
    <w:p>
      <w:pPr>
        <w:adjustRightInd w:val="0"/>
        <w:snapToGrid w:val="0"/>
        <w:spacing w:line="560" w:lineRule="exact"/>
        <w:jc w:val="center"/>
        <w:rPr>
          <w:rFonts w:ascii="Times New Roman" w:hAnsi="Times New Roman" w:eastAsia="黑体" w:cs="Times New Roman"/>
          <w:color w:val="000000"/>
          <w:kern w:val="0"/>
          <w:sz w:val="28"/>
          <w:szCs w:val="28"/>
        </w:rPr>
      </w:pPr>
      <w:r>
        <w:rPr>
          <w:rFonts w:ascii="Times New Roman" w:hAnsi="Times New Roman" w:eastAsia="黑体" w:cs="Times New Roman"/>
          <w:color w:val="000000"/>
          <w:kern w:val="0"/>
          <w:sz w:val="28"/>
          <w:szCs w:val="28"/>
        </w:rPr>
        <w:t>表</w:t>
      </w:r>
      <w:r>
        <w:rPr>
          <w:rFonts w:hint="eastAsia" w:ascii="Times New Roman" w:hAnsi="Times New Roman" w:eastAsia="黑体" w:cs="Times New Roman"/>
          <w:color w:val="000000"/>
          <w:kern w:val="0"/>
          <w:sz w:val="28"/>
          <w:szCs w:val="28"/>
          <w:lang w:val="en-US" w:eastAsia="zh-CN"/>
        </w:rPr>
        <w:t>6</w:t>
      </w:r>
      <w:r>
        <w:rPr>
          <w:rFonts w:ascii="Times New Roman" w:hAnsi="Times New Roman" w:eastAsia="黑体" w:cs="Times New Roman"/>
          <w:color w:val="000000"/>
          <w:kern w:val="0"/>
          <w:sz w:val="28"/>
          <w:szCs w:val="28"/>
        </w:rPr>
        <w:t xml:space="preserve"> 项目过程指标设定及评分情况表</w:t>
      </w:r>
    </w:p>
    <w:tbl>
      <w:tblPr>
        <w:tblStyle w:val="17"/>
        <w:tblW w:w="867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7"/>
        <w:gridCol w:w="1930"/>
        <w:gridCol w:w="2268"/>
        <w:gridCol w:w="1077"/>
        <w:gridCol w:w="1077"/>
        <w:gridCol w:w="10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blHeader/>
          <w:jc w:val="center"/>
        </w:trPr>
        <w:tc>
          <w:tcPr>
            <w:tcW w:w="1247"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一级指标</w:t>
            </w:r>
          </w:p>
        </w:tc>
        <w:tc>
          <w:tcPr>
            <w:tcW w:w="1930"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二级指标</w:t>
            </w:r>
          </w:p>
        </w:tc>
        <w:tc>
          <w:tcPr>
            <w:tcW w:w="2268"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三级指标</w:t>
            </w:r>
          </w:p>
        </w:tc>
        <w:tc>
          <w:tcPr>
            <w:tcW w:w="1077"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分值</w:t>
            </w:r>
          </w:p>
        </w:tc>
        <w:tc>
          <w:tcPr>
            <w:tcW w:w="1077"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得分</w:t>
            </w:r>
          </w:p>
        </w:tc>
        <w:tc>
          <w:tcPr>
            <w:tcW w:w="1077"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47" w:type="dxa"/>
            <w:vAlign w:val="center"/>
          </w:tcPr>
          <w:p>
            <w:pPr>
              <w:jc w:val="center"/>
              <w:rPr>
                <w:rFonts w:ascii="Times New Roman" w:hAnsi="Times New Roman" w:eastAsia="宋体" w:cs="Times New Roman"/>
              </w:rPr>
            </w:pPr>
            <w:r>
              <w:rPr>
                <w:rFonts w:ascii="Times New Roman" w:hAnsi="Times New Roman" w:eastAsia="宋体" w:cs="Times New Roman"/>
              </w:rPr>
              <w:t>过程</w:t>
            </w:r>
          </w:p>
          <w:p>
            <w:pPr>
              <w:jc w:val="center"/>
              <w:rPr>
                <w:rFonts w:ascii="Times New Roman" w:hAnsi="Times New Roman" w:eastAsia="宋体" w:cs="Times New Roman"/>
              </w:rPr>
            </w:pPr>
            <w:r>
              <w:rPr>
                <w:rFonts w:ascii="Times New Roman" w:hAnsi="Times New Roman" w:eastAsia="宋体" w:cs="Times New Roman"/>
              </w:rPr>
              <w:t>（20分）</w:t>
            </w:r>
          </w:p>
        </w:tc>
        <w:tc>
          <w:tcPr>
            <w:tcW w:w="1930" w:type="dxa"/>
            <w:vAlign w:val="center"/>
          </w:tcPr>
          <w:p>
            <w:pPr>
              <w:jc w:val="center"/>
              <w:rPr>
                <w:rFonts w:ascii="Times New Roman" w:hAnsi="Times New Roman" w:eastAsia="宋体" w:cs="Times New Roman"/>
              </w:rPr>
            </w:pPr>
            <w:r>
              <w:rPr>
                <w:rFonts w:ascii="Times New Roman" w:hAnsi="Times New Roman" w:eastAsia="宋体" w:cs="Times New Roman"/>
              </w:rPr>
              <w:t>资金管理（10分）</w:t>
            </w:r>
          </w:p>
        </w:tc>
        <w:tc>
          <w:tcPr>
            <w:tcW w:w="2268" w:type="dxa"/>
            <w:vAlign w:val="center"/>
          </w:tcPr>
          <w:p>
            <w:pPr>
              <w:jc w:val="center"/>
              <w:rPr>
                <w:rFonts w:ascii="Times New Roman" w:hAnsi="Times New Roman" w:eastAsia="宋体" w:cs="Times New Roman"/>
              </w:rPr>
            </w:pPr>
            <w:r>
              <w:rPr>
                <w:rFonts w:ascii="Times New Roman" w:hAnsi="Times New Roman" w:eastAsia="宋体" w:cs="Times New Roman"/>
              </w:rPr>
              <w:t>资金到位率</w:t>
            </w:r>
          </w:p>
        </w:tc>
        <w:tc>
          <w:tcPr>
            <w:tcW w:w="1077" w:type="dxa"/>
            <w:vAlign w:val="center"/>
          </w:tcPr>
          <w:p>
            <w:pPr>
              <w:jc w:val="center"/>
              <w:rPr>
                <w:rFonts w:ascii="Times New Roman" w:hAnsi="Times New Roman" w:eastAsia="宋体" w:cs="Times New Roman"/>
              </w:rPr>
            </w:pPr>
            <w:r>
              <w:rPr>
                <w:rFonts w:ascii="Times New Roman" w:hAnsi="Times New Roman" w:eastAsia="宋体" w:cs="Times New Roman"/>
              </w:rPr>
              <w:t>2</w:t>
            </w:r>
            <w:r>
              <w:rPr>
                <w:rFonts w:ascii="Times New Roman" w:hAnsi="Times New Roman" w:eastAsia="宋体" w:cs="Times New Roman"/>
                <w:color w:val="000000"/>
                <w:kern w:val="0"/>
                <w:lang w:bidi="ar"/>
              </w:rPr>
              <w:t>.00</w:t>
            </w:r>
          </w:p>
        </w:tc>
        <w:tc>
          <w:tcPr>
            <w:tcW w:w="1077"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2.00</w:t>
            </w:r>
          </w:p>
        </w:tc>
        <w:tc>
          <w:tcPr>
            <w:tcW w:w="1077"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47" w:type="dxa"/>
            <w:vMerge w:val="restart"/>
            <w:vAlign w:val="center"/>
          </w:tcPr>
          <w:p>
            <w:pPr>
              <w:jc w:val="center"/>
              <w:rPr>
                <w:rFonts w:hint="eastAsia" w:ascii="Times New Roman" w:hAnsi="Times New Roman" w:eastAsia="宋体" w:cs="Times New Roman"/>
              </w:rPr>
            </w:pPr>
            <w:r>
              <w:rPr>
                <w:rFonts w:hint="eastAsia" w:ascii="Times New Roman" w:hAnsi="Times New Roman" w:eastAsia="宋体" w:cs="Times New Roman"/>
              </w:rPr>
              <w:t>过程</w:t>
            </w:r>
          </w:p>
          <w:p>
            <w:pPr>
              <w:jc w:val="center"/>
              <w:rPr>
                <w:rFonts w:ascii="Times New Roman" w:hAnsi="Times New Roman" w:eastAsia="宋体" w:cs="Times New Roman"/>
              </w:rPr>
            </w:pPr>
            <w:r>
              <w:rPr>
                <w:rFonts w:hint="eastAsia" w:ascii="Times New Roman" w:hAnsi="Times New Roman" w:eastAsia="宋体" w:cs="Times New Roman"/>
              </w:rPr>
              <w:t>（20分）</w:t>
            </w:r>
          </w:p>
        </w:tc>
        <w:tc>
          <w:tcPr>
            <w:tcW w:w="1930" w:type="dxa"/>
            <w:vMerge w:val="restart"/>
            <w:vAlign w:val="center"/>
          </w:tcPr>
          <w:p>
            <w:pPr>
              <w:jc w:val="center"/>
              <w:rPr>
                <w:rFonts w:ascii="Times New Roman" w:hAnsi="Times New Roman" w:eastAsia="宋体" w:cs="Times New Roman"/>
              </w:rPr>
            </w:pPr>
            <w:r>
              <w:rPr>
                <w:rFonts w:hint="eastAsia" w:ascii="Times New Roman" w:hAnsi="Times New Roman" w:eastAsia="宋体" w:cs="Times New Roman"/>
              </w:rPr>
              <w:t>资金管理（10分）</w:t>
            </w:r>
          </w:p>
        </w:tc>
        <w:tc>
          <w:tcPr>
            <w:tcW w:w="2268" w:type="dxa"/>
            <w:vAlign w:val="center"/>
          </w:tcPr>
          <w:p>
            <w:pPr>
              <w:jc w:val="center"/>
              <w:rPr>
                <w:rFonts w:ascii="Times New Roman" w:hAnsi="Times New Roman" w:eastAsia="宋体" w:cs="Times New Roman"/>
              </w:rPr>
            </w:pPr>
            <w:r>
              <w:rPr>
                <w:rFonts w:ascii="Times New Roman" w:hAnsi="Times New Roman" w:eastAsia="宋体" w:cs="Times New Roman"/>
              </w:rPr>
              <w:t>预算执行率</w:t>
            </w:r>
          </w:p>
        </w:tc>
        <w:tc>
          <w:tcPr>
            <w:tcW w:w="1077" w:type="dxa"/>
            <w:vAlign w:val="center"/>
          </w:tcPr>
          <w:p>
            <w:pPr>
              <w:jc w:val="center"/>
              <w:rPr>
                <w:rFonts w:ascii="Times New Roman" w:hAnsi="Times New Roman" w:eastAsia="宋体" w:cs="Times New Roman"/>
              </w:rPr>
            </w:pPr>
            <w:r>
              <w:rPr>
                <w:rFonts w:ascii="Times New Roman" w:hAnsi="Times New Roman" w:eastAsia="宋体" w:cs="Times New Roman"/>
              </w:rPr>
              <w:t>2</w:t>
            </w:r>
            <w:r>
              <w:rPr>
                <w:rFonts w:ascii="Times New Roman" w:hAnsi="Times New Roman" w:eastAsia="宋体" w:cs="Times New Roman"/>
                <w:color w:val="000000"/>
                <w:kern w:val="0"/>
                <w:lang w:bidi="ar"/>
              </w:rPr>
              <w:t>.00</w:t>
            </w:r>
          </w:p>
        </w:tc>
        <w:tc>
          <w:tcPr>
            <w:tcW w:w="1077"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2.00</w:t>
            </w:r>
          </w:p>
        </w:tc>
        <w:tc>
          <w:tcPr>
            <w:tcW w:w="1077"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47" w:type="dxa"/>
            <w:vMerge w:val="continue"/>
            <w:tcBorders/>
            <w:vAlign w:val="center"/>
          </w:tcPr>
          <w:p>
            <w:pPr>
              <w:jc w:val="center"/>
              <w:rPr>
                <w:rFonts w:ascii="Times New Roman" w:hAnsi="Times New Roman" w:eastAsia="宋体" w:cs="Times New Roman"/>
              </w:rPr>
            </w:pPr>
          </w:p>
        </w:tc>
        <w:tc>
          <w:tcPr>
            <w:tcW w:w="1930" w:type="dxa"/>
            <w:vMerge w:val="continue"/>
            <w:tcBorders/>
            <w:vAlign w:val="center"/>
          </w:tcPr>
          <w:p>
            <w:pPr>
              <w:jc w:val="center"/>
              <w:rPr>
                <w:rFonts w:ascii="Times New Roman" w:hAnsi="Times New Roman" w:eastAsia="宋体" w:cs="Times New Roman"/>
              </w:rPr>
            </w:pPr>
          </w:p>
        </w:tc>
        <w:tc>
          <w:tcPr>
            <w:tcW w:w="2268" w:type="dxa"/>
            <w:vAlign w:val="center"/>
          </w:tcPr>
          <w:p>
            <w:pPr>
              <w:jc w:val="center"/>
              <w:rPr>
                <w:rFonts w:ascii="Times New Roman" w:hAnsi="Times New Roman" w:eastAsia="宋体" w:cs="Times New Roman"/>
              </w:rPr>
            </w:pPr>
            <w:r>
              <w:rPr>
                <w:rFonts w:ascii="Times New Roman" w:hAnsi="Times New Roman" w:eastAsia="宋体" w:cs="Times New Roman"/>
              </w:rPr>
              <w:t>资金使用合规性</w:t>
            </w:r>
          </w:p>
        </w:tc>
        <w:tc>
          <w:tcPr>
            <w:tcW w:w="1077" w:type="dxa"/>
            <w:vAlign w:val="center"/>
          </w:tcPr>
          <w:p>
            <w:pPr>
              <w:jc w:val="center"/>
              <w:rPr>
                <w:rFonts w:ascii="Times New Roman" w:hAnsi="Times New Roman" w:eastAsia="宋体" w:cs="Times New Roman"/>
              </w:rPr>
            </w:pPr>
            <w:r>
              <w:rPr>
                <w:rFonts w:ascii="Times New Roman" w:hAnsi="Times New Roman" w:eastAsia="宋体" w:cs="Times New Roman"/>
              </w:rPr>
              <w:t>6</w:t>
            </w:r>
            <w:r>
              <w:rPr>
                <w:rFonts w:ascii="Times New Roman" w:hAnsi="Times New Roman" w:eastAsia="宋体" w:cs="Times New Roman"/>
                <w:color w:val="000000"/>
                <w:kern w:val="0"/>
                <w:lang w:bidi="ar"/>
              </w:rPr>
              <w:t>.00</w:t>
            </w:r>
          </w:p>
        </w:tc>
        <w:tc>
          <w:tcPr>
            <w:tcW w:w="1077"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5.68</w:t>
            </w:r>
          </w:p>
        </w:tc>
        <w:tc>
          <w:tcPr>
            <w:tcW w:w="1077"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94.67%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47" w:type="dxa"/>
            <w:vMerge w:val="continue"/>
            <w:tcBorders/>
            <w:vAlign w:val="center"/>
          </w:tcPr>
          <w:p>
            <w:pPr>
              <w:jc w:val="center"/>
              <w:rPr>
                <w:rFonts w:ascii="Times New Roman" w:hAnsi="Times New Roman" w:eastAsia="宋体" w:cs="Times New Roman"/>
              </w:rPr>
            </w:pPr>
          </w:p>
        </w:tc>
        <w:tc>
          <w:tcPr>
            <w:tcW w:w="1930" w:type="dxa"/>
            <w:vMerge w:val="restart"/>
            <w:vAlign w:val="center"/>
          </w:tcPr>
          <w:p>
            <w:pPr>
              <w:jc w:val="center"/>
              <w:rPr>
                <w:rFonts w:ascii="Times New Roman" w:hAnsi="Times New Roman" w:eastAsia="宋体" w:cs="Times New Roman"/>
              </w:rPr>
            </w:pPr>
            <w:r>
              <w:rPr>
                <w:rFonts w:ascii="Times New Roman" w:hAnsi="Times New Roman" w:eastAsia="宋体" w:cs="Times New Roman"/>
              </w:rPr>
              <w:t>组织实施（10分）</w:t>
            </w:r>
          </w:p>
        </w:tc>
        <w:tc>
          <w:tcPr>
            <w:tcW w:w="2268" w:type="dxa"/>
            <w:vAlign w:val="center"/>
          </w:tcPr>
          <w:p>
            <w:pPr>
              <w:jc w:val="center"/>
              <w:rPr>
                <w:rFonts w:ascii="Times New Roman" w:hAnsi="Times New Roman" w:eastAsia="宋体" w:cs="Times New Roman"/>
              </w:rPr>
            </w:pPr>
            <w:r>
              <w:rPr>
                <w:rFonts w:ascii="Times New Roman" w:hAnsi="Times New Roman" w:eastAsia="宋体" w:cs="Times New Roman"/>
              </w:rPr>
              <w:t>管理制度健全性</w:t>
            </w:r>
          </w:p>
        </w:tc>
        <w:tc>
          <w:tcPr>
            <w:tcW w:w="1077" w:type="dxa"/>
            <w:vAlign w:val="center"/>
          </w:tcPr>
          <w:p>
            <w:pPr>
              <w:jc w:val="center"/>
              <w:rPr>
                <w:rFonts w:ascii="Times New Roman" w:hAnsi="Times New Roman" w:eastAsia="宋体" w:cs="Times New Roman"/>
              </w:rPr>
            </w:pPr>
            <w:r>
              <w:rPr>
                <w:rFonts w:ascii="Times New Roman" w:hAnsi="Times New Roman" w:eastAsia="宋体" w:cs="Times New Roman"/>
              </w:rPr>
              <w:t>4</w:t>
            </w:r>
            <w:r>
              <w:rPr>
                <w:rFonts w:ascii="Times New Roman" w:hAnsi="Times New Roman" w:eastAsia="宋体" w:cs="Times New Roman"/>
                <w:color w:val="000000"/>
                <w:kern w:val="0"/>
                <w:lang w:bidi="ar"/>
              </w:rPr>
              <w:t>.00</w:t>
            </w:r>
          </w:p>
        </w:tc>
        <w:tc>
          <w:tcPr>
            <w:tcW w:w="1077"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3.42</w:t>
            </w:r>
          </w:p>
        </w:tc>
        <w:tc>
          <w:tcPr>
            <w:tcW w:w="1077"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85.50%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47" w:type="dxa"/>
            <w:vMerge w:val="continue"/>
            <w:tcBorders/>
            <w:vAlign w:val="center"/>
          </w:tcPr>
          <w:p>
            <w:pPr>
              <w:jc w:val="center"/>
              <w:rPr>
                <w:rFonts w:ascii="Times New Roman" w:hAnsi="Times New Roman" w:eastAsia="宋体" w:cs="Times New Roman"/>
              </w:rPr>
            </w:pPr>
          </w:p>
        </w:tc>
        <w:tc>
          <w:tcPr>
            <w:tcW w:w="1930" w:type="dxa"/>
            <w:vMerge w:val="continue"/>
            <w:vAlign w:val="center"/>
          </w:tcPr>
          <w:p>
            <w:pPr>
              <w:jc w:val="center"/>
              <w:rPr>
                <w:rFonts w:ascii="Times New Roman" w:hAnsi="Times New Roman" w:eastAsia="宋体" w:cs="Times New Roman"/>
              </w:rPr>
            </w:pPr>
          </w:p>
        </w:tc>
        <w:tc>
          <w:tcPr>
            <w:tcW w:w="2268" w:type="dxa"/>
            <w:vAlign w:val="center"/>
          </w:tcPr>
          <w:p>
            <w:pPr>
              <w:jc w:val="center"/>
              <w:rPr>
                <w:rFonts w:ascii="Times New Roman" w:hAnsi="Times New Roman" w:eastAsia="宋体" w:cs="Times New Roman"/>
              </w:rPr>
            </w:pPr>
            <w:r>
              <w:rPr>
                <w:rFonts w:ascii="Times New Roman" w:hAnsi="Times New Roman" w:eastAsia="宋体" w:cs="Times New Roman"/>
              </w:rPr>
              <w:t>制度执行有效性</w:t>
            </w:r>
          </w:p>
        </w:tc>
        <w:tc>
          <w:tcPr>
            <w:tcW w:w="1077" w:type="dxa"/>
            <w:vAlign w:val="center"/>
          </w:tcPr>
          <w:p>
            <w:pPr>
              <w:jc w:val="center"/>
              <w:rPr>
                <w:rFonts w:ascii="Times New Roman" w:hAnsi="Times New Roman" w:eastAsia="宋体" w:cs="Times New Roman"/>
              </w:rPr>
            </w:pPr>
            <w:r>
              <w:rPr>
                <w:rFonts w:ascii="Times New Roman" w:hAnsi="Times New Roman" w:eastAsia="宋体" w:cs="Times New Roman"/>
              </w:rPr>
              <w:t>6</w:t>
            </w:r>
            <w:r>
              <w:rPr>
                <w:rFonts w:ascii="Times New Roman" w:hAnsi="Times New Roman" w:eastAsia="宋体" w:cs="Times New Roman"/>
                <w:color w:val="000000"/>
                <w:kern w:val="0"/>
                <w:lang w:bidi="ar"/>
              </w:rPr>
              <w:t>.00</w:t>
            </w:r>
          </w:p>
        </w:tc>
        <w:tc>
          <w:tcPr>
            <w:tcW w:w="1077"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3.96</w:t>
            </w:r>
          </w:p>
        </w:tc>
        <w:tc>
          <w:tcPr>
            <w:tcW w:w="1077"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66.00%</w:t>
            </w:r>
          </w:p>
        </w:tc>
      </w:tr>
    </w:tbl>
    <w:p>
      <w:pPr>
        <w:spacing w:line="560" w:lineRule="exact"/>
        <w:outlineLvl w:val="2"/>
        <w:rPr>
          <w:rFonts w:ascii="Times New Roman" w:hAnsi="Times New Roman" w:eastAsia="仿宋" w:cs="Times New Roman"/>
          <w:bCs/>
          <w:sz w:val="32"/>
          <w:szCs w:val="20"/>
        </w:rPr>
      </w:pPr>
      <w:bookmarkStart w:id="105" w:name="_Toc6180"/>
      <w:bookmarkStart w:id="106" w:name="_Toc2075"/>
      <w:bookmarkStart w:id="107" w:name="_Toc7287"/>
    </w:p>
    <w:p>
      <w:pPr>
        <w:spacing w:line="560" w:lineRule="exact"/>
        <w:ind w:firstLine="643" w:firstLineChars="200"/>
        <w:outlineLvl w:val="2"/>
        <w:rPr>
          <w:rFonts w:ascii="Times New Roman" w:hAnsi="Times New Roman" w:eastAsia="仿宋" w:cs="Times New Roman"/>
          <w:b/>
          <w:sz w:val="32"/>
          <w:szCs w:val="20"/>
        </w:rPr>
      </w:pPr>
      <w:bookmarkStart w:id="108" w:name="_Toc15081"/>
      <w:bookmarkStart w:id="109" w:name="_Toc32395"/>
      <w:r>
        <w:rPr>
          <w:rFonts w:ascii="Times New Roman" w:hAnsi="Times New Roman" w:eastAsia="仿宋" w:cs="Times New Roman"/>
          <w:b/>
          <w:sz w:val="32"/>
          <w:szCs w:val="20"/>
        </w:rPr>
        <w:t>1.资金管理情况分析</w:t>
      </w:r>
      <w:bookmarkEnd w:id="105"/>
      <w:bookmarkEnd w:id="106"/>
      <w:bookmarkEnd w:id="107"/>
      <w:bookmarkEnd w:id="108"/>
      <w:bookmarkEnd w:id="109"/>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（1）资金到位情况</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2021年2月24日，根据《北京市经济和信息化局关于批复首都之窗运行管理中心2021年预算的通知》（京经信发〔2021〕35号），</w:t>
      </w:r>
      <w:r>
        <w:rPr>
          <w:rFonts w:hint="eastAsia" w:ascii="Times New Roman" w:hAnsi="Times New Roman" w:eastAsia="仿宋" w:cs="Times New Roman"/>
          <w:sz w:val="32"/>
          <w:szCs w:val="22"/>
        </w:rPr>
        <w:t>市经济和信息化局</w:t>
      </w:r>
      <w:r>
        <w:rPr>
          <w:rFonts w:ascii="Times New Roman" w:hAnsi="Times New Roman" w:eastAsia="仿宋" w:cs="Times New Roman"/>
          <w:sz w:val="32"/>
          <w:szCs w:val="22"/>
        </w:rPr>
        <w:t>批复</w:t>
      </w:r>
      <w:r>
        <w:rPr>
          <w:rFonts w:hint="eastAsia" w:ascii="Times New Roman" w:hAnsi="Times New Roman" w:eastAsia="仿宋" w:cs="Times New Roman"/>
          <w:sz w:val="32"/>
          <w:szCs w:val="22"/>
        </w:rPr>
        <w:t>首都之窗</w:t>
      </w:r>
      <w:r>
        <w:rPr>
          <w:rFonts w:ascii="Times New Roman" w:hAnsi="Times New Roman" w:eastAsia="仿宋" w:cs="Times New Roman"/>
          <w:sz w:val="32"/>
          <w:szCs w:val="22"/>
        </w:rPr>
        <w:t>2021年项目资金3</w:t>
      </w:r>
      <w:r>
        <w:rPr>
          <w:rFonts w:hint="eastAsia" w:ascii="Times New Roman" w:hAnsi="Times New Roman" w:eastAsia="仿宋" w:cs="Times New Roman"/>
          <w:sz w:val="32"/>
          <w:szCs w:val="22"/>
        </w:rPr>
        <w:t>,</w:t>
      </w:r>
      <w:r>
        <w:rPr>
          <w:rFonts w:ascii="Times New Roman" w:hAnsi="Times New Roman" w:eastAsia="仿宋" w:cs="Times New Roman"/>
          <w:sz w:val="32"/>
          <w:szCs w:val="22"/>
        </w:rPr>
        <w:t>056.89万元，项目资金均为当年财政拨款预算，资金到位率100%。</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（2）预算执行情况</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由于项目中政府网站集约化平台应用系统运维费用存在招标结余，根据《北京市财政局关于调整和追加北京市经济和信息化局2021年部门预算资金的函》（京财经建指〔2021〕2056号），调减2021年项目经费19.89万元，调整后项目总预算3,037万元。</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截至2021年12月31日，项目实际支出3,037万元，项目预算执行率100%。</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（3）资金使用合规性</w:t>
      </w:r>
    </w:p>
    <w:p>
      <w:pPr>
        <w:spacing w:line="560" w:lineRule="exact"/>
        <w:ind w:firstLine="640" w:firstLineChars="200"/>
        <w:rPr>
          <w:rFonts w:ascii="Times New Roman" w:hAnsi="Times New Roman" w:eastAsia="仿宋" w:cs="Times New Roman"/>
          <w:color w:val="auto"/>
          <w:sz w:val="32"/>
          <w:szCs w:val="22"/>
          <w:highlight w:val="none"/>
        </w:rPr>
      </w:pPr>
      <w:r>
        <w:rPr>
          <w:rFonts w:ascii="Times New Roman" w:hAnsi="Times New Roman" w:eastAsia="仿宋" w:cs="Times New Roman"/>
          <w:sz w:val="32"/>
          <w:szCs w:val="22"/>
        </w:rPr>
        <w:t>首都之窗在项目预算申报、招标、合同签订、项目经费支付等环节，根据中心《内部控制工作管理办法》《</w:t>
      </w:r>
      <w:r>
        <w:rPr>
          <w:rFonts w:hint="eastAsia" w:ascii="Times New Roman" w:hAnsi="Times New Roman" w:eastAsia="仿宋" w:cs="Times New Roman"/>
          <w:sz w:val="32"/>
          <w:szCs w:val="22"/>
        </w:rPr>
        <w:t>“</w:t>
      </w:r>
      <w:r>
        <w:rPr>
          <w:rFonts w:ascii="Times New Roman" w:hAnsi="Times New Roman" w:eastAsia="仿宋" w:cs="Times New Roman"/>
          <w:sz w:val="32"/>
          <w:szCs w:val="22"/>
        </w:rPr>
        <w:t>三重一大</w:t>
      </w:r>
      <w:r>
        <w:rPr>
          <w:rFonts w:hint="eastAsia" w:ascii="Times New Roman" w:hAnsi="Times New Roman" w:eastAsia="仿宋" w:cs="Times New Roman"/>
          <w:sz w:val="32"/>
          <w:szCs w:val="22"/>
        </w:rPr>
        <w:t>”</w:t>
      </w:r>
      <w:r>
        <w:rPr>
          <w:rFonts w:ascii="Times New Roman" w:hAnsi="Times New Roman" w:eastAsia="仿宋" w:cs="Times New Roman"/>
          <w:sz w:val="32"/>
          <w:szCs w:val="22"/>
        </w:rPr>
        <w:t>决策制度实施办法》《预算和项目管理办法》《合同管理办法》《财务管理制度》等相关制度的管理要求进行资金使用和财务管控，</w:t>
      </w:r>
      <w:r>
        <w:rPr>
          <w:rFonts w:hint="eastAsia" w:ascii="Times New Roman" w:hAnsi="Times New Roman" w:eastAsia="仿宋" w:cs="Times New Roman"/>
          <w:color w:val="auto"/>
          <w:sz w:val="32"/>
          <w:szCs w:val="22"/>
          <w:highlight w:val="none"/>
        </w:rPr>
        <w:t>未发现</w:t>
      </w:r>
      <w:r>
        <w:rPr>
          <w:rFonts w:hint="eastAsia" w:ascii="Times New Roman" w:hAnsi="Times New Roman" w:eastAsia="仿宋" w:cs="Times New Roman"/>
          <w:color w:val="auto"/>
          <w:sz w:val="32"/>
          <w:szCs w:val="22"/>
          <w:highlight w:val="none"/>
          <w:lang w:eastAsia="zh-CN"/>
        </w:rPr>
        <w:t>资金截留、挤占、挪用、虚列支出等</w:t>
      </w:r>
      <w:r>
        <w:rPr>
          <w:rFonts w:hint="eastAsia" w:ascii="Times New Roman" w:hAnsi="Times New Roman" w:eastAsia="仿宋" w:cs="Times New Roman"/>
          <w:color w:val="auto"/>
          <w:sz w:val="32"/>
          <w:szCs w:val="22"/>
          <w:highlight w:val="none"/>
        </w:rPr>
        <w:t>问题</w:t>
      </w:r>
      <w:r>
        <w:rPr>
          <w:rFonts w:ascii="Times New Roman" w:hAnsi="Times New Roman" w:eastAsia="仿宋" w:cs="Times New Roman"/>
          <w:color w:val="auto"/>
          <w:sz w:val="32"/>
          <w:szCs w:val="22"/>
          <w:highlight w:val="none"/>
        </w:rPr>
        <w:t>。</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首都之窗根据《北京市政府网站集约化平台服务及运维项目合同》的支付条款，分三次支付合同金额共3,037万元，其中第一笔支付合同金额70%，第二笔支付合同金额25%，第三笔支付合同金额5%。收取银行开具的履约保函，保证金额为合同金额的10%，履约保函有效期为项目服务期结束后3个月内。项目资金支出程序由经办人填报相关材料，经项目负责人、分管主任、财务人员审核签字，报请主任审批，后支付款项</w:t>
      </w:r>
      <w:r>
        <w:rPr>
          <w:rFonts w:hint="eastAsia" w:ascii="Times New Roman" w:hAnsi="Times New Roman" w:eastAsia="仿宋" w:cs="Times New Roman"/>
          <w:sz w:val="32"/>
          <w:szCs w:val="22"/>
        </w:rPr>
        <w:t>，</w:t>
      </w:r>
      <w:r>
        <w:rPr>
          <w:rFonts w:ascii="Times New Roman" w:hAnsi="Times New Roman" w:eastAsia="仿宋" w:cs="Times New Roman"/>
          <w:sz w:val="32"/>
          <w:szCs w:val="22"/>
        </w:rPr>
        <w:t>符合《财务管理制度》要求，项目会计核算、资金使用程序较为规范。</w:t>
      </w:r>
    </w:p>
    <w:p>
      <w:pPr>
        <w:spacing w:line="560" w:lineRule="exact"/>
        <w:ind w:firstLine="643" w:firstLineChars="200"/>
        <w:outlineLvl w:val="2"/>
        <w:rPr>
          <w:rFonts w:ascii="Times New Roman" w:hAnsi="Times New Roman" w:eastAsia="仿宋" w:cs="Times New Roman"/>
          <w:b/>
          <w:sz w:val="32"/>
          <w:szCs w:val="20"/>
        </w:rPr>
      </w:pPr>
      <w:bookmarkStart w:id="110" w:name="_Toc17709"/>
      <w:bookmarkStart w:id="111" w:name="_Toc4226"/>
      <w:bookmarkStart w:id="112" w:name="_Toc26427"/>
      <w:bookmarkStart w:id="113" w:name="_Toc20178"/>
      <w:bookmarkStart w:id="114" w:name="_Toc28512"/>
      <w:r>
        <w:rPr>
          <w:rFonts w:ascii="Times New Roman" w:hAnsi="Times New Roman" w:eastAsia="仿宋" w:cs="Times New Roman"/>
          <w:b/>
          <w:sz w:val="32"/>
          <w:szCs w:val="20"/>
        </w:rPr>
        <w:t>2.组织实施情况分析</w:t>
      </w:r>
      <w:bookmarkEnd w:id="110"/>
      <w:bookmarkEnd w:id="111"/>
      <w:bookmarkEnd w:id="112"/>
      <w:bookmarkEnd w:id="113"/>
      <w:bookmarkEnd w:id="114"/>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（1）管理制度健全性</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首都之窗制定中心《内部控制工作管理办法》《预算和项目管理办法》《政府采购工作管理办法》《合同管理办法》《财务管理制度》等管理制度，明确项目决策、招标、合同签订及资金使用等管理要求，规范项目管理的重要环节，防范和管控经济活动的风险。</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首都之窗根据北京市政府网站集约化平台运行情况，对项目管理规范和标准制度进行完善，新增编制《北京市政府网站集约化平台日常信息发布工作要求》《北京市政府网站集约化平台服务及应用每日巡检实操手册》《北京市政府网站错敏词、涉密文档的日常监测及处理工作规范》《北京市政府网站集约化平台功能升级管理规定》等标准规范，规范平台的各项运维和管理工作。项目管理制度</w:t>
      </w:r>
      <w:r>
        <w:rPr>
          <w:rFonts w:hint="eastAsia" w:ascii="Times New Roman" w:hAnsi="Times New Roman" w:eastAsia="仿宋" w:cs="Times New Roman"/>
          <w:sz w:val="32"/>
          <w:szCs w:val="22"/>
          <w:lang w:eastAsia="zh-CN"/>
        </w:rPr>
        <w:t>比较健全</w:t>
      </w:r>
      <w:r>
        <w:rPr>
          <w:rFonts w:ascii="Times New Roman" w:hAnsi="Times New Roman" w:eastAsia="仿宋" w:cs="Times New Roman"/>
          <w:sz w:val="32"/>
          <w:szCs w:val="22"/>
        </w:rPr>
        <w:t>。</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（2）制度执行有效性</w:t>
      </w:r>
    </w:p>
    <w:p>
      <w:pPr>
        <w:spacing w:line="560" w:lineRule="exact"/>
        <w:ind w:firstLine="643" w:firstLineChars="200"/>
        <w:rPr>
          <w:rFonts w:ascii="Times New Roman" w:hAnsi="Times New Roman" w:eastAsia="仿宋" w:cs="Times New Roman"/>
          <w:sz w:val="32"/>
          <w:szCs w:val="22"/>
        </w:rPr>
      </w:pPr>
      <w:r>
        <w:rPr>
          <w:rFonts w:ascii="Times New Roman" w:hAnsi="Times New Roman" w:eastAsia="仿宋" w:cs="Times New Roman"/>
          <w:b/>
          <w:bCs/>
          <w:sz w:val="32"/>
          <w:szCs w:val="22"/>
        </w:rPr>
        <w:t>组织管理机构方面：</w:t>
      </w:r>
      <w:r>
        <w:rPr>
          <w:rFonts w:ascii="Times New Roman" w:hAnsi="Times New Roman" w:eastAsia="仿宋" w:cs="Times New Roman"/>
          <w:sz w:val="32"/>
          <w:szCs w:val="22"/>
        </w:rPr>
        <w:t>首都之窗网站服务部作为项目牵头部门，负责本项目工作的组织、规划和协调，各业务部门配合。项目牵头部门和项目负责人整体把控项目进度及成果质量，定期收集月报、季度工作报告、年度工作报告等，定期组织例会了解项目进展情况，按照项目计划监督管理项目的实施情况。</w:t>
      </w:r>
    </w:p>
    <w:p>
      <w:pPr>
        <w:spacing w:line="560" w:lineRule="exact"/>
        <w:ind w:firstLine="643" w:firstLineChars="200"/>
        <w:rPr>
          <w:rFonts w:ascii="Times New Roman" w:hAnsi="Times New Roman" w:eastAsia="仿宋" w:cs="Times New Roman"/>
          <w:sz w:val="32"/>
          <w:szCs w:val="22"/>
        </w:rPr>
      </w:pPr>
      <w:r>
        <w:rPr>
          <w:rFonts w:ascii="Times New Roman" w:hAnsi="Times New Roman" w:eastAsia="仿宋" w:cs="Times New Roman"/>
          <w:b/>
          <w:bCs/>
          <w:sz w:val="32"/>
          <w:szCs w:val="22"/>
        </w:rPr>
        <w:t>项目招标与合同管理方面：</w:t>
      </w:r>
      <w:r>
        <w:rPr>
          <w:rFonts w:ascii="Times New Roman" w:hAnsi="Times New Roman" w:eastAsia="仿宋" w:cs="Times New Roman"/>
          <w:sz w:val="32"/>
          <w:szCs w:val="22"/>
        </w:rPr>
        <w:t>首都之窗按照《北京市经济和信息化局招标管理办法》和《首都之窗运行管理中心政府采购工作管理办法》要求制定项目招标方案，经主任办公会、局党组（扩大）会议审议通过后开展招标工作，确定中标供应商为首信云技术有限公司，于2021年6月24日签署项目合同。</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但合同签署时间滞后于项目服务</w:t>
      </w:r>
      <w:r>
        <w:rPr>
          <w:rFonts w:hint="eastAsia" w:ascii="Times New Roman" w:hAnsi="Times New Roman" w:eastAsia="仿宋" w:cs="Times New Roman"/>
          <w:sz w:val="32"/>
          <w:szCs w:val="22"/>
          <w:lang w:eastAsia="zh-CN"/>
        </w:rPr>
        <w:t>开始</w:t>
      </w:r>
      <w:r>
        <w:rPr>
          <w:rFonts w:ascii="Times New Roman" w:hAnsi="Times New Roman" w:eastAsia="仿宋" w:cs="Times New Roman"/>
          <w:sz w:val="32"/>
          <w:szCs w:val="22"/>
        </w:rPr>
        <w:t>日期</w:t>
      </w:r>
      <w:r>
        <w:rPr>
          <w:rFonts w:hint="eastAsia" w:ascii="Times New Roman" w:hAnsi="Times New Roman" w:eastAsia="仿宋" w:cs="Times New Roman"/>
          <w:sz w:val="32"/>
          <w:szCs w:val="22"/>
          <w:lang w:eastAsia="zh-CN"/>
        </w:rPr>
        <w:t>，</w:t>
      </w:r>
      <w:r>
        <w:rPr>
          <w:rFonts w:ascii="Times New Roman" w:hAnsi="Times New Roman" w:eastAsia="仿宋" w:cs="Times New Roman"/>
          <w:sz w:val="32"/>
          <w:szCs w:val="22"/>
        </w:rPr>
        <w:t>合同约定服务期限为</w:t>
      </w:r>
      <w:r>
        <w:rPr>
          <w:rFonts w:hint="eastAsia" w:ascii="Times New Roman" w:hAnsi="Times New Roman" w:eastAsia="仿宋" w:cs="Times New Roman"/>
          <w:sz w:val="32"/>
          <w:szCs w:val="22"/>
        </w:rPr>
        <w:t>“</w:t>
      </w:r>
      <w:r>
        <w:rPr>
          <w:rFonts w:ascii="Times New Roman" w:hAnsi="Times New Roman" w:eastAsia="仿宋" w:cs="Times New Roman"/>
          <w:sz w:val="32"/>
          <w:szCs w:val="22"/>
        </w:rPr>
        <w:t>自合同签署日至2021年12月31日</w:t>
      </w:r>
      <w:r>
        <w:rPr>
          <w:rFonts w:hint="eastAsia" w:ascii="Times New Roman" w:hAnsi="Times New Roman" w:eastAsia="仿宋" w:cs="Times New Roman"/>
          <w:sz w:val="32"/>
          <w:szCs w:val="22"/>
        </w:rPr>
        <w:t>”</w:t>
      </w:r>
      <w:r>
        <w:rPr>
          <w:rFonts w:ascii="Times New Roman" w:hAnsi="Times New Roman" w:eastAsia="仿宋" w:cs="Times New Roman"/>
          <w:sz w:val="32"/>
          <w:szCs w:val="22"/>
        </w:rPr>
        <w:t>，与项目实施周期2021年全年不一致。首都之窗未直接委托测评机构开展等级保护三级测评，项目等级保护测评报告由首信云技术有限公司委托北京信息安全测评中心出具，可能影响等级保护测评报告的独立性和有效性。</w:t>
      </w:r>
    </w:p>
    <w:p>
      <w:pPr>
        <w:spacing w:line="560" w:lineRule="exact"/>
        <w:ind w:firstLine="643" w:firstLineChars="200"/>
        <w:rPr>
          <w:rFonts w:ascii="Times New Roman" w:hAnsi="Times New Roman" w:eastAsia="仿宋" w:cs="Times New Roman"/>
          <w:sz w:val="32"/>
          <w:szCs w:val="22"/>
        </w:rPr>
      </w:pPr>
      <w:r>
        <w:rPr>
          <w:rFonts w:ascii="Times New Roman" w:hAnsi="Times New Roman" w:eastAsia="仿宋" w:cs="Times New Roman"/>
          <w:b/>
          <w:bCs/>
          <w:sz w:val="32"/>
          <w:szCs w:val="22"/>
        </w:rPr>
        <w:t>项目过程管理方面：</w:t>
      </w:r>
      <w:r>
        <w:rPr>
          <w:rFonts w:ascii="Times New Roman" w:hAnsi="Times New Roman" w:eastAsia="仿宋" w:cs="Times New Roman"/>
          <w:sz w:val="32"/>
          <w:szCs w:val="22"/>
        </w:rPr>
        <w:t>首都之窗建立项目例会制度、周报制度以及不定期的专题会议机制，规范开展项目管理，及时发现并解决项目运行的潜在问题，针对重点问题实施跟踪管理措施。加强项目事前事中事后监管，设立运维监督管理小组，对运维日常工作进行全过程监督控制，对供应商的信息服务产品进行质量检验，每月对整体运维产品质量进行评估和考核。</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但项目实施方案有待完善，实施方案中项目组织机构的职责分工不够明确，缺少主责方监督考核机制；缺少项目成果验收、风险应对措施等内容；项目管控措施不够具体，有效性不足。项目过程管理资料不充分，运维故障记录、运行日志、考勤记录等资料记录、归档工作有待加强。</w:t>
      </w:r>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项目开展应急演练、</w:t>
      </w:r>
      <w:r>
        <w:rPr>
          <w:rFonts w:hint="eastAsia" w:ascii="Times New Roman" w:hAnsi="Times New Roman" w:eastAsia="仿宋" w:cs="Times New Roman"/>
          <w:sz w:val="32"/>
          <w:szCs w:val="22"/>
        </w:rPr>
        <w:t>安全态势</w:t>
      </w:r>
      <w:r>
        <w:rPr>
          <w:rFonts w:ascii="Times New Roman" w:hAnsi="Times New Roman" w:eastAsia="仿宋" w:cs="Times New Roman"/>
          <w:sz w:val="32"/>
          <w:szCs w:val="22"/>
        </w:rPr>
        <w:t>分析等工作的深度及有效性不足。应急演练报告未明确应急演练目的、组织情况、发现问题及总结分析等内容；</w:t>
      </w:r>
      <w:r>
        <w:rPr>
          <w:rFonts w:hint="eastAsia" w:ascii="Times New Roman" w:hAnsi="Times New Roman" w:eastAsia="仿宋" w:cs="Times New Roman"/>
          <w:sz w:val="32"/>
          <w:szCs w:val="22"/>
        </w:rPr>
        <w:t>安全态势</w:t>
      </w:r>
      <w:r>
        <w:rPr>
          <w:rFonts w:ascii="Times New Roman" w:hAnsi="Times New Roman" w:eastAsia="仿宋" w:cs="Times New Roman"/>
          <w:sz w:val="32"/>
          <w:szCs w:val="22"/>
        </w:rPr>
        <w:t>分析报告未针对集约化平台的问题、特点进行分析。建议结合项目实际情况，针对深层次的问题开展应急演练及</w:t>
      </w:r>
      <w:r>
        <w:rPr>
          <w:rFonts w:hint="eastAsia" w:ascii="Times New Roman" w:hAnsi="Times New Roman" w:eastAsia="仿宋" w:cs="Times New Roman"/>
          <w:sz w:val="32"/>
          <w:szCs w:val="22"/>
        </w:rPr>
        <w:t>安全态势</w:t>
      </w:r>
      <w:r>
        <w:rPr>
          <w:rFonts w:ascii="Times New Roman" w:hAnsi="Times New Roman" w:eastAsia="仿宋" w:cs="Times New Roman"/>
          <w:sz w:val="32"/>
          <w:szCs w:val="22"/>
        </w:rPr>
        <w:t>分析工作。</w:t>
      </w:r>
    </w:p>
    <w:p>
      <w:pPr>
        <w:spacing w:line="560" w:lineRule="exact"/>
        <w:ind w:firstLine="643" w:firstLineChars="200"/>
        <w:rPr>
          <w:rFonts w:ascii="Times New Roman" w:hAnsi="Times New Roman" w:eastAsia="仿宋" w:cs="Times New Roman"/>
          <w:sz w:val="32"/>
          <w:szCs w:val="22"/>
        </w:rPr>
      </w:pPr>
      <w:r>
        <w:rPr>
          <w:rFonts w:ascii="Times New Roman" w:hAnsi="Times New Roman" w:eastAsia="仿宋" w:cs="Times New Roman"/>
          <w:b/>
          <w:bCs/>
          <w:sz w:val="32"/>
          <w:szCs w:val="22"/>
        </w:rPr>
        <w:t>项目成果验收方面：</w:t>
      </w:r>
      <w:r>
        <w:rPr>
          <w:rFonts w:ascii="Times New Roman" w:hAnsi="Times New Roman" w:eastAsia="仿宋" w:cs="Times New Roman"/>
          <w:sz w:val="32"/>
          <w:szCs w:val="22"/>
        </w:rPr>
        <w:t>首都之窗按照中心《预算和项目管理办法》要求，组织专家对项目完成情况进行评审验收。经专家组评定，项目完成合同约定的服务事项及内容，达到合同约定的质量要求，项目提交的验收文档资料齐全、管理规范，满足项目验收条件，同意项目通过验收。项目验收结题报告经中心主任办公会审议通过，项目验收程序规范。</w:t>
      </w:r>
    </w:p>
    <w:p>
      <w:pPr>
        <w:spacing w:line="560" w:lineRule="exact"/>
        <w:ind w:firstLine="640" w:firstLineChars="200"/>
        <w:outlineLvl w:val="1"/>
        <w:rPr>
          <w:rFonts w:ascii="Times New Roman" w:hAnsi="Times New Roman" w:eastAsia="楷体" w:cs="Times New Roman"/>
          <w:sz w:val="32"/>
          <w:szCs w:val="20"/>
        </w:rPr>
      </w:pPr>
      <w:bookmarkStart w:id="115" w:name="_Toc10545"/>
      <w:bookmarkStart w:id="116" w:name="_Toc18088"/>
      <w:bookmarkStart w:id="117" w:name="_Toc17010"/>
      <w:bookmarkStart w:id="118" w:name="_Toc6270"/>
      <w:bookmarkStart w:id="119" w:name="_Toc20779"/>
      <w:bookmarkStart w:id="120" w:name="_Toc14281"/>
      <w:bookmarkStart w:id="121" w:name="_Toc27916"/>
      <w:bookmarkStart w:id="122" w:name="_Toc18112"/>
      <w:bookmarkStart w:id="123" w:name="_Toc22345"/>
      <w:bookmarkStart w:id="124" w:name="_Toc35420699"/>
      <w:bookmarkStart w:id="125" w:name="_Toc36129076"/>
      <w:bookmarkStart w:id="126" w:name="_Toc8605"/>
      <w:bookmarkStart w:id="127" w:name="_Toc26710"/>
      <w:bookmarkStart w:id="128" w:name="_Toc20269"/>
      <w:bookmarkStart w:id="129" w:name="_Toc8582"/>
      <w:bookmarkStart w:id="130" w:name="_Toc28129"/>
      <w:r>
        <w:rPr>
          <w:rFonts w:ascii="Times New Roman" w:hAnsi="Times New Roman" w:eastAsia="楷体" w:cs="Times New Roman"/>
          <w:sz w:val="32"/>
          <w:szCs w:val="20"/>
        </w:rPr>
        <w:t>（三）项目产出情况分析</w:t>
      </w:r>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产出指标分值30分，绩效评价得分为</w:t>
      </w:r>
      <w:r>
        <w:rPr>
          <w:rFonts w:hint="eastAsia" w:ascii="Times New Roman" w:hAnsi="Times New Roman" w:eastAsia="仿宋" w:cs="Times New Roman"/>
          <w:sz w:val="32"/>
          <w:szCs w:val="22"/>
        </w:rPr>
        <w:t>25.70</w:t>
      </w:r>
      <w:r>
        <w:rPr>
          <w:rFonts w:ascii="Times New Roman" w:hAnsi="Times New Roman" w:eastAsia="仿宋" w:cs="Times New Roman"/>
          <w:sz w:val="32"/>
          <w:szCs w:val="22"/>
        </w:rPr>
        <w:t>分。下设4个二级指标，4个三级指标。评分详见表</w:t>
      </w:r>
      <w:r>
        <w:rPr>
          <w:rFonts w:hint="eastAsia" w:ascii="Times New Roman" w:hAnsi="Times New Roman" w:eastAsia="仿宋" w:cs="Times New Roman"/>
          <w:sz w:val="32"/>
          <w:szCs w:val="22"/>
          <w:lang w:val="en-US" w:eastAsia="zh-CN"/>
        </w:rPr>
        <w:t>7</w:t>
      </w:r>
      <w:r>
        <w:rPr>
          <w:rFonts w:ascii="Times New Roman" w:hAnsi="Times New Roman" w:eastAsia="仿宋" w:cs="Times New Roman"/>
          <w:sz w:val="32"/>
          <w:szCs w:val="22"/>
        </w:rPr>
        <w:t>。</w:t>
      </w:r>
    </w:p>
    <w:p>
      <w:pPr>
        <w:keepNext w:val="0"/>
        <w:keepLines w:val="0"/>
        <w:pageBreakBefore w:val="0"/>
        <w:widowControl w:val="0"/>
        <w:kinsoku/>
        <w:wordWrap/>
        <w:overflowPunct/>
        <w:topLinePunct w:val="0"/>
        <w:autoSpaceDE/>
        <w:autoSpaceDN/>
        <w:bidi w:val="0"/>
        <w:adjustRightInd w:val="0"/>
        <w:snapToGrid w:val="0"/>
        <w:spacing w:after="164" w:afterLines="50" w:line="560" w:lineRule="exact"/>
        <w:jc w:val="center"/>
        <w:textAlignment w:val="auto"/>
        <w:outlineLvl w:val="9"/>
        <w:rPr>
          <w:rFonts w:hint="default" w:ascii="Times New Roman" w:hAnsi="Times New Roman" w:eastAsia="黑体" w:cs="Times New Roman"/>
          <w:bCs/>
          <w:sz w:val="28"/>
          <w:szCs w:val="28"/>
        </w:rPr>
      </w:pPr>
      <w:r>
        <w:rPr>
          <w:rFonts w:hint="default" w:ascii="Times New Roman" w:hAnsi="Times New Roman" w:eastAsia="黑体" w:cs="Times New Roman"/>
          <w:bCs/>
          <w:sz w:val="28"/>
          <w:szCs w:val="28"/>
        </w:rPr>
        <w:t>表</w:t>
      </w:r>
      <w:r>
        <w:rPr>
          <w:rFonts w:hint="default" w:ascii="Times New Roman" w:hAnsi="Times New Roman" w:eastAsia="黑体" w:cs="Times New Roman"/>
          <w:bCs/>
          <w:sz w:val="28"/>
          <w:szCs w:val="28"/>
          <w:lang w:val="en-US" w:eastAsia="zh-CN"/>
        </w:rPr>
        <w:t>7</w:t>
      </w:r>
      <w:r>
        <w:rPr>
          <w:rFonts w:hint="default" w:ascii="Times New Roman" w:hAnsi="Times New Roman" w:eastAsia="黑体" w:cs="Times New Roman"/>
          <w:bCs/>
          <w:sz w:val="28"/>
          <w:szCs w:val="28"/>
        </w:rPr>
        <w:t xml:space="preserve"> 项目产出情况设定及评分情况表</w:t>
      </w:r>
    </w:p>
    <w:tbl>
      <w:tblPr>
        <w:tblStyle w:val="17"/>
        <w:tblW w:w="864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6"/>
        <w:gridCol w:w="1930"/>
        <w:gridCol w:w="2675"/>
        <w:gridCol w:w="825"/>
        <w:gridCol w:w="795"/>
        <w:gridCol w:w="11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blHeader/>
          <w:jc w:val="center"/>
        </w:trPr>
        <w:tc>
          <w:tcPr>
            <w:tcW w:w="1296"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一级指标</w:t>
            </w:r>
          </w:p>
        </w:tc>
        <w:tc>
          <w:tcPr>
            <w:tcW w:w="1930"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二级指标</w:t>
            </w:r>
          </w:p>
        </w:tc>
        <w:tc>
          <w:tcPr>
            <w:tcW w:w="2675"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三级指标</w:t>
            </w:r>
          </w:p>
        </w:tc>
        <w:tc>
          <w:tcPr>
            <w:tcW w:w="825"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分值</w:t>
            </w:r>
          </w:p>
        </w:tc>
        <w:tc>
          <w:tcPr>
            <w:tcW w:w="795"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得分</w:t>
            </w:r>
          </w:p>
        </w:tc>
        <w:tc>
          <w:tcPr>
            <w:tcW w:w="1124"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96" w:type="dxa"/>
            <w:vMerge w:val="restart"/>
            <w:vAlign w:val="center"/>
          </w:tcPr>
          <w:p>
            <w:pPr>
              <w:jc w:val="center"/>
              <w:rPr>
                <w:rFonts w:ascii="Times New Roman" w:hAnsi="Times New Roman" w:eastAsia="宋体" w:cs="Times New Roman"/>
              </w:rPr>
            </w:pPr>
            <w:r>
              <w:rPr>
                <w:rFonts w:ascii="Times New Roman" w:hAnsi="Times New Roman" w:eastAsia="宋体" w:cs="Times New Roman"/>
              </w:rPr>
              <w:t>产出</w:t>
            </w:r>
          </w:p>
          <w:p>
            <w:pPr>
              <w:jc w:val="center"/>
              <w:rPr>
                <w:rFonts w:ascii="Times New Roman" w:hAnsi="Times New Roman" w:eastAsia="宋体" w:cs="Times New Roman"/>
              </w:rPr>
            </w:pPr>
            <w:r>
              <w:rPr>
                <w:rFonts w:ascii="Times New Roman" w:hAnsi="Times New Roman" w:eastAsia="宋体" w:cs="Times New Roman"/>
              </w:rPr>
              <w:t>（30分）</w:t>
            </w:r>
          </w:p>
        </w:tc>
        <w:tc>
          <w:tcPr>
            <w:tcW w:w="1930" w:type="dxa"/>
            <w:vAlign w:val="center"/>
          </w:tcPr>
          <w:p>
            <w:pPr>
              <w:jc w:val="center"/>
              <w:rPr>
                <w:rFonts w:ascii="Times New Roman" w:hAnsi="Times New Roman" w:eastAsia="宋体" w:cs="Times New Roman"/>
              </w:rPr>
            </w:pPr>
            <w:r>
              <w:rPr>
                <w:rFonts w:ascii="Times New Roman" w:hAnsi="Times New Roman" w:eastAsia="宋体" w:cs="Times New Roman"/>
              </w:rPr>
              <w:t>产出数量（10分）</w:t>
            </w:r>
          </w:p>
        </w:tc>
        <w:tc>
          <w:tcPr>
            <w:tcW w:w="2675" w:type="dxa"/>
            <w:vAlign w:val="center"/>
          </w:tcPr>
          <w:p>
            <w:pPr>
              <w:jc w:val="center"/>
              <w:rPr>
                <w:rFonts w:ascii="Times New Roman" w:hAnsi="Times New Roman" w:eastAsia="宋体" w:cs="Times New Roman"/>
              </w:rPr>
            </w:pPr>
            <w:r>
              <w:rPr>
                <w:rFonts w:ascii="Times New Roman" w:hAnsi="Times New Roman" w:eastAsia="宋体" w:cs="Times New Roman"/>
              </w:rPr>
              <w:t>实际完成率</w:t>
            </w:r>
          </w:p>
        </w:tc>
        <w:tc>
          <w:tcPr>
            <w:tcW w:w="825" w:type="dxa"/>
            <w:vAlign w:val="center"/>
          </w:tcPr>
          <w:p>
            <w:pPr>
              <w:jc w:val="center"/>
              <w:rPr>
                <w:rFonts w:ascii="Times New Roman" w:hAnsi="Times New Roman" w:eastAsia="宋体" w:cs="Times New Roman"/>
              </w:rPr>
            </w:pPr>
            <w:r>
              <w:rPr>
                <w:rFonts w:ascii="Times New Roman" w:hAnsi="Times New Roman" w:eastAsia="宋体" w:cs="Times New Roman"/>
              </w:rPr>
              <w:t>10</w:t>
            </w:r>
            <w:r>
              <w:rPr>
                <w:rFonts w:ascii="Times New Roman" w:hAnsi="Times New Roman" w:eastAsia="宋体" w:cs="Times New Roman"/>
                <w:color w:val="000000"/>
                <w:kern w:val="0"/>
                <w:lang w:bidi="ar"/>
              </w:rPr>
              <w:t>.00</w:t>
            </w:r>
          </w:p>
        </w:tc>
        <w:tc>
          <w:tcPr>
            <w:tcW w:w="795"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8.8</w:t>
            </w:r>
            <w:r>
              <w:rPr>
                <w:rFonts w:hint="eastAsia" w:ascii="Times New Roman" w:hAnsi="Times New Roman" w:eastAsia="宋体" w:cs="Times New Roman"/>
                <w:color w:val="000000"/>
                <w:kern w:val="0"/>
                <w:lang w:bidi="ar"/>
              </w:rPr>
              <w:t>0</w:t>
            </w:r>
          </w:p>
        </w:tc>
        <w:tc>
          <w:tcPr>
            <w:tcW w:w="1124"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88.00%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96" w:type="dxa"/>
            <w:vMerge w:val="continue"/>
            <w:vAlign w:val="center"/>
          </w:tcPr>
          <w:p>
            <w:pPr>
              <w:jc w:val="center"/>
              <w:rPr>
                <w:rFonts w:ascii="Times New Roman" w:hAnsi="Times New Roman" w:eastAsia="宋体" w:cs="Times New Roman"/>
              </w:rPr>
            </w:pPr>
          </w:p>
        </w:tc>
        <w:tc>
          <w:tcPr>
            <w:tcW w:w="1930" w:type="dxa"/>
            <w:vAlign w:val="center"/>
          </w:tcPr>
          <w:p>
            <w:pPr>
              <w:jc w:val="center"/>
              <w:rPr>
                <w:rFonts w:ascii="Times New Roman" w:hAnsi="Times New Roman" w:eastAsia="宋体" w:cs="Times New Roman"/>
              </w:rPr>
            </w:pPr>
            <w:r>
              <w:rPr>
                <w:rFonts w:ascii="Times New Roman" w:hAnsi="Times New Roman" w:eastAsia="宋体" w:cs="Times New Roman"/>
              </w:rPr>
              <w:t>产出质量（10分）</w:t>
            </w:r>
          </w:p>
        </w:tc>
        <w:tc>
          <w:tcPr>
            <w:tcW w:w="2675" w:type="dxa"/>
            <w:vAlign w:val="center"/>
          </w:tcPr>
          <w:p>
            <w:pPr>
              <w:jc w:val="center"/>
              <w:rPr>
                <w:rFonts w:ascii="Times New Roman" w:hAnsi="Times New Roman" w:eastAsia="宋体" w:cs="Times New Roman"/>
              </w:rPr>
            </w:pPr>
            <w:r>
              <w:rPr>
                <w:rFonts w:ascii="Times New Roman" w:hAnsi="Times New Roman" w:eastAsia="宋体" w:cs="Times New Roman"/>
              </w:rPr>
              <w:t>项目工作质量达标情况</w:t>
            </w:r>
          </w:p>
        </w:tc>
        <w:tc>
          <w:tcPr>
            <w:tcW w:w="825" w:type="dxa"/>
            <w:vAlign w:val="center"/>
          </w:tcPr>
          <w:p>
            <w:pPr>
              <w:jc w:val="center"/>
              <w:rPr>
                <w:rFonts w:ascii="Times New Roman" w:hAnsi="Times New Roman" w:eastAsia="宋体" w:cs="Times New Roman"/>
              </w:rPr>
            </w:pPr>
            <w:r>
              <w:rPr>
                <w:rFonts w:hint="eastAsia" w:ascii="Times New Roman" w:hAnsi="Times New Roman" w:eastAsia="宋体" w:cs="Times New Roman"/>
                <w:color w:val="000000"/>
                <w:kern w:val="0"/>
                <w:lang w:bidi="ar"/>
              </w:rPr>
              <w:t>10</w:t>
            </w:r>
            <w:r>
              <w:rPr>
                <w:rFonts w:ascii="Times New Roman" w:hAnsi="Times New Roman" w:eastAsia="宋体" w:cs="Times New Roman"/>
                <w:color w:val="000000"/>
                <w:kern w:val="0"/>
                <w:lang w:bidi="ar"/>
              </w:rPr>
              <w:t>.00</w:t>
            </w:r>
          </w:p>
        </w:tc>
        <w:tc>
          <w:tcPr>
            <w:tcW w:w="795"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7.8</w:t>
            </w:r>
            <w:r>
              <w:rPr>
                <w:rFonts w:hint="eastAsia" w:ascii="Times New Roman" w:hAnsi="Times New Roman" w:eastAsia="宋体" w:cs="Times New Roman"/>
                <w:color w:val="000000"/>
                <w:kern w:val="0"/>
                <w:lang w:bidi="ar"/>
              </w:rPr>
              <w:t>0</w:t>
            </w:r>
          </w:p>
        </w:tc>
        <w:tc>
          <w:tcPr>
            <w:tcW w:w="1124"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78.00%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96" w:type="dxa"/>
            <w:vMerge w:val="restart"/>
            <w:vAlign w:val="center"/>
          </w:tcPr>
          <w:p>
            <w:pPr>
              <w:jc w:val="center"/>
              <w:rPr>
                <w:rFonts w:ascii="Times New Roman" w:hAnsi="Times New Roman" w:eastAsia="宋体" w:cs="Times New Roman"/>
              </w:rPr>
            </w:pPr>
            <w:r>
              <w:rPr>
                <w:rFonts w:ascii="Times New Roman" w:hAnsi="Times New Roman" w:eastAsia="宋体" w:cs="Times New Roman"/>
              </w:rPr>
              <w:t>产出</w:t>
            </w:r>
          </w:p>
          <w:p>
            <w:pPr>
              <w:jc w:val="center"/>
              <w:rPr>
                <w:rFonts w:ascii="Times New Roman" w:hAnsi="Times New Roman" w:eastAsia="宋体" w:cs="Times New Roman"/>
              </w:rPr>
            </w:pPr>
            <w:r>
              <w:rPr>
                <w:rFonts w:ascii="Times New Roman" w:hAnsi="Times New Roman" w:eastAsia="宋体" w:cs="Times New Roman"/>
              </w:rPr>
              <w:t>（30分）</w:t>
            </w:r>
          </w:p>
        </w:tc>
        <w:tc>
          <w:tcPr>
            <w:tcW w:w="1930" w:type="dxa"/>
            <w:vAlign w:val="center"/>
          </w:tcPr>
          <w:p>
            <w:pPr>
              <w:jc w:val="center"/>
              <w:rPr>
                <w:rFonts w:ascii="Times New Roman" w:hAnsi="Times New Roman" w:eastAsia="宋体" w:cs="Times New Roman"/>
              </w:rPr>
            </w:pPr>
            <w:r>
              <w:rPr>
                <w:rFonts w:ascii="Times New Roman" w:hAnsi="Times New Roman" w:eastAsia="宋体" w:cs="Times New Roman"/>
              </w:rPr>
              <w:t>产出时效（5分）</w:t>
            </w:r>
          </w:p>
        </w:tc>
        <w:tc>
          <w:tcPr>
            <w:tcW w:w="2675" w:type="dxa"/>
            <w:vAlign w:val="center"/>
          </w:tcPr>
          <w:p>
            <w:pPr>
              <w:jc w:val="center"/>
              <w:rPr>
                <w:rFonts w:ascii="Times New Roman" w:hAnsi="Times New Roman" w:eastAsia="宋体" w:cs="Times New Roman"/>
              </w:rPr>
            </w:pPr>
            <w:r>
              <w:rPr>
                <w:rFonts w:ascii="Times New Roman" w:hAnsi="Times New Roman" w:eastAsia="宋体" w:cs="Times New Roman"/>
              </w:rPr>
              <w:t>各项工作完成及时性</w:t>
            </w:r>
          </w:p>
        </w:tc>
        <w:tc>
          <w:tcPr>
            <w:tcW w:w="825" w:type="dxa"/>
            <w:vAlign w:val="center"/>
          </w:tcPr>
          <w:p>
            <w:pPr>
              <w:jc w:val="center"/>
              <w:rPr>
                <w:rFonts w:ascii="Times New Roman" w:hAnsi="Times New Roman" w:eastAsia="宋体" w:cs="Times New Roman"/>
              </w:rPr>
            </w:pPr>
            <w:r>
              <w:rPr>
                <w:rFonts w:ascii="Times New Roman" w:hAnsi="Times New Roman" w:eastAsia="宋体" w:cs="Times New Roman"/>
              </w:rPr>
              <w:t>5</w:t>
            </w:r>
            <w:r>
              <w:rPr>
                <w:rFonts w:ascii="Times New Roman" w:hAnsi="Times New Roman" w:eastAsia="宋体" w:cs="Times New Roman"/>
                <w:color w:val="000000"/>
                <w:kern w:val="0"/>
                <w:lang w:bidi="ar"/>
              </w:rPr>
              <w:t>.00</w:t>
            </w:r>
          </w:p>
        </w:tc>
        <w:tc>
          <w:tcPr>
            <w:tcW w:w="795"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5.00</w:t>
            </w:r>
          </w:p>
        </w:tc>
        <w:tc>
          <w:tcPr>
            <w:tcW w:w="1124"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96" w:type="dxa"/>
            <w:vMerge w:val="continue"/>
            <w:vAlign w:val="center"/>
          </w:tcPr>
          <w:p>
            <w:pPr>
              <w:jc w:val="center"/>
              <w:rPr>
                <w:rFonts w:ascii="Times New Roman" w:hAnsi="Times New Roman" w:eastAsia="宋体" w:cs="Times New Roman"/>
              </w:rPr>
            </w:pPr>
          </w:p>
        </w:tc>
        <w:tc>
          <w:tcPr>
            <w:tcW w:w="1930" w:type="dxa"/>
            <w:vAlign w:val="center"/>
          </w:tcPr>
          <w:p>
            <w:pPr>
              <w:jc w:val="center"/>
              <w:rPr>
                <w:rFonts w:ascii="Times New Roman" w:hAnsi="Times New Roman" w:eastAsia="宋体" w:cs="Times New Roman"/>
              </w:rPr>
            </w:pPr>
            <w:r>
              <w:rPr>
                <w:rFonts w:ascii="Times New Roman" w:hAnsi="Times New Roman" w:eastAsia="宋体" w:cs="Times New Roman"/>
              </w:rPr>
              <w:t>产出成本（5分）</w:t>
            </w:r>
          </w:p>
        </w:tc>
        <w:tc>
          <w:tcPr>
            <w:tcW w:w="2675" w:type="dxa"/>
            <w:vAlign w:val="center"/>
          </w:tcPr>
          <w:p>
            <w:pPr>
              <w:jc w:val="center"/>
              <w:rPr>
                <w:rFonts w:ascii="Times New Roman" w:hAnsi="Times New Roman" w:eastAsia="宋体" w:cs="Times New Roman"/>
              </w:rPr>
            </w:pPr>
            <w:r>
              <w:rPr>
                <w:rFonts w:ascii="Times New Roman" w:hAnsi="Times New Roman" w:eastAsia="宋体" w:cs="Times New Roman"/>
              </w:rPr>
              <w:t>成本节约率</w:t>
            </w:r>
          </w:p>
        </w:tc>
        <w:tc>
          <w:tcPr>
            <w:tcW w:w="825" w:type="dxa"/>
            <w:vAlign w:val="center"/>
          </w:tcPr>
          <w:p>
            <w:pPr>
              <w:jc w:val="center"/>
              <w:rPr>
                <w:rFonts w:ascii="Times New Roman" w:hAnsi="Times New Roman" w:eastAsia="宋体" w:cs="Times New Roman"/>
              </w:rPr>
            </w:pPr>
            <w:r>
              <w:rPr>
                <w:rFonts w:ascii="Times New Roman" w:hAnsi="Times New Roman" w:eastAsia="宋体" w:cs="Times New Roman"/>
              </w:rPr>
              <w:t>5</w:t>
            </w:r>
            <w:r>
              <w:rPr>
                <w:rFonts w:ascii="Times New Roman" w:hAnsi="Times New Roman" w:eastAsia="宋体" w:cs="Times New Roman"/>
                <w:color w:val="000000"/>
                <w:kern w:val="0"/>
                <w:lang w:bidi="ar"/>
              </w:rPr>
              <w:t>.00</w:t>
            </w:r>
          </w:p>
        </w:tc>
        <w:tc>
          <w:tcPr>
            <w:tcW w:w="795"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4.1</w:t>
            </w:r>
            <w:r>
              <w:rPr>
                <w:rFonts w:hint="eastAsia" w:ascii="Times New Roman" w:hAnsi="Times New Roman" w:eastAsia="宋体" w:cs="Times New Roman"/>
                <w:color w:val="000000"/>
                <w:kern w:val="0"/>
                <w:lang w:bidi="ar"/>
              </w:rPr>
              <w:t>0</w:t>
            </w:r>
          </w:p>
        </w:tc>
        <w:tc>
          <w:tcPr>
            <w:tcW w:w="1124"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82.00%</w:t>
            </w:r>
          </w:p>
        </w:tc>
      </w:tr>
    </w:tbl>
    <w:p>
      <w:pPr>
        <w:spacing w:line="560" w:lineRule="exact"/>
        <w:outlineLvl w:val="2"/>
        <w:rPr>
          <w:rFonts w:ascii="Times New Roman" w:hAnsi="Times New Roman" w:eastAsia="仿宋" w:cs="Times New Roman"/>
          <w:bCs/>
          <w:sz w:val="32"/>
          <w:szCs w:val="20"/>
        </w:rPr>
      </w:pPr>
      <w:bookmarkStart w:id="131" w:name="_Toc27503"/>
      <w:bookmarkStart w:id="132" w:name="_Toc9198"/>
      <w:bookmarkStart w:id="133" w:name="_Toc18326"/>
    </w:p>
    <w:p>
      <w:pPr>
        <w:spacing w:line="560" w:lineRule="exact"/>
        <w:ind w:firstLine="643" w:firstLineChars="200"/>
        <w:outlineLvl w:val="2"/>
        <w:rPr>
          <w:rFonts w:ascii="Times New Roman" w:hAnsi="Times New Roman" w:eastAsia="仿宋" w:cs="Times New Roman"/>
          <w:b/>
          <w:sz w:val="32"/>
          <w:szCs w:val="20"/>
        </w:rPr>
      </w:pPr>
      <w:bookmarkStart w:id="134" w:name="_Toc7327"/>
      <w:bookmarkStart w:id="135" w:name="_Toc23367"/>
      <w:r>
        <w:rPr>
          <w:rFonts w:ascii="Times New Roman" w:hAnsi="Times New Roman" w:eastAsia="仿宋" w:cs="Times New Roman"/>
          <w:b/>
          <w:sz w:val="32"/>
          <w:szCs w:val="20"/>
        </w:rPr>
        <w:t>1.产出数量完成情况</w:t>
      </w:r>
      <w:bookmarkEnd w:id="131"/>
      <w:bookmarkEnd w:id="132"/>
      <w:bookmarkEnd w:id="133"/>
      <w:bookmarkEnd w:id="134"/>
      <w:bookmarkEnd w:id="135"/>
    </w:p>
    <w:p>
      <w:pPr>
        <w:pStyle w:val="14"/>
        <w:spacing w:line="560" w:lineRule="exact"/>
        <w:ind w:firstLine="640"/>
        <w:rPr>
          <w:rFonts w:ascii="Times New Roman" w:hAnsi="Times New Roman" w:eastAsia="仿宋" w:cs="Times New Roman"/>
          <w:sz w:val="32"/>
          <w:szCs w:val="32"/>
          <w:lang w:bidi="ar"/>
        </w:rPr>
      </w:pPr>
      <w:bookmarkStart w:id="136" w:name="_Toc14361"/>
      <w:bookmarkStart w:id="137" w:name="_Toc13569"/>
      <w:bookmarkStart w:id="138" w:name="_Toc17878"/>
      <w:r>
        <w:rPr>
          <w:rFonts w:ascii="Times New Roman" w:hAnsi="Times New Roman" w:eastAsia="仿宋" w:cs="Times New Roman"/>
          <w:sz w:val="32"/>
          <w:szCs w:val="32"/>
          <w:lang w:bidi="ar"/>
        </w:rPr>
        <w:t>2021年度，项目完成产出数量的具体情况如下：</w:t>
      </w:r>
    </w:p>
    <w:p>
      <w:pPr>
        <w:pStyle w:val="14"/>
        <w:spacing w:line="560" w:lineRule="exact"/>
        <w:ind w:firstLine="640" w:firstLineChars="200"/>
        <w:rPr>
          <w:rFonts w:ascii="Times New Roman" w:hAnsi="Times New Roman" w:eastAsia="黑体" w:cs="Times New Roman"/>
          <w:szCs w:val="28"/>
        </w:rPr>
      </w:pPr>
      <w:r>
        <w:rPr>
          <w:rFonts w:ascii="Times New Roman" w:hAnsi="Times New Roman" w:eastAsia="仿宋" w:cs="Times New Roman"/>
          <w:sz w:val="32"/>
          <w:szCs w:val="32"/>
          <w:lang w:bidi="ar"/>
        </w:rPr>
        <w:t>（1）北京市政府网站集约化平台政务云服务租用471台云主机，CPU1658，内存4354GB，硬盘293040GB。网站数据本地备份数据量为18TB,异地备份数据量为18TB。</w:t>
      </w:r>
    </w:p>
    <w:p>
      <w:pPr>
        <w:pStyle w:val="14"/>
        <w:spacing w:line="560" w:lineRule="exact"/>
        <w:ind w:firstLine="640" w:firstLineChars="200"/>
        <w:rPr>
          <w:rFonts w:ascii="Times New Roman" w:hAnsi="Times New Roman" w:eastAsia="仿宋" w:cs="Times New Roman"/>
          <w:sz w:val="32"/>
          <w:szCs w:val="32"/>
        </w:rPr>
      </w:pPr>
      <w:r>
        <w:rPr>
          <w:rFonts w:ascii="Times New Roman" w:hAnsi="Times New Roman" w:eastAsia="仿宋" w:cs="Times New Roman"/>
          <w:sz w:val="32"/>
          <w:szCs w:val="32"/>
          <w:lang w:bidi="ar"/>
        </w:rPr>
        <w:t>（2）北京市政府网站集约化平台提供内容发布、领导信箱、在线调查、民意征集、政务知识库与智能咨询、用户中心、网页依申请公开、智能搜索、用户行为分析、日志分析、网站无障碍服务、视频点播管理、惠民便民地图、图片库等14个组件的日常服务和运维。</w:t>
      </w:r>
    </w:p>
    <w:p>
      <w:pPr>
        <w:pStyle w:val="14"/>
        <w:spacing w:after="120" w:line="560" w:lineRule="exact"/>
        <w:ind w:firstLine="640" w:firstLineChars="200"/>
        <w:rPr>
          <w:rFonts w:ascii="Times New Roman" w:hAnsi="Times New Roman" w:eastAsia="仿宋" w:cs="Times New Roman"/>
          <w:sz w:val="32"/>
          <w:szCs w:val="32"/>
        </w:rPr>
      </w:pPr>
      <w:r>
        <w:rPr>
          <w:rFonts w:ascii="Times New Roman" w:hAnsi="Times New Roman" w:eastAsia="仿宋" w:cs="Times New Roman"/>
          <w:sz w:val="32"/>
          <w:szCs w:val="32"/>
          <w:lang w:bidi="ar"/>
        </w:rPr>
        <w:t>（3）北京市政府网站集约化平台支撑北京市政府门户网站及60个市级部门共计61个站点的建设运营。</w:t>
      </w:r>
    </w:p>
    <w:p>
      <w:pPr>
        <w:spacing w:line="560" w:lineRule="exact"/>
        <w:ind w:firstLine="643" w:firstLineChars="200"/>
        <w:outlineLvl w:val="2"/>
        <w:rPr>
          <w:rFonts w:ascii="Times New Roman" w:hAnsi="Times New Roman" w:eastAsia="仿宋" w:cs="Times New Roman"/>
          <w:b/>
          <w:sz w:val="32"/>
          <w:szCs w:val="20"/>
        </w:rPr>
      </w:pPr>
      <w:bookmarkStart w:id="139" w:name="_Toc22513"/>
      <w:bookmarkStart w:id="140" w:name="_Toc26311"/>
      <w:r>
        <w:rPr>
          <w:rFonts w:ascii="Times New Roman" w:hAnsi="Times New Roman" w:eastAsia="仿宋" w:cs="Times New Roman"/>
          <w:b/>
          <w:sz w:val="32"/>
          <w:szCs w:val="20"/>
        </w:rPr>
        <w:t>2.产出质量完成情况</w:t>
      </w:r>
      <w:bookmarkEnd w:id="136"/>
      <w:bookmarkEnd w:id="137"/>
      <w:bookmarkEnd w:id="138"/>
      <w:bookmarkEnd w:id="139"/>
      <w:bookmarkEnd w:id="140"/>
    </w:p>
    <w:p>
      <w:pPr>
        <w:spacing w:line="560" w:lineRule="exact"/>
        <w:ind w:firstLine="640" w:firstLineChars="200"/>
        <w:outlineLvl w:val="2"/>
        <w:rPr>
          <w:rFonts w:ascii="Times New Roman" w:hAnsi="Times New Roman" w:eastAsia="仿宋" w:cs="Times New Roman"/>
          <w:bCs/>
          <w:sz w:val="32"/>
          <w:szCs w:val="20"/>
        </w:rPr>
      </w:pPr>
      <w:bookmarkStart w:id="141" w:name="_Toc21672"/>
      <w:bookmarkStart w:id="142" w:name="_Toc17496"/>
      <w:r>
        <w:rPr>
          <w:rFonts w:ascii="Times New Roman" w:hAnsi="Times New Roman" w:eastAsia="仿宋" w:cs="Times New Roman"/>
          <w:bCs/>
          <w:sz w:val="32"/>
          <w:szCs w:val="20"/>
        </w:rPr>
        <w:t>2021年北京市政府网站集约化平台运行稳定，整体可用性≥99.9%，重点保障时期系统可用性100%，系统应急响应时间≤5分钟，系统故障修复响应时间≤4小时，全年无安全事故发生。</w:t>
      </w:r>
      <w:bookmarkEnd w:id="141"/>
      <w:bookmarkEnd w:id="142"/>
    </w:p>
    <w:p>
      <w:pPr>
        <w:spacing w:line="560" w:lineRule="exact"/>
        <w:ind w:firstLine="640" w:firstLineChars="200"/>
        <w:outlineLvl w:val="2"/>
        <w:rPr>
          <w:rFonts w:ascii="Times New Roman" w:hAnsi="Times New Roman" w:eastAsia="仿宋" w:cs="Times New Roman"/>
          <w:bCs/>
          <w:sz w:val="32"/>
          <w:szCs w:val="20"/>
        </w:rPr>
      </w:pPr>
      <w:bookmarkStart w:id="143" w:name="_Toc1424"/>
      <w:bookmarkStart w:id="144" w:name="_Toc25464"/>
      <w:r>
        <w:rPr>
          <w:rFonts w:ascii="Times New Roman" w:hAnsi="Times New Roman" w:eastAsia="仿宋" w:cs="Times New Roman"/>
          <w:bCs/>
          <w:sz w:val="32"/>
          <w:szCs w:val="20"/>
        </w:rPr>
        <w:t>但项目在应急演练、</w:t>
      </w:r>
      <w:r>
        <w:rPr>
          <w:rFonts w:hint="eastAsia" w:ascii="Times New Roman" w:hAnsi="Times New Roman" w:eastAsia="仿宋" w:cs="Times New Roman"/>
          <w:bCs/>
          <w:sz w:val="32"/>
          <w:szCs w:val="20"/>
        </w:rPr>
        <w:t>安全态势</w:t>
      </w:r>
      <w:r>
        <w:rPr>
          <w:rFonts w:ascii="Times New Roman" w:hAnsi="Times New Roman" w:eastAsia="仿宋" w:cs="Times New Roman"/>
          <w:bCs/>
          <w:sz w:val="32"/>
          <w:szCs w:val="20"/>
        </w:rPr>
        <w:t>分析、等级保护测评方面的质量管控有待加强</w:t>
      </w:r>
      <w:r>
        <w:rPr>
          <w:rFonts w:hint="eastAsia" w:ascii="Times New Roman" w:hAnsi="Times New Roman" w:eastAsia="仿宋" w:cs="Times New Roman"/>
          <w:bCs/>
          <w:sz w:val="32"/>
          <w:szCs w:val="20"/>
          <w:lang w:eastAsia="zh-CN"/>
        </w:rPr>
        <w:t>：</w:t>
      </w:r>
      <w:r>
        <w:rPr>
          <w:rFonts w:ascii="Times New Roman" w:hAnsi="Times New Roman" w:eastAsia="仿宋" w:cs="Times New Roman"/>
          <w:bCs/>
          <w:sz w:val="32"/>
          <w:szCs w:val="20"/>
        </w:rPr>
        <w:t>项目开展应急演练、</w:t>
      </w:r>
      <w:r>
        <w:rPr>
          <w:rFonts w:hint="eastAsia" w:ascii="Times New Roman" w:hAnsi="Times New Roman" w:eastAsia="仿宋" w:cs="Times New Roman"/>
          <w:bCs/>
          <w:sz w:val="32"/>
          <w:szCs w:val="20"/>
        </w:rPr>
        <w:t>安全态势</w:t>
      </w:r>
      <w:r>
        <w:rPr>
          <w:rFonts w:ascii="Times New Roman" w:hAnsi="Times New Roman" w:eastAsia="仿宋" w:cs="Times New Roman"/>
          <w:bCs/>
          <w:sz w:val="32"/>
          <w:szCs w:val="20"/>
        </w:rPr>
        <w:t>分析等工作的深度及有效性不足；项目等级保护测评报告由</w:t>
      </w:r>
      <w:r>
        <w:rPr>
          <w:rFonts w:hint="eastAsia" w:ascii="Times New Roman" w:hAnsi="Times New Roman" w:eastAsia="仿宋" w:cs="Times New Roman"/>
          <w:bCs/>
          <w:sz w:val="32"/>
          <w:szCs w:val="20"/>
          <w:lang w:eastAsia="zh-CN"/>
        </w:rPr>
        <w:t>供应商</w:t>
      </w:r>
      <w:r>
        <w:rPr>
          <w:rFonts w:ascii="Times New Roman" w:hAnsi="Times New Roman" w:eastAsia="仿宋" w:cs="Times New Roman"/>
          <w:bCs/>
          <w:sz w:val="32"/>
          <w:szCs w:val="20"/>
        </w:rPr>
        <w:t>委托北京信息安全测评中心出具，测评报告的独立性和有效性不足。</w:t>
      </w:r>
      <w:bookmarkEnd w:id="143"/>
      <w:bookmarkEnd w:id="144"/>
    </w:p>
    <w:p>
      <w:pPr>
        <w:spacing w:line="560" w:lineRule="exact"/>
        <w:ind w:firstLine="643" w:firstLineChars="200"/>
        <w:outlineLvl w:val="2"/>
        <w:rPr>
          <w:rFonts w:ascii="Times New Roman" w:hAnsi="Times New Roman" w:eastAsia="仿宋" w:cs="Times New Roman"/>
          <w:b/>
          <w:sz w:val="32"/>
          <w:szCs w:val="20"/>
        </w:rPr>
      </w:pPr>
      <w:bookmarkStart w:id="145" w:name="_Toc16415"/>
      <w:bookmarkStart w:id="146" w:name="_Toc23251"/>
      <w:r>
        <w:rPr>
          <w:rFonts w:ascii="Times New Roman" w:hAnsi="Times New Roman" w:eastAsia="仿宋" w:cs="Times New Roman"/>
          <w:b/>
          <w:sz w:val="32"/>
          <w:szCs w:val="20"/>
        </w:rPr>
        <w:t>3.产出时效完成情况</w:t>
      </w:r>
      <w:bookmarkEnd w:id="145"/>
      <w:bookmarkEnd w:id="146"/>
    </w:p>
    <w:p>
      <w:pPr>
        <w:spacing w:line="560" w:lineRule="exact"/>
        <w:ind w:firstLine="640" w:firstLineChars="200"/>
        <w:outlineLvl w:val="2"/>
        <w:rPr>
          <w:rFonts w:ascii="Times New Roman" w:hAnsi="Times New Roman" w:eastAsia="仿宋" w:cs="Times New Roman"/>
          <w:bCs/>
          <w:sz w:val="32"/>
          <w:szCs w:val="20"/>
        </w:rPr>
      </w:pPr>
      <w:bookmarkStart w:id="147" w:name="_Toc16894"/>
      <w:bookmarkStart w:id="148" w:name="_Toc8527"/>
      <w:r>
        <w:rPr>
          <w:rFonts w:ascii="Times New Roman" w:hAnsi="Times New Roman" w:eastAsia="仿宋" w:cs="Times New Roman"/>
          <w:bCs/>
          <w:sz w:val="32"/>
          <w:szCs w:val="20"/>
        </w:rPr>
        <w:t>（1）项目实施进度</w:t>
      </w:r>
      <w:bookmarkEnd w:id="147"/>
      <w:bookmarkEnd w:id="148"/>
    </w:p>
    <w:p>
      <w:pPr>
        <w:spacing w:line="560" w:lineRule="exact"/>
        <w:ind w:firstLine="640" w:firstLineChars="200"/>
        <w:outlineLvl w:val="2"/>
        <w:rPr>
          <w:rFonts w:ascii="Times New Roman" w:hAnsi="Times New Roman" w:eastAsia="仿宋" w:cs="Times New Roman"/>
          <w:bCs/>
          <w:sz w:val="32"/>
          <w:szCs w:val="20"/>
        </w:rPr>
      </w:pPr>
      <w:bookmarkStart w:id="149" w:name="_Toc634"/>
      <w:bookmarkStart w:id="150" w:name="_Toc8471"/>
      <w:r>
        <w:rPr>
          <w:rFonts w:ascii="Times New Roman" w:hAnsi="Times New Roman" w:eastAsia="仿宋" w:cs="Times New Roman"/>
          <w:bCs/>
          <w:sz w:val="32"/>
          <w:szCs w:val="20"/>
        </w:rPr>
        <w:t>项目于2021年6月18日完成招标工作，确定中标供应商为首信云技术有限公司，并于6月24日签署项目合同。2022年1月21日，首都之窗</w:t>
      </w:r>
      <w:r>
        <w:rPr>
          <w:rFonts w:hint="eastAsia" w:ascii="Times New Roman" w:hAnsi="Times New Roman" w:eastAsia="仿宋" w:cs="Times New Roman"/>
          <w:bCs/>
          <w:sz w:val="32"/>
          <w:szCs w:val="20"/>
        </w:rPr>
        <w:t>组织</w:t>
      </w:r>
      <w:r>
        <w:rPr>
          <w:rFonts w:ascii="Times New Roman" w:hAnsi="Times New Roman" w:eastAsia="仿宋" w:cs="Times New Roman"/>
          <w:bCs/>
          <w:sz w:val="32"/>
          <w:szCs w:val="20"/>
        </w:rPr>
        <w:t>专家验收评审，项目经专家组评定后通过验收，1月24日，项目验收结题报告经中心主任办公会审议通过。</w:t>
      </w:r>
      <w:bookmarkEnd w:id="149"/>
      <w:bookmarkEnd w:id="150"/>
    </w:p>
    <w:p>
      <w:pPr>
        <w:spacing w:line="560" w:lineRule="exact"/>
        <w:ind w:firstLine="640" w:firstLineChars="200"/>
        <w:outlineLvl w:val="2"/>
        <w:rPr>
          <w:rFonts w:ascii="Times New Roman" w:hAnsi="Times New Roman" w:eastAsia="仿宋" w:cs="Times New Roman"/>
          <w:bCs/>
          <w:sz w:val="32"/>
          <w:szCs w:val="20"/>
        </w:rPr>
      </w:pPr>
      <w:bookmarkStart w:id="151" w:name="_Toc139"/>
      <w:bookmarkStart w:id="152" w:name="_Toc30644"/>
      <w:r>
        <w:rPr>
          <w:rFonts w:ascii="Times New Roman" w:hAnsi="Times New Roman" w:eastAsia="仿宋" w:cs="Times New Roman"/>
          <w:bCs/>
          <w:sz w:val="32"/>
          <w:szCs w:val="20"/>
        </w:rPr>
        <w:t>（2）资金支出进度</w:t>
      </w:r>
      <w:bookmarkEnd w:id="151"/>
      <w:bookmarkEnd w:id="152"/>
    </w:p>
    <w:p>
      <w:pPr>
        <w:spacing w:line="560" w:lineRule="exact"/>
        <w:ind w:firstLine="640" w:firstLineChars="200"/>
        <w:outlineLvl w:val="2"/>
        <w:rPr>
          <w:rFonts w:ascii="Times New Roman" w:hAnsi="Times New Roman" w:eastAsia="仿宋" w:cs="Times New Roman"/>
          <w:bCs/>
          <w:sz w:val="32"/>
          <w:szCs w:val="20"/>
        </w:rPr>
      </w:pPr>
      <w:bookmarkStart w:id="153" w:name="_Toc3126"/>
      <w:bookmarkStart w:id="154" w:name="_Toc29991"/>
      <w:r>
        <w:rPr>
          <w:rFonts w:ascii="Times New Roman" w:hAnsi="Times New Roman" w:eastAsia="仿宋" w:cs="Times New Roman"/>
          <w:bCs/>
          <w:sz w:val="32"/>
          <w:szCs w:val="20"/>
        </w:rPr>
        <w:t>项目于2021年6月29日完成第一笔资金支付，支付比例为合同金额70%；9月1日完成第二笔资金支付，支付比例为合同金额25%；10月28日完成第三笔资金支付，支付比例为合同金额5%。项目按时完成资金支付。</w:t>
      </w:r>
      <w:bookmarkEnd w:id="153"/>
      <w:bookmarkEnd w:id="154"/>
    </w:p>
    <w:p>
      <w:pPr>
        <w:spacing w:line="560" w:lineRule="exact"/>
        <w:ind w:firstLine="643" w:firstLineChars="200"/>
        <w:outlineLvl w:val="2"/>
        <w:rPr>
          <w:rFonts w:ascii="Times New Roman" w:hAnsi="Times New Roman" w:eastAsia="仿宋" w:cs="Times New Roman"/>
          <w:b/>
          <w:sz w:val="32"/>
          <w:szCs w:val="20"/>
        </w:rPr>
      </w:pPr>
      <w:bookmarkStart w:id="155" w:name="_Toc2683"/>
      <w:bookmarkStart w:id="156" w:name="_Toc13949"/>
      <w:r>
        <w:rPr>
          <w:rFonts w:ascii="Times New Roman" w:hAnsi="Times New Roman" w:eastAsia="仿宋" w:cs="Times New Roman"/>
          <w:b/>
          <w:sz w:val="32"/>
          <w:szCs w:val="20"/>
        </w:rPr>
        <w:t>4.产出成本完成情况</w:t>
      </w:r>
      <w:bookmarkEnd w:id="155"/>
      <w:bookmarkEnd w:id="156"/>
    </w:p>
    <w:p>
      <w:pPr>
        <w:spacing w:line="560" w:lineRule="exact"/>
        <w:ind w:firstLine="640" w:firstLineChars="200"/>
        <w:outlineLvl w:val="2"/>
        <w:rPr>
          <w:rFonts w:ascii="Times New Roman" w:hAnsi="Times New Roman" w:eastAsia="仿宋" w:cs="Times New Roman"/>
          <w:bCs/>
          <w:sz w:val="32"/>
          <w:szCs w:val="20"/>
        </w:rPr>
      </w:pPr>
      <w:bookmarkStart w:id="157" w:name="_Toc21045"/>
      <w:bookmarkStart w:id="158" w:name="_Toc7732"/>
      <w:r>
        <w:rPr>
          <w:rFonts w:ascii="Times New Roman" w:hAnsi="Times New Roman" w:eastAsia="仿宋" w:cs="Times New Roman"/>
          <w:bCs/>
          <w:sz w:val="32"/>
          <w:szCs w:val="20"/>
        </w:rPr>
        <w:t>2021年度项目总预算3,037万元，实际支出资金3,037万元，项目整体资金支出与预算相符。但集约化平台云资源实际使用率</w:t>
      </w:r>
      <w:r>
        <w:rPr>
          <w:rFonts w:hint="eastAsia" w:ascii="Times New Roman" w:hAnsi="Times New Roman" w:eastAsia="仿宋" w:cs="Times New Roman"/>
          <w:bCs/>
          <w:sz w:val="32"/>
          <w:szCs w:val="20"/>
        </w:rPr>
        <w:t>较低</w:t>
      </w:r>
      <w:r>
        <w:rPr>
          <w:rFonts w:ascii="Times New Roman" w:hAnsi="Times New Roman" w:eastAsia="仿宋" w:cs="Times New Roman"/>
          <w:bCs/>
          <w:sz w:val="32"/>
          <w:szCs w:val="20"/>
        </w:rPr>
        <w:t>，租用云资源的投入与产出不匹配，项目成本控制措施有待加强。</w:t>
      </w:r>
      <w:bookmarkEnd w:id="157"/>
      <w:bookmarkEnd w:id="158"/>
    </w:p>
    <w:p>
      <w:pPr>
        <w:spacing w:line="560" w:lineRule="exact"/>
        <w:ind w:firstLine="640" w:firstLineChars="200"/>
        <w:outlineLvl w:val="1"/>
        <w:rPr>
          <w:rFonts w:ascii="Times New Roman" w:hAnsi="Times New Roman" w:eastAsia="楷体" w:cs="Times New Roman"/>
          <w:sz w:val="32"/>
          <w:szCs w:val="20"/>
        </w:rPr>
      </w:pPr>
      <w:bookmarkStart w:id="159" w:name="_Toc31125"/>
      <w:bookmarkStart w:id="160" w:name="_Toc32750"/>
      <w:bookmarkStart w:id="161" w:name="_Toc31851"/>
      <w:bookmarkStart w:id="162" w:name="_Toc8114"/>
      <w:bookmarkStart w:id="163" w:name="_Toc26880"/>
      <w:bookmarkStart w:id="164" w:name="_Toc16022"/>
      <w:bookmarkStart w:id="165" w:name="_Toc35420700"/>
      <w:bookmarkStart w:id="166" w:name="_Toc8291"/>
      <w:bookmarkStart w:id="167" w:name="_Toc29109"/>
      <w:bookmarkStart w:id="168" w:name="_Toc16583"/>
      <w:bookmarkStart w:id="169" w:name="_Toc36129077"/>
      <w:bookmarkStart w:id="170" w:name="_Toc31875"/>
      <w:bookmarkStart w:id="171" w:name="_Toc1747"/>
      <w:bookmarkStart w:id="172" w:name="_Toc6021"/>
      <w:bookmarkStart w:id="173" w:name="_Toc165"/>
      <w:bookmarkStart w:id="174" w:name="_Toc6595"/>
      <w:r>
        <w:rPr>
          <w:rFonts w:ascii="Times New Roman" w:hAnsi="Times New Roman" w:eastAsia="楷体" w:cs="Times New Roman"/>
          <w:sz w:val="32"/>
          <w:szCs w:val="20"/>
        </w:rPr>
        <w:t>（四）项目效益情况分析</w:t>
      </w:r>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pPr>
        <w:spacing w:line="560" w:lineRule="exact"/>
        <w:ind w:firstLine="640" w:firstLineChars="200"/>
        <w:rPr>
          <w:rFonts w:ascii="Times New Roman" w:hAnsi="Times New Roman" w:eastAsia="仿宋" w:cs="Times New Roman"/>
          <w:sz w:val="32"/>
          <w:szCs w:val="22"/>
        </w:rPr>
      </w:pPr>
      <w:r>
        <w:rPr>
          <w:rFonts w:ascii="Times New Roman" w:hAnsi="Times New Roman" w:eastAsia="仿宋" w:cs="Times New Roman"/>
          <w:sz w:val="32"/>
          <w:szCs w:val="22"/>
        </w:rPr>
        <w:t>效益指标分值30分，绩效评价得分为</w:t>
      </w:r>
      <w:r>
        <w:rPr>
          <w:rFonts w:hint="eastAsia" w:ascii="Times New Roman" w:hAnsi="Times New Roman" w:eastAsia="仿宋" w:cs="Times New Roman"/>
          <w:sz w:val="32"/>
          <w:szCs w:val="22"/>
        </w:rPr>
        <w:t>25.90</w:t>
      </w:r>
      <w:r>
        <w:rPr>
          <w:rFonts w:ascii="Times New Roman" w:hAnsi="Times New Roman" w:eastAsia="仿宋" w:cs="Times New Roman"/>
          <w:sz w:val="32"/>
          <w:szCs w:val="22"/>
        </w:rPr>
        <w:t>分。下设3个二级指标，5个三级指标。评分详见表</w:t>
      </w:r>
      <w:r>
        <w:rPr>
          <w:rFonts w:hint="eastAsia" w:ascii="Times New Roman" w:hAnsi="Times New Roman" w:eastAsia="仿宋" w:cs="Times New Roman"/>
          <w:sz w:val="32"/>
          <w:szCs w:val="22"/>
          <w:lang w:val="en-US" w:eastAsia="zh-CN"/>
        </w:rPr>
        <w:t>8</w:t>
      </w:r>
      <w:r>
        <w:rPr>
          <w:rFonts w:ascii="Times New Roman" w:hAnsi="Times New Roman" w:eastAsia="仿宋" w:cs="Times New Roman"/>
          <w:sz w:val="32"/>
          <w:szCs w:val="22"/>
        </w:rPr>
        <w:t>。</w:t>
      </w:r>
    </w:p>
    <w:p>
      <w:pPr>
        <w:adjustRightInd w:val="0"/>
        <w:snapToGrid w:val="0"/>
        <w:spacing w:line="360" w:lineRule="auto"/>
        <w:jc w:val="center"/>
        <w:rPr>
          <w:rFonts w:ascii="Times New Roman" w:hAnsi="Times New Roman" w:eastAsia="黑体" w:cs="Times New Roman"/>
          <w:bCs/>
          <w:sz w:val="28"/>
          <w:szCs w:val="28"/>
        </w:rPr>
      </w:pPr>
      <w:r>
        <w:rPr>
          <w:rFonts w:hint="default" w:ascii="Times New Roman" w:hAnsi="Times New Roman" w:eastAsia="黑体" w:cs="Times New Roman"/>
          <w:bCs/>
          <w:sz w:val="28"/>
          <w:szCs w:val="28"/>
        </w:rPr>
        <w:t>表</w:t>
      </w:r>
      <w:r>
        <w:rPr>
          <w:rFonts w:hint="eastAsia" w:ascii="Times New Roman" w:hAnsi="Times New Roman" w:eastAsia="黑体" w:cs="Times New Roman"/>
          <w:bCs/>
          <w:sz w:val="28"/>
          <w:szCs w:val="28"/>
        </w:rPr>
        <w:t>8</w:t>
      </w:r>
      <w:r>
        <w:rPr>
          <w:rFonts w:hint="default" w:ascii="Times New Roman" w:hAnsi="Times New Roman" w:eastAsia="黑体" w:cs="Times New Roman"/>
          <w:bCs/>
          <w:sz w:val="28"/>
          <w:szCs w:val="28"/>
        </w:rPr>
        <w:t xml:space="preserve"> 项目效益指标设定及评分情况表</w:t>
      </w:r>
    </w:p>
    <w:tbl>
      <w:tblPr>
        <w:tblStyle w:val="17"/>
        <w:tblW w:w="869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1"/>
        <w:gridCol w:w="2070"/>
        <w:gridCol w:w="2438"/>
        <w:gridCol w:w="935"/>
        <w:gridCol w:w="825"/>
        <w:gridCol w:w="11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blHeader/>
          <w:jc w:val="center"/>
        </w:trPr>
        <w:tc>
          <w:tcPr>
            <w:tcW w:w="1291" w:type="dxa"/>
            <w:shd w:val="clear" w:color="auto" w:fill="BEBEBE" w:themeFill="background1" w:themeFillShade="BF"/>
            <w:vAlign w:val="center"/>
          </w:tcPr>
          <w:p>
            <w:pPr>
              <w:adjustRightInd w:val="0"/>
              <w:snapToGrid w:val="0"/>
              <w:jc w:val="center"/>
              <w:rPr>
                <w:rFonts w:ascii="Times New Roman" w:hAnsi="Times New Roman" w:eastAsia="宋体" w:cs="Times New Roman"/>
                <w:b/>
              </w:rPr>
            </w:pPr>
            <w:r>
              <w:rPr>
                <w:rFonts w:ascii="Times New Roman" w:hAnsi="Times New Roman" w:eastAsia="宋体" w:cs="Times New Roman"/>
                <w:b/>
              </w:rPr>
              <w:t>一级指标</w:t>
            </w:r>
          </w:p>
        </w:tc>
        <w:tc>
          <w:tcPr>
            <w:tcW w:w="2070"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二级指标</w:t>
            </w:r>
          </w:p>
        </w:tc>
        <w:tc>
          <w:tcPr>
            <w:tcW w:w="2438"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三级指标</w:t>
            </w:r>
          </w:p>
        </w:tc>
        <w:tc>
          <w:tcPr>
            <w:tcW w:w="935"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分值</w:t>
            </w:r>
          </w:p>
        </w:tc>
        <w:tc>
          <w:tcPr>
            <w:tcW w:w="825"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得分</w:t>
            </w:r>
          </w:p>
        </w:tc>
        <w:tc>
          <w:tcPr>
            <w:tcW w:w="1132" w:type="dxa"/>
            <w:shd w:val="clear" w:color="auto" w:fill="BEBEBE" w:themeFill="background1" w:themeFillShade="BF"/>
            <w:vAlign w:val="center"/>
          </w:tcPr>
          <w:p>
            <w:pPr>
              <w:jc w:val="center"/>
              <w:rPr>
                <w:rFonts w:ascii="Times New Roman" w:hAnsi="Times New Roman" w:eastAsia="宋体" w:cs="Times New Roman"/>
                <w:b/>
              </w:rPr>
            </w:pPr>
            <w:r>
              <w:rPr>
                <w:rFonts w:ascii="Times New Roman" w:hAnsi="Times New Roman" w:eastAsia="宋体" w:cs="Times New Roman"/>
                <w:b/>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91" w:type="dxa"/>
            <w:vMerge w:val="restart"/>
            <w:vAlign w:val="center"/>
          </w:tcPr>
          <w:p>
            <w:pPr>
              <w:jc w:val="center"/>
              <w:rPr>
                <w:rFonts w:ascii="Times New Roman" w:hAnsi="Times New Roman" w:eastAsia="宋体" w:cs="Times New Roman"/>
              </w:rPr>
            </w:pPr>
            <w:r>
              <w:rPr>
                <w:rFonts w:ascii="Times New Roman" w:hAnsi="Times New Roman" w:eastAsia="宋体" w:cs="Times New Roman"/>
              </w:rPr>
              <w:t>效益</w:t>
            </w:r>
          </w:p>
          <w:p>
            <w:pPr>
              <w:jc w:val="center"/>
              <w:rPr>
                <w:rFonts w:ascii="Times New Roman" w:hAnsi="Times New Roman" w:eastAsia="宋体" w:cs="Times New Roman"/>
              </w:rPr>
            </w:pPr>
            <w:r>
              <w:rPr>
                <w:rFonts w:ascii="Times New Roman" w:hAnsi="Times New Roman" w:eastAsia="宋体" w:cs="Times New Roman"/>
              </w:rPr>
              <w:t>（30分）</w:t>
            </w:r>
          </w:p>
        </w:tc>
        <w:tc>
          <w:tcPr>
            <w:tcW w:w="2070" w:type="dxa"/>
            <w:vMerge w:val="restart"/>
            <w:vAlign w:val="center"/>
          </w:tcPr>
          <w:p>
            <w:pPr>
              <w:jc w:val="center"/>
              <w:rPr>
                <w:rFonts w:ascii="Times New Roman" w:hAnsi="Times New Roman" w:eastAsia="宋体" w:cs="Times New Roman"/>
              </w:rPr>
            </w:pPr>
            <w:r>
              <w:rPr>
                <w:rFonts w:ascii="Times New Roman" w:hAnsi="Times New Roman" w:eastAsia="宋体" w:cs="Times New Roman"/>
              </w:rPr>
              <w:t>社会效益（15分）</w:t>
            </w:r>
          </w:p>
        </w:tc>
        <w:tc>
          <w:tcPr>
            <w:tcW w:w="2438" w:type="dxa"/>
            <w:vAlign w:val="center"/>
          </w:tcPr>
          <w:p>
            <w:pPr>
              <w:jc w:val="center"/>
              <w:rPr>
                <w:rFonts w:ascii="Times New Roman" w:hAnsi="Times New Roman" w:eastAsia="宋体" w:cs="Times New Roman"/>
              </w:rPr>
            </w:pPr>
            <w:r>
              <w:rPr>
                <w:rFonts w:ascii="Times New Roman" w:hAnsi="Times New Roman" w:eastAsia="宋体" w:cs="Times New Roman"/>
              </w:rPr>
              <w:t>全市政府网站的统一信息资源管理</w:t>
            </w:r>
          </w:p>
        </w:tc>
        <w:tc>
          <w:tcPr>
            <w:tcW w:w="935" w:type="dxa"/>
            <w:vAlign w:val="center"/>
          </w:tcPr>
          <w:p>
            <w:pPr>
              <w:jc w:val="center"/>
              <w:rPr>
                <w:rFonts w:ascii="Times New Roman" w:hAnsi="Times New Roman" w:eastAsia="宋体" w:cs="Times New Roman"/>
              </w:rPr>
            </w:pPr>
            <w:r>
              <w:rPr>
                <w:rFonts w:ascii="Times New Roman" w:hAnsi="Times New Roman" w:eastAsia="宋体" w:cs="Times New Roman"/>
              </w:rPr>
              <w:t>5</w:t>
            </w:r>
            <w:r>
              <w:rPr>
                <w:rFonts w:ascii="Times New Roman" w:hAnsi="Times New Roman" w:eastAsia="宋体" w:cs="Times New Roman"/>
                <w:color w:val="000000"/>
                <w:kern w:val="0"/>
                <w:lang w:bidi="ar"/>
              </w:rPr>
              <w:t>.00</w:t>
            </w:r>
          </w:p>
        </w:tc>
        <w:tc>
          <w:tcPr>
            <w:tcW w:w="825"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3.8</w:t>
            </w:r>
            <w:r>
              <w:rPr>
                <w:rFonts w:hint="eastAsia" w:ascii="Times New Roman" w:hAnsi="Times New Roman" w:eastAsia="宋体" w:cs="Times New Roman"/>
                <w:color w:val="000000"/>
                <w:kern w:val="0"/>
                <w:lang w:bidi="ar"/>
              </w:rPr>
              <w:t>0</w:t>
            </w:r>
          </w:p>
        </w:tc>
        <w:tc>
          <w:tcPr>
            <w:tcW w:w="1132"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76.00%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91" w:type="dxa"/>
            <w:vMerge w:val="continue"/>
            <w:vAlign w:val="center"/>
          </w:tcPr>
          <w:p>
            <w:pPr>
              <w:jc w:val="center"/>
              <w:rPr>
                <w:rFonts w:ascii="Times New Roman" w:hAnsi="Times New Roman" w:eastAsia="宋体" w:cs="Times New Roman"/>
              </w:rPr>
            </w:pPr>
          </w:p>
        </w:tc>
        <w:tc>
          <w:tcPr>
            <w:tcW w:w="2070" w:type="dxa"/>
            <w:vMerge w:val="continue"/>
            <w:vAlign w:val="center"/>
          </w:tcPr>
          <w:p>
            <w:pPr>
              <w:jc w:val="center"/>
              <w:rPr>
                <w:rFonts w:ascii="Times New Roman" w:hAnsi="Times New Roman" w:eastAsia="宋体" w:cs="Times New Roman"/>
              </w:rPr>
            </w:pPr>
          </w:p>
        </w:tc>
        <w:tc>
          <w:tcPr>
            <w:tcW w:w="2438" w:type="dxa"/>
            <w:vAlign w:val="center"/>
          </w:tcPr>
          <w:p>
            <w:pPr>
              <w:jc w:val="center"/>
              <w:rPr>
                <w:rFonts w:ascii="Times New Roman" w:hAnsi="Times New Roman" w:eastAsia="宋体" w:cs="Times New Roman"/>
              </w:rPr>
            </w:pPr>
            <w:r>
              <w:rPr>
                <w:rFonts w:ascii="Times New Roman" w:hAnsi="Times New Roman" w:eastAsia="宋体" w:cs="Times New Roman"/>
              </w:rPr>
              <w:t>实现</w:t>
            </w:r>
            <w:r>
              <w:rPr>
                <w:rFonts w:hint="eastAsia" w:ascii="Times New Roman" w:hAnsi="Times New Roman" w:eastAsia="宋体" w:cs="Times New Roman"/>
              </w:rPr>
              <w:t>“</w:t>
            </w:r>
            <w:r>
              <w:rPr>
                <w:rFonts w:ascii="Times New Roman" w:hAnsi="Times New Roman" w:eastAsia="宋体" w:cs="Times New Roman"/>
              </w:rPr>
              <w:t>一网通查</w:t>
            </w:r>
            <w:r>
              <w:rPr>
                <w:rFonts w:hint="eastAsia" w:ascii="Times New Roman" w:hAnsi="Times New Roman" w:eastAsia="宋体" w:cs="Times New Roman"/>
              </w:rPr>
              <w:t>”“</w:t>
            </w:r>
            <w:r>
              <w:rPr>
                <w:rFonts w:ascii="Times New Roman" w:hAnsi="Times New Roman" w:eastAsia="宋体" w:cs="Times New Roman"/>
              </w:rPr>
              <w:t>一网通答</w:t>
            </w:r>
            <w:r>
              <w:rPr>
                <w:rFonts w:hint="eastAsia" w:ascii="Times New Roman" w:hAnsi="Times New Roman" w:eastAsia="宋体" w:cs="Times New Roman"/>
              </w:rPr>
              <w:t>”“</w:t>
            </w:r>
            <w:r>
              <w:rPr>
                <w:rFonts w:ascii="Times New Roman" w:hAnsi="Times New Roman" w:eastAsia="宋体" w:cs="Times New Roman"/>
              </w:rPr>
              <w:t>一网通办</w:t>
            </w:r>
            <w:r>
              <w:rPr>
                <w:rFonts w:hint="eastAsia" w:ascii="Times New Roman" w:hAnsi="Times New Roman" w:eastAsia="宋体" w:cs="Times New Roman"/>
              </w:rPr>
              <w:t>”</w:t>
            </w:r>
            <w:r>
              <w:rPr>
                <w:rFonts w:ascii="Times New Roman" w:hAnsi="Times New Roman" w:eastAsia="宋体" w:cs="Times New Roman"/>
              </w:rPr>
              <w:t>服务</w:t>
            </w:r>
          </w:p>
        </w:tc>
        <w:tc>
          <w:tcPr>
            <w:tcW w:w="935" w:type="dxa"/>
            <w:vAlign w:val="center"/>
          </w:tcPr>
          <w:p>
            <w:pPr>
              <w:jc w:val="center"/>
              <w:rPr>
                <w:rFonts w:ascii="Times New Roman" w:hAnsi="Times New Roman" w:eastAsia="宋体" w:cs="Times New Roman"/>
              </w:rPr>
            </w:pPr>
            <w:r>
              <w:rPr>
                <w:rFonts w:ascii="Times New Roman" w:hAnsi="Times New Roman" w:eastAsia="宋体" w:cs="Times New Roman"/>
              </w:rPr>
              <w:t>5</w:t>
            </w:r>
            <w:r>
              <w:rPr>
                <w:rFonts w:ascii="Times New Roman" w:hAnsi="Times New Roman" w:eastAsia="宋体" w:cs="Times New Roman"/>
                <w:color w:val="000000"/>
                <w:kern w:val="0"/>
                <w:lang w:bidi="ar"/>
              </w:rPr>
              <w:t>.00</w:t>
            </w:r>
          </w:p>
        </w:tc>
        <w:tc>
          <w:tcPr>
            <w:tcW w:w="825"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4.00</w:t>
            </w:r>
          </w:p>
        </w:tc>
        <w:tc>
          <w:tcPr>
            <w:tcW w:w="1132"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80.00%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91" w:type="dxa"/>
            <w:vMerge w:val="continue"/>
            <w:vAlign w:val="center"/>
          </w:tcPr>
          <w:p>
            <w:pPr>
              <w:jc w:val="center"/>
              <w:rPr>
                <w:rFonts w:ascii="Times New Roman" w:hAnsi="Times New Roman" w:eastAsia="宋体" w:cs="Times New Roman"/>
              </w:rPr>
            </w:pPr>
          </w:p>
        </w:tc>
        <w:tc>
          <w:tcPr>
            <w:tcW w:w="2070" w:type="dxa"/>
            <w:vMerge w:val="continue"/>
            <w:vAlign w:val="center"/>
          </w:tcPr>
          <w:p>
            <w:pPr>
              <w:jc w:val="center"/>
              <w:rPr>
                <w:rFonts w:ascii="Times New Roman" w:hAnsi="Times New Roman" w:eastAsia="宋体" w:cs="Times New Roman"/>
              </w:rPr>
            </w:pPr>
          </w:p>
        </w:tc>
        <w:tc>
          <w:tcPr>
            <w:tcW w:w="2438" w:type="dxa"/>
            <w:vAlign w:val="center"/>
          </w:tcPr>
          <w:p>
            <w:pPr>
              <w:jc w:val="center"/>
              <w:rPr>
                <w:rFonts w:ascii="Times New Roman" w:hAnsi="Times New Roman" w:eastAsia="宋体" w:cs="Times New Roman"/>
              </w:rPr>
            </w:pPr>
            <w:r>
              <w:rPr>
                <w:rFonts w:ascii="Times New Roman" w:hAnsi="Times New Roman" w:eastAsia="宋体" w:cs="Times New Roman"/>
              </w:rPr>
              <w:t>全市政府网站整体安全稳定高效运行</w:t>
            </w:r>
          </w:p>
        </w:tc>
        <w:tc>
          <w:tcPr>
            <w:tcW w:w="935" w:type="dxa"/>
            <w:vAlign w:val="center"/>
          </w:tcPr>
          <w:p>
            <w:pPr>
              <w:jc w:val="center"/>
              <w:rPr>
                <w:rFonts w:ascii="Times New Roman" w:hAnsi="Times New Roman" w:eastAsia="宋体" w:cs="Times New Roman"/>
              </w:rPr>
            </w:pPr>
            <w:r>
              <w:rPr>
                <w:rFonts w:ascii="Times New Roman" w:hAnsi="Times New Roman" w:eastAsia="宋体" w:cs="Times New Roman"/>
              </w:rPr>
              <w:t>5</w:t>
            </w:r>
            <w:r>
              <w:rPr>
                <w:rFonts w:ascii="Times New Roman" w:hAnsi="Times New Roman" w:eastAsia="宋体" w:cs="Times New Roman"/>
                <w:color w:val="000000"/>
                <w:kern w:val="0"/>
                <w:lang w:bidi="ar"/>
              </w:rPr>
              <w:t>.00</w:t>
            </w:r>
          </w:p>
        </w:tc>
        <w:tc>
          <w:tcPr>
            <w:tcW w:w="825"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4.1</w:t>
            </w:r>
            <w:r>
              <w:rPr>
                <w:rFonts w:hint="eastAsia" w:ascii="Times New Roman" w:hAnsi="Times New Roman" w:eastAsia="宋体" w:cs="Times New Roman"/>
                <w:color w:val="000000"/>
                <w:kern w:val="0"/>
                <w:lang w:bidi="ar"/>
              </w:rPr>
              <w:t>0</w:t>
            </w:r>
          </w:p>
        </w:tc>
        <w:tc>
          <w:tcPr>
            <w:tcW w:w="1132"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82.00%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91" w:type="dxa"/>
            <w:vMerge w:val="continue"/>
            <w:vAlign w:val="center"/>
          </w:tcPr>
          <w:p>
            <w:pPr>
              <w:jc w:val="center"/>
              <w:rPr>
                <w:rFonts w:ascii="Times New Roman" w:hAnsi="Times New Roman" w:eastAsia="宋体" w:cs="Times New Roman"/>
              </w:rPr>
            </w:pPr>
          </w:p>
        </w:tc>
        <w:tc>
          <w:tcPr>
            <w:tcW w:w="2070" w:type="dxa"/>
            <w:vAlign w:val="center"/>
          </w:tcPr>
          <w:p>
            <w:pPr>
              <w:jc w:val="center"/>
              <w:rPr>
                <w:rFonts w:ascii="Times New Roman" w:hAnsi="Times New Roman" w:eastAsia="宋体" w:cs="Times New Roman"/>
              </w:rPr>
            </w:pPr>
            <w:r>
              <w:rPr>
                <w:rFonts w:ascii="Times New Roman" w:hAnsi="Times New Roman" w:eastAsia="宋体" w:cs="Times New Roman"/>
              </w:rPr>
              <w:t>可持续影响（5分）</w:t>
            </w:r>
          </w:p>
        </w:tc>
        <w:tc>
          <w:tcPr>
            <w:tcW w:w="2438" w:type="dxa"/>
            <w:vAlign w:val="center"/>
          </w:tcPr>
          <w:p>
            <w:pPr>
              <w:jc w:val="center"/>
              <w:rPr>
                <w:rFonts w:ascii="Times New Roman" w:hAnsi="Times New Roman" w:eastAsia="宋体" w:cs="Times New Roman"/>
              </w:rPr>
            </w:pPr>
            <w:r>
              <w:rPr>
                <w:rFonts w:ascii="Times New Roman" w:hAnsi="Times New Roman" w:eastAsia="宋体" w:cs="Times New Roman"/>
              </w:rPr>
              <w:t>政府网站集约化平台功能完善</w:t>
            </w:r>
          </w:p>
        </w:tc>
        <w:tc>
          <w:tcPr>
            <w:tcW w:w="935" w:type="dxa"/>
            <w:vAlign w:val="center"/>
          </w:tcPr>
          <w:p>
            <w:pPr>
              <w:jc w:val="center"/>
              <w:rPr>
                <w:rFonts w:ascii="Times New Roman" w:hAnsi="Times New Roman" w:eastAsia="宋体" w:cs="Times New Roman"/>
              </w:rPr>
            </w:pPr>
            <w:r>
              <w:rPr>
                <w:rFonts w:ascii="Times New Roman" w:hAnsi="Times New Roman" w:eastAsia="宋体" w:cs="Times New Roman"/>
              </w:rPr>
              <w:t>5</w:t>
            </w:r>
            <w:r>
              <w:rPr>
                <w:rFonts w:ascii="Times New Roman" w:hAnsi="Times New Roman" w:eastAsia="宋体" w:cs="Times New Roman"/>
                <w:color w:val="000000"/>
                <w:kern w:val="0"/>
                <w:lang w:bidi="ar"/>
              </w:rPr>
              <w:t>.00</w:t>
            </w:r>
          </w:p>
        </w:tc>
        <w:tc>
          <w:tcPr>
            <w:tcW w:w="825"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4.00</w:t>
            </w:r>
          </w:p>
        </w:tc>
        <w:tc>
          <w:tcPr>
            <w:tcW w:w="1132"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80.00%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291" w:type="dxa"/>
            <w:vMerge w:val="continue"/>
            <w:vAlign w:val="center"/>
          </w:tcPr>
          <w:p>
            <w:pPr>
              <w:jc w:val="center"/>
              <w:rPr>
                <w:rFonts w:ascii="Times New Roman" w:hAnsi="Times New Roman" w:eastAsia="宋体" w:cs="Times New Roman"/>
              </w:rPr>
            </w:pPr>
          </w:p>
        </w:tc>
        <w:tc>
          <w:tcPr>
            <w:tcW w:w="2070" w:type="dxa"/>
            <w:vAlign w:val="center"/>
          </w:tcPr>
          <w:p>
            <w:pPr>
              <w:jc w:val="center"/>
              <w:rPr>
                <w:rFonts w:ascii="Times New Roman" w:hAnsi="Times New Roman" w:eastAsia="宋体" w:cs="Times New Roman"/>
              </w:rPr>
            </w:pPr>
            <w:r>
              <w:rPr>
                <w:rFonts w:ascii="Times New Roman" w:hAnsi="Times New Roman" w:eastAsia="宋体" w:cs="Times New Roman"/>
              </w:rPr>
              <w:t>满意度（10分）</w:t>
            </w:r>
          </w:p>
        </w:tc>
        <w:tc>
          <w:tcPr>
            <w:tcW w:w="2438" w:type="dxa"/>
            <w:vAlign w:val="center"/>
          </w:tcPr>
          <w:p>
            <w:pPr>
              <w:jc w:val="center"/>
              <w:rPr>
                <w:rFonts w:ascii="Times New Roman" w:hAnsi="Times New Roman" w:eastAsia="宋体" w:cs="Times New Roman"/>
              </w:rPr>
            </w:pPr>
            <w:r>
              <w:rPr>
                <w:rFonts w:ascii="Times New Roman" w:hAnsi="Times New Roman" w:eastAsia="宋体" w:cs="Times New Roman"/>
              </w:rPr>
              <w:t>使用单位满意度</w:t>
            </w:r>
          </w:p>
        </w:tc>
        <w:tc>
          <w:tcPr>
            <w:tcW w:w="935" w:type="dxa"/>
            <w:vAlign w:val="center"/>
          </w:tcPr>
          <w:p>
            <w:pPr>
              <w:jc w:val="center"/>
              <w:rPr>
                <w:rFonts w:ascii="Times New Roman" w:hAnsi="Times New Roman" w:eastAsia="宋体" w:cs="Times New Roman"/>
              </w:rPr>
            </w:pPr>
            <w:r>
              <w:rPr>
                <w:rFonts w:ascii="Times New Roman" w:hAnsi="Times New Roman" w:eastAsia="宋体" w:cs="Times New Roman"/>
              </w:rPr>
              <w:t>10</w:t>
            </w:r>
            <w:r>
              <w:rPr>
                <w:rFonts w:ascii="Times New Roman" w:hAnsi="Times New Roman" w:eastAsia="宋体" w:cs="Times New Roman"/>
                <w:color w:val="000000"/>
                <w:kern w:val="0"/>
                <w:lang w:bidi="ar"/>
              </w:rPr>
              <w:t>.00</w:t>
            </w:r>
          </w:p>
        </w:tc>
        <w:tc>
          <w:tcPr>
            <w:tcW w:w="825"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10.00</w:t>
            </w:r>
          </w:p>
        </w:tc>
        <w:tc>
          <w:tcPr>
            <w:tcW w:w="1132" w:type="dxa"/>
            <w:vAlign w:val="center"/>
          </w:tcPr>
          <w:p>
            <w:pPr>
              <w:widowControl/>
              <w:jc w:val="center"/>
              <w:textAlignment w:val="center"/>
              <w:rPr>
                <w:rFonts w:ascii="Times New Roman" w:hAnsi="Times New Roman" w:eastAsia="宋体" w:cs="Times New Roman"/>
              </w:rPr>
            </w:pPr>
            <w:r>
              <w:rPr>
                <w:rFonts w:ascii="Times New Roman" w:hAnsi="Times New Roman" w:eastAsia="宋体" w:cs="Times New Roman"/>
                <w:color w:val="000000"/>
                <w:kern w:val="0"/>
                <w:lang w:bidi="ar"/>
              </w:rPr>
              <w:t>100.00%</w:t>
            </w:r>
          </w:p>
        </w:tc>
      </w:tr>
    </w:tbl>
    <w:p>
      <w:pPr>
        <w:spacing w:line="560" w:lineRule="exact"/>
        <w:outlineLvl w:val="2"/>
        <w:rPr>
          <w:rFonts w:ascii="Times New Roman" w:hAnsi="Times New Roman" w:eastAsia="仿宋" w:cs="Times New Roman"/>
          <w:bCs/>
          <w:sz w:val="32"/>
          <w:szCs w:val="20"/>
        </w:rPr>
      </w:pPr>
      <w:bookmarkStart w:id="175" w:name="_Toc30865"/>
      <w:bookmarkStart w:id="176" w:name="_Toc31804"/>
      <w:bookmarkStart w:id="177" w:name="_Toc8121"/>
      <w:bookmarkStart w:id="178" w:name="_Toc17635"/>
      <w:bookmarkStart w:id="179" w:name="_Toc30024"/>
      <w:bookmarkStart w:id="180" w:name="_Hlk35710587"/>
    </w:p>
    <w:p>
      <w:pPr>
        <w:spacing w:line="560" w:lineRule="exact"/>
        <w:ind w:firstLine="643" w:firstLineChars="200"/>
        <w:outlineLvl w:val="2"/>
        <w:rPr>
          <w:rFonts w:ascii="Times New Roman" w:hAnsi="Times New Roman" w:eastAsia="仿宋" w:cs="Times New Roman"/>
          <w:b/>
          <w:sz w:val="32"/>
          <w:szCs w:val="20"/>
        </w:rPr>
      </w:pPr>
      <w:r>
        <w:rPr>
          <w:rFonts w:ascii="Times New Roman" w:hAnsi="Times New Roman" w:eastAsia="仿宋" w:cs="Times New Roman"/>
          <w:b/>
          <w:sz w:val="32"/>
          <w:szCs w:val="20"/>
        </w:rPr>
        <w:t>1.项目社会效益情况分析</w:t>
      </w:r>
      <w:bookmarkEnd w:id="175"/>
      <w:bookmarkEnd w:id="176"/>
      <w:bookmarkEnd w:id="177"/>
      <w:bookmarkEnd w:id="178"/>
      <w:bookmarkEnd w:id="179"/>
    </w:p>
    <w:bookmarkEnd w:id="180"/>
    <w:p>
      <w:pPr>
        <w:spacing w:line="560" w:lineRule="exact"/>
        <w:ind w:firstLine="640" w:firstLineChars="200"/>
        <w:outlineLvl w:val="2"/>
        <w:rPr>
          <w:rFonts w:ascii="Times New Roman" w:hAnsi="Times New Roman" w:eastAsia="仿宋" w:cs="Times New Roman"/>
          <w:bCs/>
          <w:sz w:val="32"/>
          <w:szCs w:val="20"/>
        </w:rPr>
      </w:pPr>
      <w:bookmarkStart w:id="181" w:name="_Toc18534"/>
      <w:bookmarkStart w:id="182" w:name="_Toc20444"/>
      <w:r>
        <w:rPr>
          <w:rFonts w:ascii="Times New Roman" w:hAnsi="Times New Roman" w:eastAsia="仿宋" w:cs="Times New Roman"/>
          <w:bCs/>
          <w:sz w:val="32"/>
          <w:szCs w:val="20"/>
        </w:rPr>
        <w:t>（1）全市政府网站的统一信息资源管理</w:t>
      </w:r>
      <w:bookmarkEnd w:id="181"/>
      <w:bookmarkEnd w:id="182"/>
    </w:p>
    <w:p>
      <w:pPr>
        <w:spacing w:line="560" w:lineRule="exact"/>
        <w:ind w:firstLine="640" w:firstLineChars="200"/>
        <w:outlineLvl w:val="2"/>
        <w:rPr>
          <w:rFonts w:ascii="Times New Roman" w:hAnsi="Times New Roman" w:eastAsia="仿宋" w:cs="Times New Roman"/>
          <w:bCs/>
          <w:sz w:val="32"/>
          <w:szCs w:val="20"/>
        </w:rPr>
      </w:pPr>
      <w:bookmarkStart w:id="183" w:name="_Toc26968"/>
      <w:bookmarkStart w:id="184" w:name="_Toc30330"/>
      <w:r>
        <w:rPr>
          <w:rFonts w:ascii="Times New Roman" w:hAnsi="Times New Roman" w:eastAsia="仿宋" w:cs="Times New Roman"/>
          <w:bCs/>
          <w:sz w:val="32"/>
          <w:szCs w:val="20"/>
        </w:rPr>
        <w:t>项目采用集约化建设模式，从基础设施层、技术支撑层、数据资源层等多个层次提供共性支撑服务，建设统一信息资源库。市区两级政府网站通过统一信息资源库实现互联互通，网站信息资源统一管理，实现全市政府网站信息资源跨站点、跨层级、跨系统的相互调用和信息共享互认。项目通过统一标准体系、统一技术支撑平台、统一数据资源、统一部署、统一安全防护、统一运维监管，集中管理信息数据，集中提供内容服务，实现网站资源优化融合、平台整合安全、数据互认共享、管理统筹规范，利用网上服务渠道做好政务公开、提高政务舆情回应实效、畅通群众投诉举报渠道、提升网上政府服务性能和管理效率。</w:t>
      </w:r>
      <w:bookmarkEnd w:id="183"/>
      <w:bookmarkEnd w:id="184"/>
    </w:p>
    <w:p>
      <w:pPr>
        <w:spacing w:line="560" w:lineRule="exact"/>
        <w:ind w:firstLine="640" w:firstLineChars="200"/>
        <w:outlineLvl w:val="2"/>
        <w:rPr>
          <w:rFonts w:ascii="Times New Roman" w:hAnsi="Times New Roman" w:eastAsia="仿宋" w:cs="Times New Roman"/>
          <w:bCs/>
          <w:sz w:val="32"/>
          <w:szCs w:val="20"/>
        </w:rPr>
      </w:pPr>
      <w:bookmarkStart w:id="185" w:name="_Toc12493"/>
      <w:bookmarkStart w:id="186" w:name="_Toc22673"/>
      <w:r>
        <w:rPr>
          <w:rFonts w:ascii="Times New Roman" w:hAnsi="Times New Roman" w:eastAsia="仿宋" w:cs="Times New Roman"/>
          <w:bCs/>
          <w:sz w:val="32"/>
          <w:szCs w:val="20"/>
        </w:rPr>
        <w:t>（2）实现</w:t>
      </w:r>
      <w:r>
        <w:rPr>
          <w:rFonts w:hint="eastAsia" w:ascii="仿宋" w:hAnsi="仿宋" w:eastAsia="仿宋" w:cs="仿宋"/>
          <w:bCs/>
          <w:sz w:val="32"/>
          <w:szCs w:val="20"/>
        </w:rPr>
        <w:t>“一网通查”“一网通答”“一网通办”</w:t>
      </w:r>
      <w:r>
        <w:rPr>
          <w:rFonts w:ascii="Times New Roman" w:hAnsi="Times New Roman" w:eastAsia="仿宋" w:cs="Times New Roman"/>
          <w:bCs/>
          <w:sz w:val="32"/>
          <w:szCs w:val="20"/>
        </w:rPr>
        <w:t>服务</w:t>
      </w:r>
      <w:bookmarkEnd w:id="185"/>
      <w:bookmarkEnd w:id="186"/>
    </w:p>
    <w:p>
      <w:pPr>
        <w:spacing w:line="560" w:lineRule="exact"/>
        <w:ind w:firstLine="640" w:firstLineChars="200"/>
        <w:outlineLvl w:val="2"/>
        <w:rPr>
          <w:rFonts w:ascii="Times New Roman" w:hAnsi="Times New Roman" w:eastAsia="仿宋" w:cs="Times New Roman"/>
          <w:bCs/>
          <w:sz w:val="32"/>
          <w:szCs w:val="20"/>
        </w:rPr>
      </w:pPr>
      <w:bookmarkStart w:id="187" w:name="_Toc12288"/>
      <w:bookmarkStart w:id="188" w:name="_Toc24108"/>
      <w:r>
        <w:rPr>
          <w:rFonts w:ascii="Times New Roman" w:hAnsi="Times New Roman" w:eastAsia="仿宋" w:cs="Times New Roman"/>
          <w:bCs/>
          <w:sz w:val="32"/>
          <w:szCs w:val="20"/>
        </w:rPr>
        <w:t>项目通过集约化方式为公众提供统一的智能搜索、无障碍等一体化网上服务，根据用户行为分析对服务进行优化，提升网上政务服务的便捷度，实现</w:t>
      </w:r>
      <w:r>
        <w:rPr>
          <w:rFonts w:hint="eastAsia" w:ascii="仿宋" w:hAnsi="仿宋" w:eastAsia="仿宋" w:cs="仿宋"/>
          <w:bCs/>
          <w:sz w:val="32"/>
          <w:szCs w:val="20"/>
        </w:rPr>
        <w:t>“一网通查”“一网通答”“一网通办”服务，创新服务模式。“一网通查”服务使政府网站搜索系统可以一网通查办事信息，提高信息搜索效率及准确率；“一网通答”服务通过统一的网上政民互动入口、政务信息知识库、即时智能问答系统，形成联动的网上政府“人工客服”，提升网民互动效率；“一网通办”</w:t>
      </w:r>
      <w:r>
        <w:rPr>
          <w:rFonts w:ascii="Times New Roman" w:hAnsi="Times New Roman" w:eastAsia="仿宋" w:cs="Times New Roman"/>
          <w:bCs/>
          <w:sz w:val="32"/>
          <w:szCs w:val="20"/>
        </w:rPr>
        <w:t>服务可以提升网上可办率和办理深度，缩减审批时间，降低网民的办事成本。</w:t>
      </w:r>
      <w:bookmarkEnd w:id="187"/>
      <w:bookmarkEnd w:id="188"/>
    </w:p>
    <w:p>
      <w:pPr>
        <w:spacing w:line="560" w:lineRule="exact"/>
        <w:ind w:firstLine="640" w:firstLineChars="200"/>
        <w:outlineLvl w:val="2"/>
        <w:rPr>
          <w:rFonts w:ascii="Times New Roman" w:hAnsi="Times New Roman" w:eastAsia="仿宋" w:cs="Times New Roman"/>
          <w:bCs/>
          <w:sz w:val="32"/>
          <w:szCs w:val="20"/>
        </w:rPr>
      </w:pPr>
      <w:bookmarkStart w:id="189" w:name="_Toc29795"/>
      <w:bookmarkStart w:id="190" w:name="_Toc167"/>
      <w:r>
        <w:rPr>
          <w:rFonts w:ascii="Times New Roman" w:hAnsi="Times New Roman" w:eastAsia="仿宋" w:cs="Times New Roman"/>
          <w:bCs/>
          <w:sz w:val="32"/>
          <w:szCs w:val="20"/>
        </w:rPr>
        <w:t>（3）全市政府网站整体安全稳定高效运行</w:t>
      </w:r>
      <w:bookmarkEnd w:id="189"/>
      <w:bookmarkEnd w:id="190"/>
    </w:p>
    <w:p>
      <w:pPr>
        <w:spacing w:line="560" w:lineRule="exact"/>
        <w:ind w:firstLine="640" w:firstLineChars="200"/>
        <w:outlineLvl w:val="2"/>
        <w:rPr>
          <w:rFonts w:ascii="Times New Roman" w:hAnsi="Times New Roman" w:eastAsia="仿宋" w:cs="Times New Roman"/>
          <w:bCs/>
          <w:sz w:val="32"/>
          <w:szCs w:val="20"/>
        </w:rPr>
      </w:pPr>
      <w:bookmarkStart w:id="191" w:name="_Toc6784"/>
      <w:bookmarkStart w:id="192" w:name="_Toc22835"/>
      <w:r>
        <w:rPr>
          <w:rFonts w:ascii="Times New Roman" w:hAnsi="Times New Roman" w:eastAsia="仿宋" w:cs="Times New Roman"/>
          <w:bCs/>
          <w:sz w:val="32"/>
          <w:szCs w:val="20"/>
        </w:rPr>
        <w:t>2021年度，全市政府网站日均访问用户约66万人次，日均访问量约313.74万次。</w:t>
      </w:r>
      <w:r>
        <w:rPr>
          <w:rFonts w:hint="eastAsia" w:ascii="仿宋" w:hAnsi="仿宋" w:eastAsia="仿宋" w:cs="仿宋"/>
          <w:bCs/>
          <w:sz w:val="32"/>
          <w:szCs w:val="20"/>
        </w:rPr>
        <w:t>“一网通查”</w:t>
      </w:r>
      <w:r>
        <w:rPr>
          <w:rFonts w:ascii="Times New Roman" w:hAnsi="Times New Roman" w:eastAsia="仿宋" w:cs="Times New Roman"/>
          <w:bCs/>
          <w:sz w:val="32"/>
          <w:szCs w:val="20"/>
        </w:rPr>
        <w:t>智能搜索平台日均搜索服务量约11万次，</w:t>
      </w:r>
      <w:r>
        <w:rPr>
          <w:rFonts w:hint="eastAsia" w:ascii="仿宋" w:hAnsi="仿宋" w:eastAsia="仿宋" w:cs="仿宋"/>
          <w:bCs/>
          <w:sz w:val="32"/>
          <w:szCs w:val="20"/>
        </w:rPr>
        <w:t>“一网通答”</w:t>
      </w:r>
      <w:r>
        <w:rPr>
          <w:rFonts w:ascii="Times New Roman" w:hAnsi="Times New Roman" w:eastAsia="仿宋" w:cs="Times New Roman"/>
          <w:bCs/>
          <w:sz w:val="32"/>
          <w:szCs w:val="20"/>
        </w:rPr>
        <w:t>一体化互动交流平台实现全市政府网站“一号登录</w:t>
      </w:r>
      <w:r>
        <w:rPr>
          <w:rFonts w:hint="eastAsia" w:ascii="Times New Roman" w:hAnsi="Times New Roman" w:eastAsia="仿宋" w:cs="Times New Roman"/>
          <w:bCs/>
          <w:sz w:val="32"/>
          <w:szCs w:val="20"/>
          <w:lang w:eastAsia="zh-CN"/>
        </w:rPr>
        <w:t>”</w:t>
      </w:r>
      <w:r>
        <w:rPr>
          <w:rFonts w:ascii="Times New Roman" w:hAnsi="Times New Roman" w:eastAsia="仿宋" w:cs="Times New Roman"/>
          <w:bCs/>
          <w:sz w:val="32"/>
          <w:szCs w:val="20"/>
        </w:rPr>
        <w:t>、统一互动交流，智能咨询服务信件诉求办结率达到94.19%。项目通过构建统一运维监管和安全防护体系，组建7*24小时运维值守团队，对集约化平台和全市政府网站进行实时监控，保障全市政府网站整体安全平稳高效运行，全年无重大信息安全事故。</w:t>
      </w:r>
      <w:bookmarkEnd w:id="191"/>
      <w:bookmarkEnd w:id="192"/>
    </w:p>
    <w:p>
      <w:pPr>
        <w:spacing w:line="560" w:lineRule="exact"/>
        <w:ind w:firstLine="640" w:firstLineChars="200"/>
        <w:outlineLvl w:val="2"/>
        <w:rPr>
          <w:rFonts w:ascii="Times New Roman" w:hAnsi="Times New Roman" w:eastAsia="仿宋" w:cs="Times New Roman"/>
          <w:bCs/>
          <w:sz w:val="32"/>
          <w:szCs w:val="20"/>
        </w:rPr>
      </w:pPr>
      <w:bookmarkStart w:id="193" w:name="_Toc14218"/>
      <w:bookmarkStart w:id="194" w:name="_Toc27913"/>
      <w:r>
        <w:rPr>
          <w:rFonts w:ascii="Times New Roman" w:hAnsi="Times New Roman" w:eastAsia="仿宋" w:cs="Times New Roman"/>
          <w:bCs/>
          <w:sz w:val="32"/>
          <w:szCs w:val="20"/>
        </w:rPr>
        <w:t>项目实施的社会效益较显著，建议进一步提升各单位在集约化平台上线内容的比例；加强对集约化平台各类数据统计分析工作，做好相关资料的收集整理和分析应用，彰显项目效益。</w:t>
      </w:r>
      <w:bookmarkEnd w:id="193"/>
      <w:bookmarkEnd w:id="194"/>
    </w:p>
    <w:p>
      <w:pPr>
        <w:spacing w:line="560" w:lineRule="exact"/>
        <w:ind w:firstLine="643" w:firstLineChars="200"/>
        <w:outlineLvl w:val="2"/>
        <w:rPr>
          <w:rFonts w:ascii="Times New Roman" w:hAnsi="Times New Roman" w:eastAsia="仿宋" w:cs="Times New Roman"/>
          <w:b/>
          <w:sz w:val="32"/>
          <w:szCs w:val="20"/>
        </w:rPr>
      </w:pPr>
      <w:bookmarkStart w:id="195" w:name="_Toc8738"/>
      <w:bookmarkStart w:id="196" w:name="_Toc5466"/>
      <w:r>
        <w:rPr>
          <w:rFonts w:ascii="Times New Roman" w:hAnsi="Times New Roman" w:eastAsia="仿宋" w:cs="Times New Roman"/>
          <w:b/>
          <w:sz w:val="32"/>
          <w:szCs w:val="20"/>
        </w:rPr>
        <w:t>2.项目可持续影响情况分析</w:t>
      </w:r>
      <w:bookmarkEnd w:id="195"/>
      <w:bookmarkEnd w:id="196"/>
    </w:p>
    <w:p>
      <w:pPr>
        <w:spacing w:line="560" w:lineRule="exact"/>
        <w:ind w:firstLine="640" w:firstLineChars="200"/>
        <w:outlineLvl w:val="2"/>
        <w:rPr>
          <w:rFonts w:ascii="Times New Roman" w:hAnsi="Times New Roman" w:eastAsia="仿宋" w:cs="Times New Roman"/>
          <w:bCs/>
          <w:sz w:val="32"/>
          <w:szCs w:val="20"/>
        </w:rPr>
      </w:pPr>
      <w:bookmarkStart w:id="197" w:name="_Toc19129"/>
      <w:bookmarkStart w:id="198" w:name="_Toc16140"/>
      <w:r>
        <w:rPr>
          <w:rFonts w:ascii="Times New Roman" w:hAnsi="Times New Roman" w:eastAsia="仿宋" w:cs="Times New Roman"/>
          <w:bCs/>
          <w:sz w:val="32"/>
          <w:szCs w:val="20"/>
        </w:rPr>
        <w:t>2021年度，北京市政府网站集约化平台支撑61个站点的建设运营，提供内容发布、智能搜索等14个组件的功能服务及运维服务，保障平台各类功能正常使用，全市政府网站持续稳定运行。项目通过创新政府网站信息资源服务场景、优化全站信息发布功能、实现跨站点信息报送和资源共享等功能升级，不断完善集约化平台功能，项目实施的可持续影响较好。</w:t>
      </w:r>
      <w:bookmarkEnd w:id="197"/>
      <w:bookmarkEnd w:id="198"/>
    </w:p>
    <w:p>
      <w:pPr>
        <w:spacing w:line="560" w:lineRule="exact"/>
        <w:ind w:firstLine="643" w:firstLineChars="200"/>
        <w:outlineLvl w:val="2"/>
        <w:rPr>
          <w:rFonts w:ascii="Times New Roman" w:hAnsi="Times New Roman" w:eastAsia="仿宋" w:cs="Times New Roman"/>
          <w:b/>
          <w:sz w:val="32"/>
          <w:szCs w:val="20"/>
        </w:rPr>
      </w:pPr>
      <w:bookmarkStart w:id="199" w:name="_Toc4805"/>
      <w:bookmarkStart w:id="200" w:name="_Toc27714"/>
      <w:r>
        <w:rPr>
          <w:rFonts w:ascii="Times New Roman" w:hAnsi="Times New Roman" w:eastAsia="仿宋" w:cs="Times New Roman"/>
          <w:b/>
          <w:sz w:val="32"/>
          <w:szCs w:val="20"/>
        </w:rPr>
        <w:t>3.项目满意度情况分析</w:t>
      </w:r>
      <w:bookmarkEnd w:id="199"/>
      <w:bookmarkEnd w:id="200"/>
    </w:p>
    <w:p>
      <w:pPr>
        <w:spacing w:line="560" w:lineRule="exact"/>
        <w:ind w:firstLine="640" w:firstLineChars="200"/>
        <w:outlineLvl w:val="2"/>
        <w:rPr>
          <w:rFonts w:ascii="Times New Roman" w:hAnsi="Times New Roman" w:eastAsia="仿宋" w:cs="Times New Roman"/>
          <w:bCs/>
          <w:sz w:val="32"/>
          <w:szCs w:val="20"/>
        </w:rPr>
      </w:pPr>
      <w:bookmarkStart w:id="201" w:name="_Toc5791"/>
      <w:bookmarkStart w:id="202" w:name="_Toc7399"/>
      <w:r>
        <w:rPr>
          <w:rFonts w:ascii="Times New Roman" w:hAnsi="Times New Roman" w:eastAsia="仿宋" w:cs="Times New Roman"/>
          <w:bCs/>
          <w:sz w:val="32"/>
          <w:szCs w:val="20"/>
        </w:rPr>
        <w:t>项目面向市政府门户网站、各市级部门等集约化平台用户开展满意度调查，采取线上问卷调查的方式，从集约化平台运维、使用、操作、服务、功能、安全保障等方面调查用户的满意度情况。参与满意度调查的</w:t>
      </w:r>
      <w:r>
        <w:rPr>
          <w:rFonts w:hint="eastAsia" w:ascii="Times New Roman" w:hAnsi="Times New Roman" w:eastAsia="仿宋" w:cs="Times New Roman"/>
          <w:bCs/>
          <w:sz w:val="32"/>
          <w:szCs w:val="20"/>
          <w:lang w:eastAsia="zh-CN"/>
        </w:rPr>
        <w:t>使用单位</w:t>
      </w:r>
      <w:r>
        <w:rPr>
          <w:rFonts w:ascii="Times New Roman" w:hAnsi="Times New Roman" w:eastAsia="仿宋" w:cs="Times New Roman"/>
          <w:bCs/>
          <w:sz w:val="32"/>
          <w:szCs w:val="20"/>
        </w:rPr>
        <w:t>总体满意度为96.72%，项目实施的满意度情况较好。</w:t>
      </w:r>
      <w:bookmarkEnd w:id="201"/>
      <w:bookmarkEnd w:id="202"/>
    </w:p>
    <w:p>
      <w:pPr>
        <w:pStyle w:val="2"/>
        <w:widowControl w:val="0"/>
        <w:spacing w:line="560" w:lineRule="exact"/>
        <w:ind w:firstLine="640" w:firstLineChars="200"/>
        <w:outlineLvl w:val="0"/>
        <w:rPr>
          <w:rFonts w:ascii="黑体" w:hAnsi="黑体" w:eastAsia="黑体" w:cs="黑体"/>
        </w:rPr>
      </w:pPr>
      <w:bookmarkStart w:id="203" w:name="_Toc21930"/>
      <w:r>
        <w:rPr>
          <w:rFonts w:hint="eastAsia" w:ascii="黑体" w:hAnsi="黑体" w:eastAsia="黑体" w:cs="黑体"/>
        </w:rPr>
        <w:t>五、主要经验及做法、存在的问题及原因分析</w:t>
      </w:r>
      <w:bookmarkEnd w:id="203"/>
    </w:p>
    <w:p>
      <w:pPr>
        <w:pStyle w:val="2"/>
        <w:widowControl w:val="0"/>
        <w:spacing w:line="560" w:lineRule="exact"/>
        <w:ind w:firstLine="640" w:firstLineChars="200"/>
        <w:outlineLvl w:val="1"/>
        <w:rPr>
          <w:rFonts w:ascii="楷体" w:hAnsi="楷体" w:eastAsia="楷体" w:cs="楷体"/>
        </w:rPr>
      </w:pPr>
      <w:bookmarkStart w:id="204" w:name="_Toc27646"/>
      <w:r>
        <w:rPr>
          <w:rFonts w:hint="eastAsia" w:ascii="楷体" w:hAnsi="楷体" w:eastAsia="楷体" w:cs="楷体"/>
        </w:rPr>
        <w:t>（一）主要经验及做法</w:t>
      </w:r>
      <w:bookmarkEnd w:id="204"/>
    </w:p>
    <w:p>
      <w:pPr>
        <w:pStyle w:val="2"/>
        <w:widowControl w:val="0"/>
        <w:spacing w:line="560" w:lineRule="exact"/>
        <w:ind w:firstLine="643" w:firstLineChars="200"/>
        <w:outlineLvl w:val="1"/>
        <w:rPr>
          <w:rFonts w:ascii="仿宋" w:hAnsi="仿宋" w:cs="仿宋"/>
          <w:b/>
          <w:bCs/>
        </w:rPr>
      </w:pPr>
      <w:bookmarkStart w:id="205" w:name="_Toc17687"/>
      <w:r>
        <w:rPr>
          <w:rFonts w:hint="eastAsia" w:ascii="仿宋" w:hAnsi="仿宋" w:cs="仿宋"/>
          <w:b/>
          <w:bCs/>
        </w:rPr>
        <w:t>1.项目单位结合实际不断完善项目管理规范和标准制度</w:t>
      </w:r>
      <w:bookmarkEnd w:id="205"/>
    </w:p>
    <w:p>
      <w:pPr>
        <w:pStyle w:val="2"/>
        <w:widowControl w:val="0"/>
        <w:spacing w:line="560" w:lineRule="exact"/>
        <w:ind w:firstLine="640" w:firstLineChars="200"/>
        <w:jc w:val="left"/>
        <w:rPr>
          <w:rFonts w:ascii="Times New Roman" w:hAnsi="Times New Roman"/>
        </w:rPr>
      </w:pPr>
      <w:r>
        <w:rPr>
          <w:rFonts w:hint="eastAsia" w:ascii="Times New Roman" w:hAnsi="Times New Roman"/>
        </w:rPr>
        <w:t>首都之窗根据北京市政府网站集约化平台运行情况，对项目管理规范和标准制度进行完善，新增编制《北京市政府网站集约化平台日常信息发布工作要求》《北京市政府网站集约化平台服务及应用每日巡检实操手册》《北京市政府网站错敏词、涉密文档的日常监测及处理工作规范》《北京市政府网站集约化平台功能升级管理规定》等标准规范，规范平台的各项运维和管理工作。</w:t>
      </w:r>
    </w:p>
    <w:p>
      <w:pPr>
        <w:pStyle w:val="2"/>
        <w:widowControl w:val="0"/>
        <w:spacing w:line="560" w:lineRule="exact"/>
        <w:ind w:firstLine="643" w:firstLineChars="200"/>
        <w:outlineLvl w:val="1"/>
        <w:rPr>
          <w:rFonts w:ascii="仿宋" w:hAnsi="仿宋" w:cs="仿宋"/>
          <w:b/>
          <w:bCs/>
        </w:rPr>
      </w:pPr>
      <w:bookmarkStart w:id="206" w:name="_Toc3008"/>
      <w:r>
        <w:rPr>
          <w:rFonts w:hint="eastAsia" w:ascii="仿宋" w:hAnsi="仿宋" w:cs="仿宋"/>
          <w:b/>
          <w:bCs/>
        </w:rPr>
        <w:t>2.项目社会效益显著，全市政府网站整体安全平稳高效运行</w:t>
      </w:r>
      <w:bookmarkEnd w:id="206"/>
    </w:p>
    <w:p>
      <w:pPr>
        <w:pStyle w:val="2"/>
        <w:widowControl w:val="0"/>
        <w:spacing w:line="560" w:lineRule="exact"/>
        <w:ind w:firstLine="640" w:firstLineChars="200"/>
        <w:jc w:val="left"/>
        <w:rPr>
          <w:rFonts w:ascii="Times New Roman" w:hAnsi="Times New Roman"/>
        </w:rPr>
      </w:pPr>
      <w:r>
        <w:rPr>
          <w:rFonts w:hint="eastAsia" w:ascii="Times New Roman" w:hAnsi="Times New Roman"/>
        </w:rPr>
        <w:t>项目持续优化政府网站建设的统一标准规范，统一采买集约化平台各类技术组件和政务云服务资源，为集约化平台提供整体的统一运维监管、统一安全防护服务；运维和应用全市统一信息资源库，提供全市政府网站的统一信息资源管理；实现“一网通查”“一网通答”“一网通办”服务；保障北京市政府门户网站以及全部市级政府部门网站整体安全平稳高效运行。</w:t>
      </w:r>
    </w:p>
    <w:p>
      <w:pPr>
        <w:pStyle w:val="2"/>
        <w:widowControl w:val="0"/>
        <w:spacing w:line="560" w:lineRule="exact"/>
        <w:ind w:firstLine="640" w:firstLineChars="200"/>
        <w:outlineLvl w:val="1"/>
        <w:rPr>
          <w:rFonts w:ascii="楷体" w:hAnsi="楷体" w:eastAsia="楷体" w:cs="楷体"/>
        </w:rPr>
      </w:pPr>
      <w:bookmarkStart w:id="207" w:name="_Toc3928"/>
      <w:r>
        <w:rPr>
          <w:rFonts w:hint="eastAsia" w:ascii="楷体" w:hAnsi="楷体" w:eastAsia="楷体" w:cs="楷体"/>
        </w:rPr>
        <w:t>（二）存在的问题及原因分析</w:t>
      </w:r>
      <w:bookmarkEnd w:id="207"/>
    </w:p>
    <w:p>
      <w:pPr>
        <w:pStyle w:val="2"/>
        <w:widowControl w:val="0"/>
        <w:spacing w:line="560" w:lineRule="exact"/>
        <w:ind w:firstLine="643" w:firstLineChars="200"/>
        <w:outlineLvl w:val="1"/>
        <w:rPr>
          <w:rFonts w:ascii="仿宋" w:hAnsi="仿宋" w:cs="仿宋"/>
          <w:b/>
          <w:bCs/>
        </w:rPr>
      </w:pPr>
      <w:bookmarkStart w:id="208" w:name="_Toc21896"/>
      <w:r>
        <w:rPr>
          <w:rFonts w:hint="eastAsia" w:ascii="仿宋" w:hAnsi="仿宋" w:cs="仿宋"/>
          <w:b/>
          <w:bCs/>
        </w:rPr>
        <w:t>1.项目中长期规划、年度计划的指导性有待加强</w:t>
      </w:r>
      <w:bookmarkEnd w:id="208"/>
    </w:p>
    <w:p>
      <w:pPr>
        <w:pStyle w:val="2"/>
        <w:widowControl w:val="0"/>
        <w:spacing w:line="560" w:lineRule="exact"/>
        <w:ind w:firstLine="640" w:firstLineChars="200"/>
        <w:jc w:val="left"/>
        <w:rPr>
          <w:rFonts w:ascii="Times New Roman" w:hAnsi="Times New Roman"/>
        </w:rPr>
      </w:pPr>
      <w:r>
        <w:rPr>
          <w:rFonts w:hint="eastAsia" w:ascii="Times New Roman" w:hAnsi="Times New Roman"/>
        </w:rPr>
        <w:t>评价发现，项目缺少中长期规划，对于项目实施过程中可能遇到的新情况、新问题等缺少解决对策规划；项目年度计划的指导性不足，对购买集约化平台各类技术组件和政务云服务资源，运营和优化“一网通查”服务与“一网通答”服务等需求分析不足。</w:t>
      </w:r>
    </w:p>
    <w:p>
      <w:pPr>
        <w:pStyle w:val="2"/>
        <w:widowControl w:val="0"/>
        <w:spacing w:line="560" w:lineRule="exact"/>
        <w:ind w:firstLine="643" w:firstLineChars="200"/>
        <w:outlineLvl w:val="1"/>
        <w:rPr>
          <w:rFonts w:ascii="楷体_GB2312" w:hAnsi="楷体_GB2312" w:eastAsia="楷体_GB2312" w:cs="楷体_GB2312"/>
        </w:rPr>
      </w:pPr>
      <w:bookmarkStart w:id="209" w:name="_Toc18684"/>
      <w:r>
        <w:rPr>
          <w:rFonts w:hint="eastAsia" w:ascii="仿宋" w:hAnsi="仿宋" w:cs="仿宋"/>
          <w:b/>
          <w:bCs/>
        </w:rPr>
        <w:t>2.绩效目标及绩效指标设置的科学合理性有待提高</w:t>
      </w:r>
      <w:bookmarkEnd w:id="209"/>
    </w:p>
    <w:p>
      <w:pPr>
        <w:pStyle w:val="2"/>
        <w:widowControl w:val="0"/>
        <w:spacing w:line="560" w:lineRule="exact"/>
        <w:ind w:firstLine="640" w:firstLineChars="200"/>
        <w:outlineLvl w:val="1"/>
        <w:rPr>
          <w:rFonts w:ascii="Times New Roman" w:hAnsi="Times New Roman"/>
        </w:rPr>
      </w:pPr>
      <w:bookmarkStart w:id="210" w:name="_Toc2262"/>
      <w:bookmarkStart w:id="211" w:name="_Toc12740"/>
      <w:r>
        <w:rPr>
          <w:rFonts w:hint="eastAsia" w:ascii="Times New Roman" w:hAnsi="Times New Roman"/>
        </w:rPr>
        <w:t>评价发现，</w:t>
      </w:r>
      <w:r>
        <w:rPr>
          <w:rFonts w:hint="eastAsia" w:ascii="Times New Roman" w:hAnsi="Times New Roman"/>
          <w:b/>
          <w:bCs/>
        </w:rPr>
        <w:t>一是</w:t>
      </w:r>
      <w:r>
        <w:rPr>
          <w:rFonts w:hint="eastAsia" w:ascii="Times New Roman" w:hAnsi="Times New Roman"/>
        </w:rPr>
        <w:t>项目年度目标对项目实施的预期产出阐述偏笼统，不够明确、细化。</w:t>
      </w:r>
      <w:r>
        <w:rPr>
          <w:rFonts w:hint="eastAsia" w:ascii="Times New Roman" w:hAnsi="Times New Roman"/>
          <w:b/>
          <w:bCs/>
        </w:rPr>
        <w:t>二是</w:t>
      </w:r>
      <w:r>
        <w:rPr>
          <w:rFonts w:hint="eastAsia" w:ascii="Times New Roman" w:hAnsi="Times New Roman"/>
        </w:rPr>
        <w:t>绩效指标设置的明确性不足。数量指标设置笼统，未针对项目运维内容细化指标；质量指标可考核性有待提高；时效指标未对项目实施与验收期限进行考核，指标设置不完整</w:t>
      </w:r>
      <w:r>
        <w:rPr>
          <w:rFonts w:hint="eastAsia" w:ascii="Times New Roman" w:hAnsi="Times New Roman"/>
          <w:lang w:eastAsia="zh-CN"/>
        </w:rPr>
        <w:t>。</w:t>
      </w:r>
      <w:bookmarkEnd w:id="210"/>
      <w:bookmarkEnd w:id="211"/>
      <w:r>
        <w:rPr>
          <w:rFonts w:hint="eastAsia" w:ascii="Times New Roman" w:hAnsi="Times New Roman"/>
          <w:b/>
          <w:bCs/>
          <w:lang w:eastAsia="zh-CN"/>
        </w:rPr>
        <w:t>三</w:t>
      </w:r>
      <w:r>
        <w:rPr>
          <w:rFonts w:hint="eastAsia" w:ascii="Times New Roman" w:hAnsi="Times New Roman"/>
          <w:b/>
          <w:bCs/>
        </w:rPr>
        <w:t>是</w:t>
      </w:r>
      <w:r>
        <w:rPr>
          <w:rFonts w:hint="eastAsia" w:ascii="Times New Roman" w:hAnsi="Times New Roman"/>
        </w:rPr>
        <w:t>效益指标设置的合理性有待提升</w:t>
      </w:r>
      <w:r>
        <w:rPr>
          <w:rFonts w:hint="eastAsia" w:ascii="Times New Roman" w:hAnsi="Times New Roman"/>
          <w:lang w:eastAsia="zh-CN"/>
        </w:rPr>
        <w:t>，</w:t>
      </w:r>
      <w:r>
        <w:rPr>
          <w:rFonts w:hint="eastAsia" w:ascii="Times New Roman" w:hAnsi="Times New Roman"/>
        </w:rPr>
        <w:t>本项目不产生经济效益，</w:t>
      </w:r>
      <w:r>
        <w:rPr>
          <w:rFonts w:hint="eastAsia" w:ascii="Times New Roman" w:hAnsi="Times New Roman"/>
          <w:lang w:eastAsia="zh-CN"/>
        </w:rPr>
        <w:t>指标</w:t>
      </w:r>
      <w:r>
        <w:rPr>
          <w:rFonts w:hint="eastAsia" w:ascii="Times New Roman" w:hAnsi="Times New Roman"/>
        </w:rPr>
        <w:t>“各部门不再单独申请网站相关技术运维费用”</w:t>
      </w:r>
      <w:r>
        <w:rPr>
          <w:rFonts w:hint="eastAsia" w:ascii="Times New Roman" w:hAnsi="Times New Roman"/>
          <w:lang w:eastAsia="zh-CN"/>
        </w:rPr>
        <w:t>建议</w:t>
      </w:r>
      <w:r>
        <w:rPr>
          <w:rFonts w:hint="eastAsia" w:ascii="Times New Roman" w:hAnsi="Times New Roman"/>
        </w:rPr>
        <w:t>调整为社会效益指标。</w:t>
      </w:r>
    </w:p>
    <w:p>
      <w:pPr>
        <w:pStyle w:val="2"/>
        <w:widowControl w:val="0"/>
        <w:spacing w:line="560" w:lineRule="exact"/>
        <w:ind w:firstLine="643" w:firstLineChars="200"/>
        <w:outlineLvl w:val="1"/>
        <w:rPr>
          <w:rFonts w:ascii="楷体_GB2312" w:hAnsi="楷体_GB2312" w:eastAsia="楷体" w:cs="楷体_GB2312"/>
        </w:rPr>
      </w:pPr>
      <w:bookmarkStart w:id="212" w:name="_Toc11884"/>
      <w:r>
        <w:rPr>
          <w:rFonts w:hint="eastAsia" w:ascii="仿宋" w:hAnsi="仿宋" w:cs="仿宋"/>
          <w:b/>
          <w:bCs/>
        </w:rPr>
        <w:t>3.预算编制论证不够充分，预算编制科学性有待提升</w:t>
      </w:r>
      <w:bookmarkEnd w:id="212"/>
    </w:p>
    <w:p>
      <w:pPr>
        <w:pStyle w:val="2"/>
        <w:widowControl w:val="0"/>
        <w:spacing w:line="560" w:lineRule="exact"/>
        <w:ind w:firstLine="640" w:firstLineChars="200"/>
        <w:outlineLvl w:val="1"/>
        <w:rPr>
          <w:rFonts w:ascii="Times New Roman" w:hAnsi="Times New Roman"/>
        </w:rPr>
      </w:pPr>
      <w:bookmarkStart w:id="213" w:name="_Toc6231"/>
      <w:bookmarkStart w:id="214" w:name="_Toc21029"/>
      <w:r>
        <w:rPr>
          <w:rFonts w:hint="eastAsia" w:ascii="Times New Roman" w:hAnsi="Times New Roman"/>
        </w:rPr>
        <w:t>评价发现，项目预算编制的论证不够充分，项目服务及运维内容与北京市政府网站集约化平台建设项目质保内容的边界不清晰；部分费用存在申报依据不充分、申报工作量或预算价格偏高等问题；项目预算审减率较高，预算编制的科学性仍需提升。</w:t>
      </w:r>
      <w:bookmarkEnd w:id="213"/>
      <w:bookmarkEnd w:id="214"/>
    </w:p>
    <w:p>
      <w:pPr>
        <w:pStyle w:val="2"/>
        <w:widowControl w:val="0"/>
        <w:spacing w:line="560" w:lineRule="exact"/>
        <w:ind w:firstLine="643" w:firstLineChars="200"/>
        <w:outlineLvl w:val="1"/>
        <w:rPr>
          <w:rFonts w:ascii="楷体_GB2312" w:hAnsi="楷体_GB2312" w:eastAsia="楷体" w:cs="楷体_GB2312"/>
        </w:rPr>
      </w:pPr>
      <w:bookmarkStart w:id="215" w:name="_Toc7642"/>
      <w:r>
        <w:rPr>
          <w:rFonts w:hint="eastAsia" w:ascii="仿宋" w:hAnsi="仿宋" w:cs="仿宋"/>
          <w:b/>
          <w:bCs/>
        </w:rPr>
        <w:t>4.项目过程管理的规范性、有效性不足</w:t>
      </w:r>
      <w:bookmarkEnd w:id="215"/>
    </w:p>
    <w:p>
      <w:pPr>
        <w:pStyle w:val="2"/>
        <w:widowControl w:val="0"/>
        <w:spacing w:line="560" w:lineRule="exact"/>
        <w:ind w:firstLine="640" w:firstLineChars="200"/>
        <w:rPr>
          <w:rFonts w:ascii="Times New Roman" w:hAnsi="Times New Roman"/>
        </w:rPr>
      </w:pPr>
      <w:r>
        <w:rPr>
          <w:rFonts w:hint="eastAsia" w:ascii="Times New Roman" w:hAnsi="Times New Roman"/>
        </w:rPr>
        <w:t>评价发现，</w:t>
      </w:r>
      <w:r>
        <w:rPr>
          <w:rFonts w:hint="eastAsia" w:ascii="Times New Roman" w:hAnsi="Times New Roman"/>
          <w:b/>
          <w:bCs/>
        </w:rPr>
        <w:t>一是</w:t>
      </w:r>
      <w:r>
        <w:rPr>
          <w:rFonts w:hint="eastAsia" w:ascii="Times New Roman" w:hAnsi="Times New Roman"/>
        </w:rPr>
        <w:t>项目实施方案有待完善，实施方案中项目组织机构的职责分工不够明确，缺少主责方监督考核机制；缺少项目成果验收、风险应对措施等内容；项目管控措施不够具体，有效性不足。</w:t>
      </w:r>
      <w:r>
        <w:rPr>
          <w:rFonts w:hint="eastAsia" w:ascii="Times New Roman" w:hAnsi="Times New Roman"/>
          <w:b/>
          <w:bCs/>
        </w:rPr>
        <w:t>二是</w:t>
      </w:r>
      <w:r>
        <w:rPr>
          <w:rFonts w:hint="eastAsia" w:ascii="Times New Roman" w:hAnsi="Times New Roman"/>
        </w:rPr>
        <w:t>合同管理规范性、严谨性不足。合同签署时间滞后于项目服务</w:t>
      </w:r>
      <w:r>
        <w:rPr>
          <w:rFonts w:hint="eastAsia" w:ascii="Times New Roman" w:hAnsi="Times New Roman"/>
          <w:lang w:eastAsia="zh-CN"/>
        </w:rPr>
        <w:t>开始</w:t>
      </w:r>
      <w:r>
        <w:rPr>
          <w:rFonts w:hint="eastAsia" w:ascii="Times New Roman" w:hAnsi="Times New Roman"/>
        </w:rPr>
        <w:t>日期</w:t>
      </w:r>
      <w:r>
        <w:rPr>
          <w:rFonts w:hint="eastAsia" w:ascii="Times New Roman" w:hAnsi="Times New Roman"/>
          <w:lang w:eastAsia="zh-CN"/>
        </w:rPr>
        <w:t>，</w:t>
      </w:r>
      <w:r>
        <w:rPr>
          <w:rFonts w:hint="eastAsia" w:ascii="Times New Roman" w:hAnsi="Times New Roman"/>
        </w:rPr>
        <w:t>合同约定服务期限为“自合同签署日至2021年12月31日”，与项目实施周期2021年全年不一致。首都之窗未直接委托测评机构开展等级保护三级测评，项目等级保护测评报告由</w:t>
      </w:r>
      <w:r>
        <w:rPr>
          <w:rFonts w:hint="eastAsia" w:ascii="Times New Roman" w:hAnsi="Times New Roman"/>
          <w:lang w:eastAsia="zh-CN"/>
        </w:rPr>
        <w:t>供应商</w:t>
      </w:r>
      <w:r>
        <w:rPr>
          <w:rFonts w:hint="eastAsia" w:ascii="Times New Roman" w:hAnsi="Times New Roman"/>
        </w:rPr>
        <w:t>委托北京信息安全测评中心出具，可能影响等级保护测评报告的独立性和有效性。</w:t>
      </w:r>
      <w:r>
        <w:rPr>
          <w:rFonts w:hint="eastAsia" w:ascii="Times New Roman" w:hAnsi="Times New Roman"/>
          <w:b/>
          <w:bCs/>
        </w:rPr>
        <w:t>三是</w:t>
      </w:r>
      <w:r>
        <w:rPr>
          <w:rFonts w:hint="eastAsia" w:ascii="Times New Roman" w:hAnsi="Times New Roman"/>
        </w:rPr>
        <w:t>项目过程管理资料不充分，运维故障记录、运行日志、考勤记录等资料记录、归档工作有待加强。</w:t>
      </w:r>
      <w:r>
        <w:rPr>
          <w:rFonts w:hint="eastAsia" w:ascii="Times New Roman" w:hAnsi="Times New Roman"/>
          <w:b/>
          <w:bCs/>
        </w:rPr>
        <w:t>四是</w:t>
      </w:r>
      <w:r>
        <w:rPr>
          <w:rFonts w:hint="eastAsia" w:ascii="Times New Roman" w:hAnsi="Times New Roman"/>
        </w:rPr>
        <w:t>项目开展应急演练、安全态势分析等工作的深度及有效性不足。应急演练报告未明确应急演练目的、组织情况、发现问题及总结分析等内容；安全态势分析报告未针对集约化平台的问题、特点进行分析。</w:t>
      </w:r>
    </w:p>
    <w:p>
      <w:pPr>
        <w:pStyle w:val="2"/>
        <w:widowControl w:val="0"/>
        <w:spacing w:line="560" w:lineRule="exact"/>
        <w:ind w:firstLine="640" w:firstLineChars="200"/>
        <w:outlineLvl w:val="0"/>
        <w:rPr>
          <w:rFonts w:ascii="黑体" w:hAnsi="黑体" w:eastAsia="黑体" w:cs="黑体"/>
        </w:rPr>
      </w:pPr>
      <w:bookmarkStart w:id="216" w:name="_Toc19021"/>
      <w:r>
        <w:rPr>
          <w:rFonts w:hint="eastAsia" w:ascii="黑体" w:hAnsi="黑体" w:eastAsia="黑体" w:cs="黑体"/>
        </w:rPr>
        <w:t>六、有关建议</w:t>
      </w:r>
      <w:bookmarkEnd w:id="216"/>
    </w:p>
    <w:p>
      <w:pPr>
        <w:pStyle w:val="2"/>
        <w:widowControl w:val="0"/>
        <w:spacing w:line="560" w:lineRule="exact"/>
        <w:ind w:firstLine="640" w:firstLineChars="200"/>
        <w:outlineLvl w:val="1"/>
        <w:rPr>
          <w:rFonts w:ascii="楷体_GB2312" w:hAnsi="楷体_GB2312" w:eastAsia="楷体_GB2312" w:cs="楷体_GB2312"/>
        </w:rPr>
      </w:pPr>
      <w:bookmarkStart w:id="217" w:name="_Toc14767"/>
      <w:r>
        <w:rPr>
          <w:rFonts w:hint="eastAsia" w:ascii="楷体" w:hAnsi="楷体" w:eastAsia="楷体" w:cs="楷体"/>
        </w:rPr>
        <w:t>（一）建议加强项目前期论证，规范立项程序</w:t>
      </w:r>
      <w:bookmarkEnd w:id="217"/>
    </w:p>
    <w:p>
      <w:pPr>
        <w:pStyle w:val="2"/>
        <w:widowControl w:val="0"/>
        <w:spacing w:line="560" w:lineRule="exact"/>
        <w:ind w:firstLine="640" w:firstLineChars="200"/>
        <w:rPr>
          <w:rFonts w:ascii="Times New Roman" w:hAnsi="Times New Roman"/>
        </w:rPr>
      </w:pPr>
      <w:r>
        <w:rPr>
          <w:rFonts w:hint="eastAsia" w:ascii="Times New Roman" w:hAnsi="Times New Roman"/>
        </w:rPr>
        <w:t>建议首都之窗制定项目中长期规划，针对项目实施过程的现实情况及新问题提出解决问题的规划。在申报项目前对购买集约化平台各类技术组件和政务云服务资源，运营和优化“一网通查”服务与“一网通答”服务等需求进行充分地调研及分析，明确年度工作目标、任务及重点。</w:t>
      </w:r>
    </w:p>
    <w:p>
      <w:pPr>
        <w:pStyle w:val="2"/>
        <w:widowControl w:val="0"/>
        <w:spacing w:line="560" w:lineRule="exact"/>
        <w:ind w:firstLine="640" w:firstLineChars="200"/>
        <w:outlineLvl w:val="1"/>
        <w:rPr>
          <w:rFonts w:ascii="楷体_GB2312" w:hAnsi="楷体_GB2312" w:eastAsia="楷体_GB2312" w:cs="楷体_GB2312"/>
        </w:rPr>
      </w:pPr>
      <w:bookmarkStart w:id="218" w:name="_Toc25356"/>
      <w:r>
        <w:rPr>
          <w:rFonts w:hint="eastAsia" w:ascii="楷体" w:hAnsi="楷体" w:eastAsia="楷体" w:cs="楷体"/>
        </w:rPr>
        <w:t>（二）建议完善绩效目标及指标设置，强化绩效目标指导作用</w:t>
      </w:r>
      <w:bookmarkEnd w:id="218"/>
    </w:p>
    <w:p>
      <w:pPr>
        <w:pStyle w:val="2"/>
        <w:widowControl w:val="0"/>
        <w:spacing w:line="560" w:lineRule="exact"/>
        <w:ind w:firstLine="640" w:firstLineChars="200"/>
        <w:rPr>
          <w:rFonts w:ascii="Times New Roman" w:hAnsi="Times New Roman"/>
        </w:rPr>
      </w:pPr>
      <w:r>
        <w:rPr>
          <w:rFonts w:hint="eastAsia" w:ascii="Times New Roman" w:hAnsi="Times New Roman"/>
        </w:rPr>
        <w:t>建议首都之窗进一步提高财政预算资金绩效管理意识，科学合理地设定项目绩效目标，在年度绩效目标填报中有效涵盖年度重点工作任务、预期目标及能够实现的效果，确保绩效目标设置与预算支出结构及重点工作内容相匹配。结合项目实施内容，提高指标细化量化程度，结合项目每个年度完成的工作量合理设置下一年度产出数量指标值；明确项目最后的成果验收要求，形成量化、可考核的质量标准；按照项目实施节点明确项目进度；聚焦项目核心效益设置可衡量的效益指标，增强绩效目标及指标设置的科学合理性，充分发挥绩效目标的导向作用。</w:t>
      </w:r>
    </w:p>
    <w:p>
      <w:pPr>
        <w:pStyle w:val="2"/>
        <w:widowControl w:val="0"/>
        <w:spacing w:line="560" w:lineRule="exact"/>
        <w:ind w:firstLine="640" w:firstLineChars="200"/>
        <w:outlineLvl w:val="1"/>
        <w:rPr>
          <w:rFonts w:ascii="楷体_GB2312" w:hAnsi="楷体_GB2312" w:eastAsia="楷体" w:cs="楷体_GB2312"/>
        </w:rPr>
      </w:pPr>
      <w:bookmarkStart w:id="219" w:name="_Toc16218"/>
      <w:r>
        <w:rPr>
          <w:rFonts w:hint="eastAsia" w:ascii="楷体" w:hAnsi="楷体" w:eastAsia="楷体" w:cs="楷体"/>
        </w:rPr>
        <w:t>（三）建议合理编制预算，提升预算编制科学性</w:t>
      </w:r>
      <w:bookmarkEnd w:id="219"/>
    </w:p>
    <w:p>
      <w:pPr>
        <w:pStyle w:val="2"/>
        <w:widowControl w:val="0"/>
        <w:spacing w:line="560" w:lineRule="exact"/>
        <w:ind w:firstLine="640" w:firstLineChars="200"/>
        <w:rPr>
          <w:rFonts w:ascii="Times New Roman" w:hAnsi="Times New Roman"/>
        </w:rPr>
      </w:pPr>
      <w:r>
        <w:rPr>
          <w:rFonts w:hint="eastAsia" w:ascii="Times New Roman" w:hAnsi="Times New Roman"/>
        </w:rPr>
        <w:t>建议首都之窗申报预算前进行</w:t>
      </w:r>
      <w:r>
        <w:rPr>
          <w:rFonts w:hint="eastAsia" w:ascii="Times New Roman" w:hAnsi="Times New Roman"/>
          <w:lang w:eastAsia="zh-CN"/>
        </w:rPr>
        <w:t>充分</w:t>
      </w:r>
      <w:r>
        <w:rPr>
          <w:rFonts w:hint="eastAsia" w:ascii="Times New Roman" w:hAnsi="Times New Roman"/>
        </w:rPr>
        <w:t>调查论证，准确界定各项运维服务的边界，根据项目实施内容、预期目标、实施方案编制预算，准确选取各类费用的测算标准和依据，加强成本绩效分析，提高预算编制的准确性、资金投入的经济性。</w:t>
      </w:r>
    </w:p>
    <w:p>
      <w:pPr>
        <w:pStyle w:val="2"/>
        <w:widowControl w:val="0"/>
        <w:spacing w:line="560" w:lineRule="exact"/>
        <w:ind w:firstLine="640" w:firstLineChars="200"/>
        <w:outlineLvl w:val="1"/>
        <w:rPr>
          <w:rFonts w:ascii="楷体" w:hAnsi="楷体" w:eastAsia="楷体" w:cs="楷体"/>
        </w:rPr>
      </w:pPr>
      <w:bookmarkStart w:id="220" w:name="_Toc9325"/>
      <w:r>
        <w:rPr>
          <w:rFonts w:hint="eastAsia" w:ascii="楷体" w:hAnsi="楷体" w:eastAsia="楷体" w:cs="楷体"/>
        </w:rPr>
        <w:t>（四）建议加强项目过程管理，提升制度执行有效性</w:t>
      </w:r>
      <w:bookmarkEnd w:id="220"/>
    </w:p>
    <w:p>
      <w:pPr>
        <w:pStyle w:val="2"/>
        <w:widowControl w:val="0"/>
        <w:spacing w:line="560" w:lineRule="exact"/>
        <w:ind w:firstLine="640" w:firstLineChars="200"/>
        <w:rPr>
          <w:rFonts w:ascii="Times New Roman" w:hAnsi="Times New Roman"/>
        </w:rPr>
      </w:pPr>
      <w:r>
        <w:rPr>
          <w:rFonts w:hint="eastAsia" w:ascii="Times New Roman" w:hAnsi="Times New Roman"/>
        </w:rPr>
        <w:t>建议首都之窗进一步加强项目过程管理。</w:t>
      </w:r>
      <w:r>
        <w:rPr>
          <w:rFonts w:hint="eastAsia" w:ascii="Times New Roman" w:hAnsi="Times New Roman"/>
          <w:b/>
          <w:bCs/>
        </w:rPr>
        <w:t>一是</w:t>
      </w:r>
      <w:r>
        <w:rPr>
          <w:rFonts w:hint="eastAsia" w:ascii="Times New Roman" w:hAnsi="Times New Roman"/>
        </w:rPr>
        <w:t>完善项目管理制度建设，形成北京市政府网站集约化平台相关管理办法，明确各方职责，加强全生命周期项目管理。</w:t>
      </w:r>
      <w:r>
        <w:rPr>
          <w:rFonts w:hint="eastAsia" w:ascii="Times New Roman" w:hAnsi="Times New Roman"/>
          <w:b/>
          <w:bCs/>
        </w:rPr>
        <w:t>二是</w:t>
      </w:r>
      <w:r>
        <w:rPr>
          <w:rFonts w:hint="eastAsia" w:ascii="Times New Roman" w:hAnsi="Times New Roman"/>
        </w:rPr>
        <w:t>完善项目实施方案。明确项目组织机构的职责分工，补充主责方监督考核机制；明确项目管控措施、项目成果验收、风险应对措施等内容。</w:t>
      </w:r>
      <w:r>
        <w:rPr>
          <w:rFonts w:hint="eastAsia" w:ascii="Times New Roman" w:hAnsi="Times New Roman"/>
          <w:b/>
          <w:bCs/>
        </w:rPr>
        <w:t>三是</w:t>
      </w:r>
      <w:r>
        <w:rPr>
          <w:rFonts w:hint="eastAsia" w:ascii="Times New Roman" w:hAnsi="Times New Roman"/>
        </w:rPr>
        <w:t>规范合同签署，严格按照合同管理制度执行，避免出现运维空档期造成运维风险。</w:t>
      </w:r>
      <w:r>
        <w:rPr>
          <w:rFonts w:hint="eastAsia" w:ascii="Times New Roman" w:hAnsi="Times New Roman"/>
          <w:b/>
          <w:bCs/>
        </w:rPr>
        <w:t>四是</w:t>
      </w:r>
      <w:r>
        <w:rPr>
          <w:rFonts w:hint="eastAsia" w:ascii="Times New Roman" w:hAnsi="Times New Roman"/>
        </w:rPr>
        <w:t>加强项目运维过程管理，规范等保测评过程，针对实际安全态势隐患进行应急演练，对系统实际存在问题进行深入分析，提出相应整改措施；加强运维质量考核、过程文档的规范编制。</w:t>
      </w:r>
    </w:p>
    <w:p>
      <w:pPr>
        <w:pStyle w:val="2"/>
        <w:widowControl w:val="0"/>
        <w:spacing w:line="560" w:lineRule="exact"/>
        <w:ind w:firstLine="640" w:firstLineChars="200"/>
        <w:outlineLvl w:val="0"/>
        <w:rPr>
          <w:rFonts w:ascii="黑体" w:hAnsi="黑体" w:eastAsia="黑体" w:cs="黑体"/>
        </w:rPr>
      </w:pPr>
      <w:bookmarkStart w:id="221" w:name="_Toc15794"/>
      <w:r>
        <w:rPr>
          <w:rFonts w:hint="eastAsia" w:ascii="黑体" w:hAnsi="黑体" w:eastAsia="黑体" w:cs="黑体"/>
        </w:rPr>
        <w:t>七、其他需说明的问题</w:t>
      </w:r>
      <w:bookmarkEnd w:id="221"/>
    </w:p>
    <w:p>
      <w:pPr>
        <w:pStyle w:val="2"/>
        <w:widowControl w:val="0"/>
        <w:spacing w:line="560" w:lineRule="exact"/>
        <w:ind w:firstLine="640" w:firstLineChars="200"/>
        <w:rPr>
          <w:rFonts w:ascii="Times New Roman" w:hAnsi="Times New Roman"/>
        </w:rPr>
      </w:pPr>
      <w:r>
        <w:rPr>
          <w:rFonts w:hint="eastAsia" w:ascii="Times New Roman" w:hAnsi="Times New Roman"/>
        </w:rPr>
        <w:t>本次绩效评价工作属于事后评价，建议首都之窗根据项目实际情况，结合本报告中的问题和建议，在以后年度项目申报过程中不断优化完善，以提升项目实施质量，提高财政资金使用效益。</w:t>
      </w:r>
    </w:p>
    <w:p>
      <w:pPr>
        <w:pStyle w:val="2"/>
        <w:widowControl w:val="0"/>
        <w:spacing w:line="560" w:lineRule="exact"/>
        <w:ind w:firstLine="640" w:firstLineChars="200"/>
        <w:outlineLvl w:val="0"/>
        <w:rPr>
          <w:rFonts w:ascii="黑体" w:hAnsi="黑体" w:eastAsia="黑体" w:cs="黑体"/>
        </w:rPr>
      </w:pPr>
      <w:bookmarkStart w:id="222" w:name="_Toc13588"/>
      <w:r>
        <w:rPr>
          <w:rFonts w:hint="eastAsia" w:ascii="黑体" w:hAnsi="黑体" w:eastAsia="黑体" w:cs="黑体"/>
        </w:rPr>
        <w:t>八、附件</w:t>
      </w:r>
      <w:bookmarkEnd w:id="222"/>
    </w:p>
    <w:p>
      <w:pPr>
        <w:pStyle w:val="2"/>
        <w:widowControl w:val="0"/>
        <w:spacing w:line="560" w:lineRule="exact"/>
        <w:ind w:firstLine="640" w:firstLineChars="200"/>
        <w:rPr>
          <w:rFonts w:ascii="Times New Roman" w:hAnsi="Times New Roman"/>
        </w:rPr>
      </w:pPr>
      <w:r>
        <w:rPr>
          <w:rFonts w:ascii="Times New Roman" w:hAnsi="Times New Roman"/>
        </w:rPr>
        <w:t>附件</w:t>
      </w:r>
      <w:r>
        <w:rPr>
          <w:rFonts w:hint="eastAsia" w:ascii="Times New Roman" w:hAnsi="Times New Roman"/>
        </w:rPr>
        <w:t>：1.项目支出绩效评价指标体系及专家评分表</w:t>
      </w:r>
    </w:p>
    <w:p>
      <w:pPr>
        <w:pStyle w:val="2"/>
        <w:widowControl w:val="0"/>
        <w:spacing w:line="560" w:lineRule="exact"/>
        <w:ind w:firstLine="1600" w:firstLineChars="500"/>
        <w:rPr>
          <w:rFonts w:ascii="Times New Roman" w:hAnsi="Times New Roman"/>
        </w:rPr>
      </w:pPr>
      <w:r>
        <w:rPr>
          <w:rFonts w:hint="eastAsia" w:ascii="Times New Roman" w:hAnsi="Times New Roman"/>
        </w:rPr>
        <w:t>2.专家组及工作组情况表</w:t>
      </w:r>
    </w:p>
    <w:p>
      <w:pPr>
        <w:pStyle w:val="2"/>
        <w:widowControl w:val="0"/>
        <w:spacing w:line="560" w:lineRule="exact"/>
        <w:ind w:firstLine="1600" w:firstLineChars="500"/>
        <w:rPr>
          <w:rFonts w:hint="eastAsia" w:ascii="Times New Roman" w:hAnsi="Times New Roman"/>
          <w:lang w:val="en-US" w:eastAsia="zh-CN"/>
        </w:rPr>
      </w:pPr>
      <w:r>
        <w:rPr>
          <w:rFonts w:hint="eastAsia" w:ascii="Times New Roman" w:hAnsi="Times New Roman"/>
          <w:lang w:val="en-US" w:eastAsia="zh-CN"/>
        </w:rPr>
        <w:t>3.项目预算执行情况表</w:t>
      </w:r>
    </w:p>
    <w:p>
      <w:pPr>
        <w:pStyle w:val="2"/>
        <w:widowControl w:val="0"/>
        <w:spacing w:line="560" w:lineRule="exact"/>
        <w:ind w:firstLine="1600" w:firstLineChars="500"/>
        <w:rPr>
          <w:rFonts w:ascii="Times New Roman" w:hAnsi="Times New Roman"/>
        </w:rPr>
      </w:pPr>
      <w:r>
        <w:rPr>
          <w:rFonts w:hint="eastAsia" w:ascii="Times New Roman" w:hAnsi="Times New Roman"/>
        </w:rPr>
        <w:t>4.项目绩效目标完成情况及收支明细表</w:t>
      </w:r>
    </w:p>
    <w:p>
      <w:pPr>
        <w:pStyle w:val="2"/>
        <w:widowControl w:val="0"/>
        <w:spacing w:line="560" w:lineRule="exact"/>
        <w:ind w:firstLine="1600" w:firstLineChars="500"/>
        <w:rPr>
          <w:rFonts w:ascii="Times New Roman" w:hAnsi="Times New Roman"/>
        </w:rPr>
      </w:pPr>
      <w:r>
        <w:rPr>
          <w:rFonts w:hint="eastAsia" w:ascii="Times New Roman" w:hAnsi="Times New Roman"/>
        </w:rPr>
        <w:t>5.专家意见汇总书</w:t>
      </w:r>
    </w:p>
    <w:p>
      <w:pPr>
        <w:pStyle w:val="2"/>
        <w:widowControl w:val="0"/>
        <w:spacing w:line="560" w:lineRule="exact"/>
        <w:ind w:firstLine="1600" w:firstLineChars="500"/>
        <w:rPr>
          <w:rFonts w:ascii="Times New Roman" w:hAnsi="Times New Roman"/>
        </w:rPr>
      </w:pPr>
      <w:r>
        <w:rPr>
          <w:rFonts w:hint="eastAsia" w:ascii="Times New Roman" w:hAnsi="Times New Roman"/>
        </w:rPr>
        <w:t>6.人大代表工作意见书</w:t>
      </w:r>
    </w:p>
    <w:p>
      <w:pPr>
        <w:pStyle w:val="2"/>
        <w:widowControl w:val="0"/>
        <w:spacing w:line="560" w:lineRule="exact"/>
        <w:ind w:firstLine="1600" w:firstLineChars="500"/>
        <w:rPr>
          <w:rFonts w:ascii="Times New Roman" w:hAnsi="Times New Roman"/>
        </w:rPr>
      </w:pPr>
    </w:p>
    <w:p>
      <w:pPr>
        <w:spacing w:line="560" w:lineRule="exact"/>
        <w:rPr>
          <w:rFonts w:ascii="仿宋" w:hAnsi="仿宋" w:eastAsia="仿宋" w:cs="仿宋"/>
        </w:rPr>
        <w:sectPr>
          <w:footerReference r:id="rId5" w:type="default"/>
          <w:pgSz w:w="11906" w:h="16838"/>
          <w:pgMar w:top="2098" w:right="1474" w:bottom="1985" w:left="1588" w:header="851" w:footer="992" w:gutter="0"/>
          <w:pgNumType w:fmt="decimal" w:start="1"/>
          <w:cols w:space="0" w:num="1"/>
          <w:docGrid w:type="lines" w:linePitch="326" w:charSpace="0"/>
        </w:sectPr>
      </w:pPr>
    </w:p>
    <w:p>
      <w:pPr>
        <w:pStyle w:val="2"/>
        <w:widowControl w:val="0"/>
        <w:spacing w:line="560" w:lineRule="exact"/>
        <w:jc w:val="left"/>
        <w:rPr>
          <w:rFonts w:ascii="黑体" w:hAnsi="黑体" w:eastAsia="黑体" w:cs="黑体"/>
        </w:rPr>
      </w:pPr>
      <w:r>
        <w:rPr>
          <w:rFonts w:hint="eastAsia" w:ascii="黑体" w:hAnsi="黑体" w:eastAsia="黑体" w:cs="黑体"/>
        </w:rPr>
        <w:t>附件1：</w:t>
      </w:r>
    </w:p>
    <w:p>
      <w:pPr>
        <w:pStyle w:val="2"/>
        <w:widowControl w:val="0"/>
        <w:spacing w:line="560" w:lineRule="exact"/>
        <w:jc w:val="center"/>
        <w:rPr>
          <w:rFonts w:ascii="黑体" w:hAnsi="黑体" w:eastAsia="黑体" w:cs="黑体"/>
        </w:rPr>
      </w:pPr>
      <w:r>
        <w:rPr>
          <w:rFonts w:hint="eastAsia" w:ascii="黑体" w:hAnsi="黑体" w:eastAsia="黑体" w:cs="黑体"/>
        </w:rPr>
        <w:t>项目支出绩效评价指标体系及专家评分表</w:t>
      </w:r>
    </w:p>
    <w:tbl>
      <w:tblPr>
        <w:tblStyle w:val="17"/>
        <w:tblW w:w="14559" w:type="dxa"/>
        <w:tblInd w:w="0" w:type="dxa"/>
        <w:tblLayout w:type="fixed"/>
        <w:tblCellMar>
          <w:top w:w="0" w:type="dxa"/>
          <w:left w:w="108" w:type="dxa"/>
          <w:bottom w:w="0" w:type="dxa"/>
          <w:right w:w="108" w:type="dxa"/>
        </w:tblCellMar>
      </w:tblPr>
      <w:tblGrid>
        <w:gridCol w:w="656"/>
        <w:gridCol w:w="449"/>
        <w:gridCol w:w="700"/>
        <w:gridCol w:w="482"/>
        <w:gridCol w:w="1080"/>
        <w:gridCol w:w="465"/>
        <w:gridCol w:w="1845"/>
        <w:gridCol w:w="4050"/>
        <w:gridCol w:w="2730"/>
        <w:gridCol w:w="649"/>
        <w:gridCol w:w="1453"/>
      </w:tblGrid>
      <w:tr>
        <w:tblPrEx>
          <w:tblCellMar>
            <w:top w:w="0" w:type="dxa"/>
            <w:left w:w="108" w:type="dxa"/>
            <w:bottom w:w="0" w:type="dxa"/>
            <w:right w:w="108" w:type="dxa"/>
          </w:tblCellMar>
        </w:tblPrEx>
        <w:trPr>
          <w:trHeight w:val="90" w:hRule="atLeast"/>
          <w:tblHeader/>
        </w:trPr>
        <w:tc>
          <w:tcPr>
            <w:tcW w:w="656" w:type="dxa"/>
            <w:tcBorders>
              <w:top w:val="single" w:color="auto" w:sz="4" w:space="0"/>
              <w:left w:val="single" w:color="auto" w:sz="4" w:space="0"/>
              <w:bottom w:val="single" w:color="auto" w:sz="4" w:space="0"/>
              <w:right w:val="single" w:color="auto" w:sz="4" w:space="0"/>
            </w:tcBorders>
            <w:vAlign w:val="center"/>
          </w:tcPr>
          <w:p>
            <w:pPr>
              <w:widowControl/>
              <w:spacing w:line="300" w:lineRule="exact"/>
              <w:textAlignment w:val="center"/>
              <w:rPr>
                <w:rFonts w:ascii="宋体" w:hAnsi="宋体" w:eastAsia="宋体" w:cs="宋体"/>
                <w:b/>
                <w:bCs/>
                <w:sz w:val="21"/>
                <w:szCs w:val="21"/>
              </w:rPr>
            </w:pPr>
            <w:r>
              <w:rPr>
                <w:rFonts w:hint="eastAsia" w:ascii="宋体" w:hAnsi="宋体" w:eastAsia="宋体" w:cs="宋体"/>
                <w:b/>
                <w:bCs/>
                <w:kern w:val="0"/>
                <w:sz w:val="21"/>
                <w:szCs w:val="21"/>
                <w:lang w:bidi="ar"/>
              </w:rPr>
              <w:t>一级指标</w:t>
            </w:r>
          </w:p>
        </w:tc>
        <w:tc>
          <w:tcPr>
            <w:tcW w:w="449" w:type="dxa"/>
            <w:tcBorders>
              <w:top w:val="single" w:color="auto" w:sz="4" w:space="0"/>
              <w:left w:val="nil"/>
              <w:bottom w:val="single" w:color="auto" w:sz="4" w:space="0"/>
              <w:right w:val="single" w:color="auto" w:sz="4" w:space="0"/>
            </w:tcBorders>
            <w:vAlign w:val="center"/>
          </w:tcPr>
          <w:p>
            <w:pPr>
              <w:widowControl/>
              <w:spacing w:line="300" w:lineRule="exact"/>
              <w:textAlignment w:val="center"/>
              <w:rPr>
                <w:rFonts w:ascii="宋体" w:hAnsi="宋体" w:eastAsia="宋体" w:cs="宋体"/>
                <w:b/>
                <w:bCs/>
                <w:sz w:val="21"/>
                <w:szCs w:val="21"/>
              </w:rPr>
            </w:pPr>
            <w:r>
              <w:rPr>
                <w:rFonts w:hint="eastAsia" w:ascii="宋体" w:hAnsi="宋体" w:eastAsia="宋体" w:cs="宋体"/>
                <w:b/>
                <w:bCs/>
                <w:kern w:val="0"/>
                <w:sz w:val="21"/>
                <w:szCs w:val="21"/>
                <w:lang w:bidi="ar"/>
              </w:rPr>
              <w:t>分值</w:t>
            </w:r>
          </w:p>
        </w:tc>
        <w:tc>
          <w:tcPr>
            <w:tcW w:w="700"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ascii="宋体" w:hAnsi="宋体" w:eastAsia="宋体" w:cs="宋体"/>
                <w:b/>
                <w:bCs/>
                <w:sz w:val="21"/>
                <w:szCs w:val="21"/>
              </w:rPr>
            </w:pPr>
            <w:r>
              <w:rPr>
                <w:rFonts w:hint="eastAsia" w:ascii="宋体" w:hAnsi="宋体" w:eastAsia="宋体" w:cs="宋体"/>
                <w:b/>
                <w:bCs/>
                <w:kern w:val="0"/>
                <w:sz w:val="21"/>
                <w:szCs w:val="21"/>
                <w:lang w:bidi="ar"/>
              </w:rPr>
              <w:t>二级指标</w:t>
            </w:r>
          </w:p>
        </w:tc>
        <w:tc>
          <w:tcPr>
            <w:tcW w:w="482"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ascii="宋体" w:hAnsi="宋体" w:eastAsia="宋体" w:cs="宋体"/>
                <w:b/>
                <w:bCs/>
                <w:sz w:val="21"/>
                <w:szCs w:val="21"/>
              </w:rPr>
            </w:pPr>
            <w:r>
              <w:rPr>
                <w:rFonts w:hint="eastAsia" w:ascii="宋体" w:hAnsi="宋体" w:eastAsia="宋体" w:cs="宋体"/>
                <w:b/>
                <w:bCs/>
                <w:kern w:val="0"/>
                <w:sz w:val="21"/>
                <w:szCs w:val="21"/>
                <w:lang w:bidi="ar"/>
              </w:rPr>
              <w:t>分值</w:t>
            </w:r>
          </w:p>
        </w:tc>
        <w:tc>
          <w:tcPr>
            <w:tcW w:w="1080"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ascii="宋体" w:hAnsi="宋体" w:eastAsia="宋体" w:cs="宋体"/>
                <w:b/>
                <w:bCs/>
                <w:sz w:val="21"/>
                <w:szCs w:val="21"/>
              </w:rPr>
            </w:pPr>
            <w:r>
              <w:rPr>
                <w:rFonts w:hint="eastAsia" w:ascii="宋体" w:hAnsi="宋体" w:eastAsia="宋体" w:cs="宋体"/>
                <w:b/>
                <w:bCs/>
                <w:kern w:val="0"/>
                <w:sz w:val="21"/>
                <w:szCs w:val="21"/>
                <w:lang w:bidi="ar"/>
              </w:rPr>
              <w:t>三级指标</w:t>
            </w:r>
          </w:p>
        </w:tc>
        <w:tc>
          <w:tcPr>
            <w:tcW w:w="465"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ascii="宋体" w:hAnsi="宋体" w:eastAsia="宋体" w:cs="宋体"/>
                <w:b/>
                <w:bCs/>
                <w:sz w:val="21"/>
                <w:szCs w:val="21"/>
              </w:rPr>
            </w:pPr>
            <w:r>
              <w:rPr>
                <w:rFonts w:hint="eastAsia" w:ascii="宋体" w:hAnsi="宋体" w:eastAsia="宋体" w:cs="宋体"/>
                <w:b/>
                <w:bCs/>
                <w:kern w:val="0"/>
                <w:sz w:val="21"/>
                <w:szCs w:val="21"/>
                <w:lang w:bidi="ar"/>
              </w:rPr>
              <w:t>分值</w:t>
            </w:r>
          </w:p>
        </w:tc>
        <w:tc>
          <w:tcPr>
            <w:tcW w:w="1845"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ascii="宋体" w:hAnsi="宋体" w:eastAsia="宋体" w:cs="宋体"/>
                <w:b/>
                <w:bCs/>
                <w:sz w:val="21"/>
                <w:szCs w:val="21"/>
              </w:rPr>
            </w:pPr>
            <w:r>
              <w:rPr>
                <w:rFonts w:hint="eastAsia" w:ascii="宋体" w:hAnsi="宋体" w:eastAsia="宋体" w:cs="宋体"/>
                <w:b/>
                <w:bCs/>
                <w:kern w:val="0"/>
                <w:sz w:val="21"/>
                <w:szCs w:val="21"/>
                <w:lang w:bidi="ar"/>
              </w:rPr>
              <w:t>指标解释</w:t>
            </w:r>
          </w:p>
        </w:tc>
        <w:tc>
          <w:tcPr>
            <w:tcW w:w="4050"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ascii="宋体" w:hAnsi="宋体" w:eastAsia="宋体" w:cs="宋体"/>
                <w:b/>
                <w:bCs/>
                <w:sz w:val="21"/>
                <w:szCs w:val="21"/>
              </w:rPr>
            </w:pPr>
            <w:r>
              <w:rPr>
                <w:rFonts w:hint="eastAsia" w:ascii="宋体" w:hAnsi="宋体" w:eastAsia="宋体" w:cs="宋体"/>
                <w:b/>
                <w:bCs/>
                <w:kern w:val="0"/>
                <w:sz w:val="21"/>
                <w:szCs w:val="21"/>
                <w:lang w:bidi="ar"/>
              </w:rPr>
              <w:t>指标说明</w:t>
            </w:r>
          </w:p>
        </w:tc>
        <w:tc>
          <w:tcPr>
            <w:tcW w:w="2730"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ascii="宋体" w:hAnsi="宋体" w:eastAsia="宋体" w:cs="宋体"/>
                <w:b/>
                <w:bCs/>
                <w:sz w:val="21"/>
                <w:szCs w:val="21"/>
              </w:rPr>
            </w:pPr>
            <w:r>
              <w:rPr>
                <w:rFonts w:hint="eastAsia" w:ascii="宋体" w:hAnsi="宋体" w:eastAsia="宋体" w:cs="宋体"/>
                <w:b/>
                <w:bCs/>
                <w:kern w:val="0"/>
                <w:sz w:val="21"/>
                <w:szCs w:val="21"/>
                <w:lang w:bidi="ar"/>
              </w:rPr>
              <w:t>评价标准</w:t>
            </w:r>
          </w:p>
        </w:tc>
        <w:tc>
          <w:tcPr>
            <w:tcW w:w="649"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ascii="宋体" w:hAnsi="宋体" w:eastAsia="宋体" w:cs="宋体"/>
                <w:b/>
                <w:bCs/>
                <w:sz w:val="21"/>
                <w:szCs w:val="21"/>
              </w:rPr>
            </w:pPr>
            <w:r>
              <w:rPr>
                <w:rFonts w:hint="eastAsia" w:ascii="宋体" w:hAnsi="宋体" w:eastAsia="宋体" w:cs="宋体"/>
                <w:b/>
                <w:bCs/>
                <w:kern w:val="0"/>
                <w:sz w:val="21"/>
                <w:szCs w:val="21"/>
                <w:lang w:bidi="ar"/>
              </w:rPr>
              <w:t>得分</w:t>
            </w:r>
          </w:p>
        </w:tc>
        <w:tc>
          <w:tcPr>
            <w:tcW w:w="1453"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ascii="宋体" w:hAnsi="宋体" w:eastAsia="宋体" w:cs="宋体"/>
                <w:b/>
                <w:bCs/>
                <w:sz w:val="21"/>
                <w:szCs w:val="21"/>
              </w:rPr>
            </w:pPr>
            <w:r>
              <w:rPr>
                <w:rFonts w:hint="eastAsia" w:ascii="宋体" w:hAnsi="宋体" w:eastAsia="宋体" w:cs="宋体"/>
                <w:b/>
                <w:bCs/>
                <w:kern w:val="0"/>
                <w:sz w:val="21"/>
                <w:szCs w:val="21"/>
                <w:lang w:bidi="ar"/>
              </w:rPr>
              <w:t>扣分理由</w:t>
            </w:r>
          </w:p>
        </w:tc>
      </w:tr>
      <w:tr>
        <w:tblPrEx>
          <w:tblCellMar>
            <w:top w:w="0" w:type="dxa"/>
            <w:left w:w="108" w:type="dxa"/>
            <w:bottom w:w="0" w:type="dxa"/>
            <w:right w:w="108" w:type="dxa"/>
          </w:tblCellMar>
        </w:tblPrEx>
        <w:trPr>
          <w:trHeight w:val="2640" w:hRule="atLeast"/>
        </w:trPr>
        <w:tc>
          <w:tcPr>
            <w:tcW w:w="656" w:type="dxa"/>
            <w:vMerge w:val="restart"/>
            <w:tcBorders>
              <w:top w:val="nil"/>
              <w:left w:val="single" w:color="auto" w:sz="4" w:space="0"/>
              <w:bottom w:val="single" w:color="000000" w:sz="4" w:space="0"/>
              <w:right w:val="single" w:color="auto" w:sz="4" w:space="0"/>
            </w:tcBorders>
            <w:vAlign w:val="center"/>
          </w:tcPr>
          <w:p>
            <w:pPr>
              <w:widowControl/>
              <w:spacing w:line="300" w:lineRule="exac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决策</w:t>
            </w:r>
          </w:p>
        </w:tc>
        <w:tc>
          <w:tcPr>
            <w:tcW w:w="449" w:type="dxa"/>
            <w:vMerge w:val="restart"/>
            <w:tcBorders>
              <w:top w:val="nil"/>
              <w:left w:val="single" w:color="auto" w:sz="4" w:space="0"/>
              <w:bottom w:val="single" w:color="auto" w:sz="4" w:space="0"/>
              <w:right w:val="single" w:color="auto" w:sz="4" w:space="0"/>
            </w:tcBorders>
            <w:vAlign w:val="center"/>
          </w:tcPr>
          <w:p>
            <w:pPr>
              <w:widowControl/>
              <w:spacing w:line="300" w:lineRule="exac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20</w:t>
            </w:r>
          </w:p>
        </w:tc>
        <w:tc>
          <w:tcPr>
            <w:tcW w:w="700" w:type="dxa"/>
            <w:vMerge w:val="restart"/>
            <w:tcBorders>
              <w:top w:val="nil"/>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项目立项</w:t>
            </w:r>
          </w:p>
        </w:tc>
        <w:tc>
          <w:tcPr>
            <w:tcW w:w="482" w:type="dxa"/>
            <w:vMerge w:val="restart"/>
            <w:tcBorders>
              <w:top w:val="nil"/>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7</w:t>
            </w: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立项依据充分性</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4</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项目立项是否符合法律法规、相关政策、发展规划以及部门职责，用以反映和考核项目立项依据情况。</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评价要点：</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①项目立项是否符合国家法律法规、国民经济发展规划和相关政策；</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②项目立项是否符合行业发展规划和政策要求；</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③项目立项是否与部门职责范围相符，属于部门履职所需；</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④项目是否属于公共财政支持范围，是否符合中央、地方事权支出责任划分原则；</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⑤项目是否与相关部门同类项目或部门内部相关项目重复。</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A：符合标准，得3.6（含）-4分；</w:t>
            </w:r>
          </w:p>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B：基本符合标准，得3.2（含）-3.6分；</w:t>
            </w:r>
          </w:p>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C：符合标准程度较差，得2.4（含）-3.2分；</w:t>
            </w:r>
          </w:p>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D：不符合标准，得0-2.4分。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3.52</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基本符合标准。</w:t>
            </w:r>
          </w:p>
        </w:tc>
      </w:tr>
      <w:tr>
        <w:tblPrEx>
          <w:tblCellMar>
            <w:top w:w="0" w:type="dxa"/>
            <w:left w:w="108" w:type="dxa"/>
            <w:bottom w:w="0" w:type="dxa"/>
            <w:right w:w="108" w:type="dxa"/>
          </w:tblCellMar>
        </w:tblPrEx>
        <w:trPr>
          <w:trHeight w:val="2000" w:hRule="atLeast"/>
        </w:trPr>
        <w:tc>
          <w:tcPr>
            <w:tcW w:w="656" w:type="dxa"/>
            <w:vMerge w:val="continue"/>
            <w:tcBorders>
              <w:top w:val="nil"/>
              <w:left w:val="single" w:color="auto" w:sz="4" w:space="0"/>
              <w:bottom w:val="single" w:color="000000"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49" w:type="dxa"/>
            <w:vMerge w:val="continue"/>
            <w:tcBorders>
              <w:top w:val="nil"/>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700" w:type="dxa"/>
            <w:vMerge w:val="continue"/>
            <w:tcBorders>
              <w:top w:val="nil"/>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82" w:type="dxa"/>
            <w:vMerge w:val="continue"/>
            <w:tcBorders>
              <w:top w:val="nil"/>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立项程序规范性</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3</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项目申请、设立过程是否符合相关要求，用以反映和考核项目立项的规范情况。</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评价要点：</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①项目是否按照规定的程序申请设立；</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②审批文件、材料是否符合相关要求；</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③事前是否己经过必要的可行性研究、专家论证、风险评估、绩效评估、集体决策。</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A：符合标准，得2.7（含）-3分；</w:t>
            </w:r>
          </w:p>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B：基本符合标准，得2.4（含）-2.7分；</w:t>
            </w:r>
          </w:p>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C：符合标准程度较差，得1.8（含）-2.4分；</w:t>
            </w:r>
          </w:p>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D：不符合标准，得0-1.8分。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2.74</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缺少中长期规划，年度计划的指导性不足，需求分析不足。</w:t>
            </w:r>
          </w:p>
        </w:tc>
      </w:tr>
      <w:tr>
        <w:tblPrEx>
          <w:tblCellMar>
            <w:top w:w="0" w:type="dxa"/>
            <w:left w:w="108" w:type="dxa"/>
            <w:bottom w:w="0" w:type="dxa"/>
            <w:right w:w="108" w:type="dxa"/>
          </w:tblCellMar>
        </w:tblPrEx>
        <w:trPr>
          <w:trHeight w:val="2180" w:hRule="atLeast"/>
        </w:trPr>
        <w:tc>
          <w:tcPr>
            <w:tcW w:w="656" w:type="dxa"/>
            <w:vMerge w:val="continue"/>
            <w:tcBorders>
              <w:top w:val="nil"/>
              <w:left w:val="single" w:color="auto" w:sz="4" w:space="0"/>
              <w:bottom w:val="single" w:color="000000"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49" w:type="dxa"/>
            <w:vMerge w:val="continue"/>
            <w:tcBorders>
              <w:top w:val="nil"/>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700" w:type="dxa"/>
            <w:vMerge w:val="restart"/>
            <w:tcBorders>
              <w:top w:val="nil"/>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绩效目标</w:t>
            </w:r>
          </w:p>
        </w:tc>
        <w:tc>
          <w:tcPr>
            <w:tcW w:w="482" w:type="dxa"/>
            <w:vMerge w:val="restart"/>
            <w:tcBorders>
              <w:top w:val="nil"/>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7</w:t>
            </w: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绩效目标合理性</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4</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项目所设定的绩效目标是否依据充分，是否符合客观实际，用以反映和考核项目绩效目标与项目实施的相符情况。</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评价要点：（如未设定预算绩效目标，也可考核其他工作任务目标）</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①项目是否有绩效目标；</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②项目绩效目标与实际工作内容是否具有相关性；</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③项目预期产出效益和效果是否符合正常的业绩水平；</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④是否与预算确定的项目投资额或资金量相匹配。</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A: 目标明确性、合理性高3.6（含）-4分；</w:t>
            </w:r>
          </w:p>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B：目标明确性、合理性较高3.2（含）-3.6分；</w:t>
            </w:r>
          </w:p>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C: 目标明确性、合理性一般 2.4（含）-3.2分；</w:t>
            </w:r>
          </w:p>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D：目标明确性、合理性较差 0-2.4分。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3.32</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年度目标对项目实施的预期产出阐述偏笼统。</w:t>
            </w:r>
          </w:p>
        </w:tc>
      </w:tr>
      <w:tr>
        <w:tblPrEx>
          <w:tblCellMar>
            <w:top w:w="0" w:type="dxa"/>
            <w:left w:w="108" w:type="dxa"/>
            <w:bottom w:w="0" w:type="dxa"/>
            <w:right w:w="108" w:type="dxa"/>
          </w:tblCellMar>
        </w:tblPrEx>
        <w:trPr>
          <w:trHeight w:val="2325" w:hRule="atLeast"/>
        </w:trPr>
        <w:tc>
          <w:tcPr>
            <w:tcW w:w="656" w:type="dxa"/>
            <w:vMerge w:val="continue"/>
            <w:tcBorders>
              <w:top w:val="nil"/>
              <w:left w:val="single" w:color="auto" w:sz="4" w:space="0"/>
              <w:bottom w:val="single" w:color="000000"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49" w:type="dxa"/>
            <w:vMerge w:val="continue"/>
            <w:tcBorders>
              <w:top w:val="nil"/>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700" w:type="dxa"/>
            <w:vMerge w:val="continue"/>
            <w:tcBorders>
              <w:top w:val="nil"/>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82" w:type="dxa"/>
            <w:vMerge w:val="continue"/>
            <w:tcBorders>
              <w:top w:val="nil"/>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绩效指标明确性</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3</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依据绩效目标设定的绩效指标是否清晰、细化、可衡量等，用以反映和考核项目绩效目标的明细化情况。</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评价要点：</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①是否将项目绩效目标细化分解为具体的绩效指标；</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②是否通过清晰、可衡量的指标值予以体现；</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③是否与项目目标任务数或计划数相对应。</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A: 项目指标细化、量化程度高 2.7（含）-3分；</w:t>
            </w:r>
          </w:p>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B：项目指标细化、量化程度较高  2.4（含）-2.7分；</w:t>
            </w:r>
          </w:p>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C: 项目指标细化、量化程度一般 1.8（含）-2.4分；</w:t>
            </w:r>
          </w:p>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D：项目指标细化、量化程度较差 0-1.8分。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2.24</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绩效指标设置的明确性不足，指标细化量化不足，可考核性有待提升。</w:t>
            </w:r>
          </w:p>
        </w:tc>
      </w:tr>
      <w:tr>
        <w:tblPrEx>
          <w:tblCellMar>
            <w:top w:w="0" w:type="dxa"/>
            <w:left w:w="108" w:type="dxa"/>
            <w:bottom w:w="0" w:type="dxa"/>
            <w:right w:w="108" w:type="dxa"/>
          </w:tblCellMar>
        </w:tblPrEx>
        <w:trPr>
          <w:trHeight w:val="2510" w:hRule="atLeast"/>
        </w:trPr>
        <w:tc>
          <w:tcPr>
            <w:tcW w:w="656" w:type="dxa"/>
            <w:vMerge w:val="continue"/>
            <w:tcBorders>
              <w:top w:val="nil"/>
              <w:left w:val="single" w:color="auto" w:sz="4" w:space="0"/>
              <w:bottom w:val="single" w:color="000000"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49" w:type="dxa"/>
            <w:vMerge w:val="continue"/>
            <w:tcBorders>
              <w:top w:val="nil"/>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700" w:type="dxa"/>
            <w:vMerge w:val="restart"/>
            <w:tcBorders>
              <w:top w:val="nil"/>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资金投入</w:t>
            </w:r>
          </w:p>
        </w:tc>
        <w:tc>
          <w:tcPr>
            <w:tcW w:w="482" w:type="dxa"/>
            <w:vMerge w:val="restart"/>
            <w:tcBorders>
              <w:top w:val="nil"/>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6</w:t>
            </w: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预算编制科学性</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3</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项目预算编制是否经过科学论证、有明确标准，资金额度与年度目标是否相适应，用以反映和考核项目预算编制的科学性、合理性情况。</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评价要点：</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①预算编制是否经过科学论证；</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②预算内容与项目内容是否匹配；</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③预算额度测算依据是否充分，是否按照标准编制；</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④预算确定的项目投资额或资金量是否与工作任务相匹配。</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A: 预算编制科学性高2.7（含）-3分；</w:t>
            </w:r>
          </w:p>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B：预算编制科学性较高 2.4（含）-2.7分；</w:t>
            </w:r>
          </w:p>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C: 预算编制科学性一般 1.8（含）-2.4分；</w:t>
            </w:r>
          </w:p>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D：预算编制科学性较差 0-1.8分。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1.82</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预算编制论证不够充分，预算评审审减率较高。</w:t>
            </w:r>
          </w:p>
        </w:tc>
      </w:tr>
      <w:tr>
        <w:tblPrEx>
          <w:tblCellMar>
            <w:top w:w="0" w:type="dxa"/>
            <w:left w:w="108" w:type="dxa"/>
            <w:bottom w:w="0" w:type="dxa"/>
            <w:right w:w="108" w:type="dxa"/>
          </w:tblCellMar>
        </w:tblPrEx>
        <w:trPr>
          <w:trHeight w:val="2595" w:hRule="atLeast"/>
        </w:trPr>
        <w:tc>
          <w:tcPr>
            <w:tcW w:w="656" w:type="dxa"/>
            <w:vMerge w:val="continue"/>
            <w:tcBorders>
              <w:top w:val="nil"/>
              <w:left w:val="single" w:color="auto" w:sz="4" w:space="0"/>
              <w:bottom w:val="single" w:color="000000"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49" w:type="dxa"/>
            <w:vMerge w:val="continue"/>
            <w:tcBorders>
              <w:top w:val="nil"/>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700" w:type="dxa"/>
            <w:vMerge w:val="continue"/>
            <w:tcBorders>
              <w:top w:val="nil"/>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82" w:type="dxa"/>
            <w:vMerge w:val="continue"/>
            <w:tcBorders>
              <w:top w:val="nil"/>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资金分配合理性</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3</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项目预算资金分配是否有测算依据，与项目单位或地方实际是否相适应，用以反映和考核项目预算资金配的科学性、合理性情况。</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评价要点：</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①预算资金分配依据是否充分；</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②资金分配额度是否合理，与项目单位实际是否相适应。</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A: 资金分配合理性高2.7（含）-3分；</w:t>
            </w:r>
          </w:p>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B：资金分配合理性较高 2.4（含）-2.7分；</w:t>
            </w:r>
          </w:p>
          <w:p>
            <w:pPr>
              <w:widowControl/>
              <w:spacing w:line="300" w:lineRule="exact"/>
              <w:jc w:val="left"/>
              <w:textAlignment w:val="center"/>
              <w:rPr>
                <w:rFonts w:hint="default" w:ascii="Times New Roman" w:hAnsi="Times New Roman" w:eastAsia="宋体" w:cs="Times New Roman"/>
                <w:color w:val="000000"/>
                <w:kern w:val="0"/>
                <w:sz w:val="21"/>
                <w:szCs w:val="21"/>
                <w:lang w:bidi="ar"/>
              </w:rPr>
            </w:pPr>
            <w:r>
              <w:rPr>
                <w:rFonts w:hint="default" w:ascii="Times New Roman" w:hAnsi="Times New Roman" w:eastAsia="宋体" w:cs="Times New Roman"/>
                <w:color w:val="000000"/>
                <w:kern w:val="0"/>
                <w:sz w:val="21"/>
                <w:szCs w:val="21"/>
                <w:lang w:bidi="ar"/>
              </w:rPr>
              <w:t>C: 资金分配合理性一般 1.8（含）-2.4分；</w:t>
            </w:r>
          </w:p>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D： 资金分配合理性较差 0-1.8分。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2.5</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资金分配合理性较高。</w:t>
            </w:r>
          </w:p>
        </w:tc>
      </w:tr>
      <w:tr>
        <w:tblPrEx>
          <w:tblCellMar>
            <w:top w:w="0" w:type="dxa"/>
            <w:left w:w="108" w:type="dxa"/>
            <w:bottom w:w="0" w:type="dxa"/>
            <w:right w:w="108" w:type="dxa"/>
          </w:tblCellMar>
        </w:tblPrEx>
        <w:trPr>
          <w:trHeight w:val="1960" w:hRule="atLeast"/>
        </w:trPr>
        <w:tc>
          <w:tcPr>
            <w:tcW w:w="656" w:type="dxa"/>
            <w:vMerge w:val="restart"/>
            <w:tcBorders>
              <w:top w:val="nil"/>
              <w:left w:val="single" w:color="auto" w:sz="4" w:space="0"/>
              <w:bottom w:val="single" w:color="auto" w:sz="4" w:space="0"/>
              <w:right w:val="single" w:color="auto" w:sz="4" w:space="0"/>
            </w:tcBorders>
            <w:vAlign w:val="center"/>
          </w:tcPr>
          <w:p>
            <w:pPr>
              <w:widowControl/>
              <w:spacing w:line="300" w:lineRule="exac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过程</w:t>
            </w:r>
          </w:p>
        </w:tc>
        <w:tc>
          <w:tcPr>
            <w:tcW w:w="449" w:type="dxa"/>
            <w:vMerge w:val="restart"/>
            <w:tcBorders>
              <w:top w:val="nil"/>
              <w:left w:val="single" w:color="auto" w:sz="4" w:space="0"/>
              <w:bottom w:val="single" w:color="auto" w:sz="4" w:space="0"/>
              <w:right w:val="single" w:color="auto" w:sz="4" w:space="0"/>
            </w:tcBorders>
            <w:vAlign w:val="center"/>
          </w:tcPr>
          <w:p>
            <w:pPr>
              <w:widowControl/>
              <w:spacing w:line="300" w:lineRule="exac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20</w:t>
            </w:r>
          </w:p>
        </w:tc>
        <w:tc>
          <w:tcPr>
            <w:tcW w:w="700" w:type="dxa"/>
            <w:vMerge w:val="restart"/>
            <w:tcBorders>
              <w:top w:val="nil"/>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资金管理</w:t>
            </w:r>
          </w:p>
        </w:tc>
        <w:tc>
          <w:tcPr>
            <w:tcW w:w="482" w:type="dxa"/>
            <w:vMerge w:val="restart"/>
            <w:tcBorders>
              <w:top w:val="nil"/>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10</w:t>
            </w: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资金到位率</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实际到位资金与预算资金的比率，用以反映和考核资金落实情况对项目实施的总体保障程度。</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资金到位率=（实际到位资金/预算资金）*100%。</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实际到位资金：一定时期（本年度或项目期）内落实到具体项项目的资金。</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预算资金：一定时期（本年度或项目期）内预算安排到具体项目的资金。</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公式计分法，总分2分</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得分=资金到位率*2分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2</w:t>
            </w:r>
          </w:p>
        </w:tc>
        <w:tc>
          <w:tcPr>
            <w:tcW w:w="1453"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w:t>
            </w:r>
          </w:p>
        </w:tc>
      </w:tr>
      <w:tr>
        <w:tblPrEx>
          <w:tblCellMar>
            <w:top w:w="0" w:type="dxa"/>
            <w:left w:w="108" w:type="dxa"/>
            <w:bottom w:w="0" w:type="dxa"/>
            <w:right w:w="108" w:type="dxa"/>
          </w:tblCellMar>
        </w:tblPrEx>
        <w:trPr>
          <w:trHeight w:val="1785" w:hRule="atLeast"/>
        </w:trPr>
        <w:tc>
          <w:tcPr>
            <w:tcW w:w="656"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70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82"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预算执行率</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2</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项目预算资金是否按照计划执行，用以反映或考核项目预算执行情况。</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预算执行率=（实际支出资金/实际到位资金）*100%。</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实际支出资金：一定时期（本年度或项目期）内项目实际拨付的资金。</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公式计分法，总分2分</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预算执行率≤100%，得分=预算执行率*4分；</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预算执行率＞100%，每超出1%，扣1分，扣完为止。</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2</w:t>
            </w:r>
          </w:p>
        </w:tc>
        <w:tc>
          <w:tcPr>
            <w:tcW w:w="1453"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w:t>
            </w:r>
          </w:p>
        </w:tc>
      </w:tr>
      <w:tr>
        <w:tblPrEx>
          <w:tblCellMar>
            <w:top w:w="0" w:type="dxa"/>
            <w:left w:w="108" w:type="dxa"/>
            <w:bottom w:w="0" w:type="dxa"/>
            <w:right w:w="108" w:type="dxa"/>
          </w:tblCellMar>
        </w:tblPrEx>
        <w:trPr>
          <w:trHeight w:val="2670" w:hRule="atLeast"/>
        </w:trPr>
        <w:tc>
          <w:tcPr>
            <w:tcW w:w="656"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textAlignment w:val="center"/>
              <w:rPr>
                <w:rFonts w:hint="default" w:ascii="Times New Roman" w:hAnsi="Times New Roman" w:eastAsia="宋体" w:cs="Times New Roman"/>
                <w:sz w:val="21"/>
                <w:szCs w:val="21"/>
              </w:rPr>
            </w:pPr>
          </w:p>
        </w:tc>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textAlignment w:val="center"/>
              <w:rPr>
                <w:rFonts w:hint="default" w:ascii="Times New Roman" w:hAnsi="Times New Roman" w:eastAsia="宋体" w:cs="Times New Roman"/>
                <w:sz w:val="21"/>
                <w:szCs w:val="21"/>
              </w:rPr>
            </w:pPr>
          </w:p>
        </w:tc>
        <w:tc>
          <w:tcPr>
            <w:tcW w:w="70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p>
        </w:tc>
        <w:tc>
          <w:tcPr>
            <w:tcW w:w="482"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资金使用合规性</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6</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项目资金使用是否符合相关的财务管理制度规定，用以反映和考核项目资金的规范运行情况。</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评价要点：</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①是否符合国家财经法规和财务管理制度以及有关专项资金管理办法的规定；</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②资金的拨付是否有完整的审批程序和手续；</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③是否符合项目预算批复或合同规定的用途；</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④是否存在截留、挤占、挪用、虚列支出等情况。</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A：符合标准，得5.4（含）-6分；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B：基本符合标准，得4.8（含）-5.4分；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C：符合标准程度较差，得3.6（含）-4.8分；</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D：不符合标准，得0-3.6分。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5.68</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kern w:val="0"/>
                <w:sz w:val="21"/>
                <w:szCs w:val="21"/>
                <w:lang w:bidi="ar"/>
              </w:rPr>
              <w:t>符合标准。</w:t>
            </w:r>
          </w:p>
        </w:tc>
      </w:tr>
      <w:tr>
        <w:tblPrEx>
          <w:tblCellMar>
            <w:top w:w="0" w:type="dxa"/>
            <w:left w:w="108" w:type="dxa"/>
            <w:bottom w:w="0" w:type="dxa"/>
            <w:right w:w="108" w:type="dxa"/>
          </w:tblCellMar>
        </w:tblPrEx>
        <w:trPr>
          <w:trHeight w:val="2450" w:hRule="atLeast"/>
        </w:trPr>
        <w:tc>
          <w:tcPr>
            <w:tcW w:w="656"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700" w:type="dxa"/>
            <w:vMerge w:val="restart"/>
            <w:tcBorders>
              <w:top w:val="single" w:color="auto" w:sz="4" w:space="0"/>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组织实施</w:t>
            </w:r>
          </w:p>
        </w:tc>
        <w:tc>
          <w:tcPr>
            <w:tcW w:w="482" w:type="dxa"/>
            <w:vMerge w:val="restart"/>
            <w:tcBorders>
              <w:top w:val="single" w:color="auto" w:sz="4" w:space="0"/>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10</w:t>
            </w: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管理制度健全性</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4</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项目实施单位的财务和业务管理制度是否健全，用以反映和考核财务和业务管理制度对项目顺利实施的保障情况。</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评价要点：</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①是否己制定或具有相应的财务和业务管理制度；</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②财务和业务管理制度是否合法、合规、完整。</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A：符合标准，得3.6（含）-4分；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B：基本符合标准，得3.2（含）-3.6分；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C：符合标准程度较差，得2.4（含）-3.2分；</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D：不符合标准，得0-2.4分。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3.42</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kern w:val="0"/>
                <w:sz w:val="21"/>
                <w:szCs w:val="21"/>
                <w:lang w:bidi="ar"/>
              </w:rPr>
              <w:t>基本符合标准</w:t>
            </w:r>
            <w:r>
              <w:rPr>
                <w:rFonts w:hint="default" w:ascii="Times New Roman" w:hAnsi="Times New Roman" w:eastAsia="宋体" w:cs="Times New Roman"/>
                <w:color w:val="000000"/>
                <w:sz w:val="21"/>
                <w:szCs w:val="21"/>
              </w:rPr>
              <w:t>。</w:t>
            </w:r>
          </w:p>
        </w:tc>
      </w:tr>
      <w:tr>
        <w:tblPrEx>
          <w:tblCellMar>
            <w:top w:w="0" w:type="dxa"/>
            <w:left w:w="108" w:type="dxa"/>
            <w:bottom w:w="0" w:type="dxa"/>
            <w:right w:w="108" w:type="dxa"/>
          </w:tblCellMar>
        </w:tblPrEx>
        <w:trPr>
          <w:trHeight w:val="90" w:hRule="atLeast"/>
        </w:trPr>
        <w:tc>
          <w:tcPr>
            <w:tcW w:w="656"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70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82"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制度执行有效性</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6</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项目实施是否符合相关管理规定，用以反映和考核相关管理制度的有效执行情况。</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评价要点：</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①是否遵守相关法律法规和相关管理规定；</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②项目调整及支出调整手续是否完备；</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③项目资料是否齐全并及时归档；</w:t>
            </w:r>
            <w:r>
              <w:rPr>
                <w:rFonts w:hint="default" w:ascii="Times New Roman" w:hAnsi="Times New Roman" w:eastAsia="宋体" w:cs="Times New Roman"/>
                <w:kern w:val="0"/>
                <w:sz w:val="21"/>
                <w:szCs w:val="21"/>
                <w:lang w:bidi="ar"/>
              </w:rPr>
              <w:br w:type="textWrapping"/>
            </w:r>
            <w:r>
              <w:rPr>
                <w:rFonts w:hint="default" w:ascii="Times New Roman" w:hAnsi="Times New Roman" w:eastAsia="宋体" w:cs="Times New Roman"/>
                <w:kern w:val="0"/>
                <w:sz w:val="21"/>
                <w:szCs w:val="21"/>
                <w:lang w:bidi="ar"/>
              </w:rPr>
              <w:t>④项目实施的必要条件是否落实到位。</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A：符合标准，得5.4（含）-6分；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B：基本符合标准，得4.8（含）-5.4分；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C：符合标准程度较差，得3.6（含）-4.8分；</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D：不符合标准，得0-3.6分。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3.96</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0"/>
                <w:szCs w:val="20"/>
              </w:rPr>
              <w:t>实施方案有待完善；合同管理规范性不足；过程管理资料不充分；应急演练、安全事态分析有效性不足。</w:t>
            </w:r>
          </w:p>
        </w:tc>
      </w:tr>
      <w:tr>
        <w:tblPrEx>
          <w:tblCellMar>
            <w:top w:w="0" w:type="dxa"/>
            <w:left w:w="108" w:type="dxa"/>
            <w:bottom w:w="0" w:type="dxa"/>
            <w:right w:w="108" w:type="dxa"/>
          </w:tblCellMar>
        </w:tblPrEx>
        <w:trPr>
          <w:trHeight w:val="3822" w:hRule="atLeast"/>
        </w:trPr>
        <w:tc>
          <w:tcPr>
            <w:tcW w:w="656" w:type="dxa"/>
            <w:vMerge w:val="restart"/>
            <w:tcBorders>
              <w:top w:val="single" w:color="auto" w:sz="4" w:space="0"/>
              <w:left w:val="single" w:color="auto" w:sz="4" w:space="0"/>
              <w:bottom w:val="single" w:color="auto" w:sz="4" w:space="0"/>
              <w:right w:val="single" w:color="auto" w:sz="4" w:space="0"/>
            </w:tcBorders>
            <w:vAlign w:val="center"/>
          </w:tcPr>
          <w:p>
            <w:pPr>
              <w:widowControl/>
              <w:spacing w:line="300" w:lineRule="exac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产出</w:t>
            </w:r>
          </w:p>
        </w:tc>
        <w:tc>
          <w:tcPr>
            <w:tcW w:w="449" w:type="dxa"/>
            <w:vMerge w:val="restart"/>
            <w:tcBorders>
              <w:top w:val="single" w:color="auto" w:sz="4" w:space="0"/>
              <w:left w:val="single" w:color="auto" w:sz="4" w:space="0"/>
              <w:bottom w:val="single" w:color="auto" w:sz="4" w:space="0"/>
              <w:right w:val="single" w:color="auto" w:sz="4" w:space="0"/>
            </w:tcBorders>
            <w:vAlign w:val="center"/>
          </w:tcPr>
          <w:p>
            <w:pPr>
              <w:widowControl/>
              <w:spacing w:line="300" w:lineRule="exac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30</w:t>
            </w:r>
          </w:p>
        </w:tc>
        <w:tc>
          <w:tcPr>
            <w:tcW w:w="700"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产出数量</w:t>
            </w:r>
          </w:p>
        </w:tc>
        <w:tc>
          <w:tcPr>
            <w:tcW w:w="482"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10</w:t>
            </w: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实际完成率</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10</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项目实施的实际产出数与计划产出数的比率，用以反映和考核项目产出数量目标的实现程度。</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评价要点:</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①政务云服务租用云主机完成情况（3分）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实际完成率1=（政务云服务实际租用云主机数/政务云服务计划租用云主机数）*100%；</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②集约化平台组件完成情况（3分）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实际完成率2=（集约化平台组件实际完成数/集约化平台组件计划完成数）*100%；</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③站点建设运营支撑完成情况（4分）</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实际完成率3=（实际建设运营支撑站点数/计划建设运营支撑站点数）*100%。</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公式计分法，得分=（实际完成率1*3分+实际完成率2*3分+实际完成率3*4分），得分一档最高不能超过该指标分值上限。</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8.8</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产出数量</w:t>
            </w:r>
            <w:r>
              <w:rPr>
                <w:rFonts w:hint="default" w:ascii="Times New Roman" w:hAnsi="Times New Roman" w:eastAsia="宋体" w:cs="Times New Roman"/>
                <w:kern w:val="0"/>
                <w:sz w:val="21"/>
                <w:szCs w:val="21"/>
                <w:lang w:bidi="ar"/>
              </w:rPr>
              <w:t>实际完成率较高</w:t>
            </w:r>
            <w:r>
              <w:rPr>
                <w:rFonts w:hint="default" w:ascii="Times New Roman" w:hAnsi="Times New Roman" w:eastAsia="宋体" w:cs="Times New Roman"/>
                <w:color w:val="000000"/>
                <w:sz w:val="21"/>
                <w:szCs w:val="21"/>
              </w:rPr>
              <w:t>。</w:t>
            </w:r>
          </w:p>
        </w:tc>
      </w:tr>
      <w:tr>
        <w:tblPrEx>
          <w:tblCellMar>
            <w:top w:w="0" w:type="dxa"/>
            <w:left w:w="108" w:type="dxa"/>
            <w:bottom w:w="0" w:type="dxa"/>
            <w:right w:w="108" w:type="dxa"/>
          </w:tblCellMar>
        </w:tblPrEx>
        <w:trPr>
          <w:trHeight w:val="3210" w:hRule="atLeast"/>
        </w:trPr>
        <w:tc>
          <w:tcPr>
            <w:tcW w:w="656"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70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产出质量</w:t>
            </w:r>
          </w:p>
        </w:tc>
        <w:tc>
          <w:tcPr>
            <w:tcW w:w="482"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10</w:t>
            </w: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项目工作质量达标情况</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10</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项目完成的质量达标产出数与实际产出数的比较，用以反映和考核项目产出质量目标的实现程度。</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评价要点:</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①政府网站集约化平台政务云服务租用完成质量情况（2.5分）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②政府网站集约化平台安全接入及运维完成质量情况（2.5分）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③政府网站集约化平台业务运维完成质量情况（2.5分）</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④政府网站集约化平台应用系统运维完成质量情况（2.5分）</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每项评价要点分值2.5分，依据项目单位提供的相关资料进行评价。A：完成质量良好，按分值90%（含）-100%赋分；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B：完成质量较好，按分值80%（含）-90%赋分；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C：完成质量一般，按分值60%（含）-80%赋分；</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D：完成质量较差，按分值0%（含）-60%赋分。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7.8</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项目在应急演练、安全事态分析、等级保护测评方面的质量管控有待加强。</w:t>
            </w:r>
          </w:p>
        </w:tc>
      </w:tr>
      <w:tr>
        <w:tblPrEx>
          <w:tblCellMar>
            <w:top w:w="0" w:type="dxa"/>
            <w:left w:w="108" w:type="dxa"/>
            <w:bottom w:w="0" w:type="dxa"/>
            <w:right w:w="108" w:type="dxa"/>
          </w:tblCellMar>
        </w:tblPrEx>
        <w:trPr>
          <w:trHeight w:val="4320" w:hRule="atLeast"/>
        </w:trPr>
        <w:tc>
          <w:tcPr>
            <w:tcW w:w="656"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80"/>
              <w:jc w:val="center"/>
              <w:rPr>
                <w:rFonts w:hint="default" w:ascii="Times New Roman" w:hAnsi="Times New Roman" w:eastAsia="宋体" w:cs="Times New Roman"/>
                <w:sz w:val="21"/>
                <w:szCs w:val="21"/>
              </w:rPr>
            </w:pPr>
          </w:p>
        </w:tc>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80"/>
              <w:jc w:val="center"/>
              <w:rPr>
                <w:rFonts w:hint="default" w:ascii="Times New Roman" w:hAnsi="Times New Roman" w:eastAsia="宋体" w:cs="Times New Roman"/>
                <w:sz w:val="21"/>
                <w:szCs w:val="21"/>
              </w:rPr>
            </w:pPr>
          </w:p>
        </w:tc>
        <w:tc>
          <w:tcPr>
            <w:tcW w:w="700"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产出时效</w:t>
            </w:r>
          </w:p>
        </w:tc>
        <w:tc>
          <w:tcPr>
            <w:tcW w:w="482"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5</w:t>
            </w: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各项工作完成及时性</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5</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考核项目实际完成时间与计划完成时间的差异，用以反映和考核项目产出时效目标的实现程度。</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评价要点：</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①按阶段、计划进度完成政府网站集约化平台政务云服务租用1分，得分＝实际完成率*1分，超过1分的按1分计；</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②按阶段、计划进度完成政府网站集约化平台安全接入及运维1分，得分＝实际完成率*1分，超过1分的按1分计；</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③按阶段、计划进度完成政府网站集约化平台业务运维1分，得分＝实际完成率*1分，超过1分的按1分计；</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④按阶段、计划进度完成政府网站集约化平台应用系统运维2分，得分＝实际完成率*2分，超过2分的按2分计。</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评价要点④分值2分，其余评价要点分值1分，依据项目单位提供的相关资料进行评价。</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5</w:t>
            </w:r>
          </w:p>
        </w:tc>
        <w:tc>
          <w:tcPr>
            <w:tcW w:w="1453"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w:t>
            </w:r>
          </w:p>
        </w:tc>
      </w:tr>
      <w:tr>
        <w:tblPrEx>
          <w:tblCellMar>
            <w:top w:w="0" w:type="dxa"/>
            <w:left w:w="108" w:type="dxa"/>
            <w:bottom w:w="0" w:type="dxa"/>
            <w:right w:w="108" w:type="dxa"/>
          </w:tblCellMar>
        </w:tblPrEx>
        <w:trPr>
          <w:trHeight w:val="2385" w:hRule="atLeast"/>
        </w:trPr>
        <w:tc>
          <w:tcPr>
            <w:tcW w:w="656"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80"/>
              <w:jc w:val="center"/>
              <w:rPr>
                <w:rFonts w:hint="default" w:ascii="Times New Roman" w:hAnsi="Times New Roman" w:eastAsia="宋体" w:cs="Times New Roman"/>
                <w:sz w:val="21"/>
                <w:szCs w:val="21"/>
              </w:rPr>
            </w:pPr>
          </w:p>
        </w:tc>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80"/>
              <w:jc w:val="center"/>
              <w:rPr>
                <w:rFonts w:hint="default" w:ascii="Times New Roman" w:hAnsi="Times New Roman" w:eastAsia="宋体" w:cs="Times New Roman"/>
                <w:sz w:val="21"/>
                <w:szCs w:val="21"/>
              </w:rPr>
            </w:pPr>
          </w:p>
        </w:tc>
        <w:tc>
          <w:tcPr>
            <w:tcW w:w="70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产出成本</w:t>
            </w:r>
          </w:p>
        </w:tc>
        <w:tc>
          <w:tcPr>
            <w:tcW w:w="482"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5</w:t>
            </w: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成本节约率</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5</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考核完成项目计划工作目标的实际节约成本与计划成本的比率，用以反映和考核项目的成本节约程度。</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成本节约率=[（计划成本-实际成本）/计划成本]×100%。</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A：成本节约率≥0%，得5分</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B：成本节约率＜0%，（1+成本节约率）*5</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4.1</w:t>
            </w:r>
          </w:p>
        </w:tc>
        <w:tc>
          <w:tcPr>
            <w:tcW w:w="1453"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集约化平台云资源实际使用率</w:t>
            </w:r>
            <w:r>
              <w:rPr>
                <w:rFonts w:hint="default" w:ascii="Times New Roman" w:hAnsi="Times New Roman" w:eastAsia="宋体" w:cs="Times New Roman"/>
                <w:color w:val="000000"/>
                <w:sz w:val="21"/>
                <w:szCs w:val="21"/>
                <w:lang w:eastAsia="zh-CN"/>
              </w:rPr>
              <w:t>较低</w:t>
            </w:r>
            <w:r>
              <w:rPr>
                <w:rFonts w:hint="default" w:ascii="Times New Roman" w:hAnsi="Times New Roman" w:eastAsia="宋体" w:cs="Times New Roman"/>
                <w:color w:val="000000"/>
                <w:sz w:val="21"/>
                <w:szCs w:val="21"/>
              </w:rPr>
              <w:t>，租用云资源的投入与产出不匹配。</w:t>
            </w:r>
          </w:p>
        </w:tc>
      </w:tr>
      <w:tr>
        <w:tblPrEx>
          <w:tblCellMar>
            <w:top w:w="0" w:type="dxa"/>
            <w:left w:w="108" w:type="dxa"/>
            <w:bottom w:w="0" w:type="dxa"/>
            <w:right w:w="108" w:type="dxa"/>
          </w:tblCellMar>
        </w:tblPrEx>
        <w:trPr>
          <w:trHeight w:val="2465" w:hRule="atLeast"/>
        </w:trPr>
        <w:tc>
          <w:tcPr>
            <w:tcW w:w="656" w:type="dxa"/>
            <w:vMerge w:val="restart"/>
            <w:tcBorders>
              <w:top w:val="single" w:color="auto" w:sz="4" w:space="0"/>
              <w:left w:val="single" w:color="auto" w:sz="4" w:space="0"/>
              <w:right w:val="single" w:color="auto" w:sz="4" w:space="0"/>
            </w:tcBorders>
            <w:vAlign w:val="center"/>
          </w:tcPr>
          <w:p>
            <w:pPr>
              <w:widowControl/>
              <w:spacing w:line="300" w:lineRule="exac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效益</w:t>
            </w:r>
          </w:p>
        </w:tc>
        <w:tc>
          <w:tcPr>
            <w:tcW w:w="449" w:type="dxa"/>
            <w:vMerge w:val="restart"/>
            <w:tcBorders>
              <w:top w:val="single" w:color="auto" w:sz="4" w:space="0"/>
              <w:left w:val="single" w:color="auto" w:sz="4" w:space="0"/>
              <w:right w:val="single" w:color="auto" w:sz="4" w:space="0"/>
            </w:tcBorders>
            <w:vAlign w:val="center"/>
          </w:tcPr>
          <w:p>
            <w:pPr>
              <w:widowControl/>
              <w:spacing w:line="300" w:lineRule="exac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30</w:t>
            </w:r>
          </w:p>
        </w:tc>
        <w:tc>
          <w:tcPr>
            <w:tcW w:w="700" w:type="dxa"/>
            <w:vMerge w:val="restart"/>
            <w:tcBorders>
              <w:top w:val="nil"/>
              <w:left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社会效益</w:t>
            </w:r>
          </w:p>
        </w:tc>
        <w:tc>
          <w:tcPr>
            <w:tcW w:w="482" w:type="dxa"/>
            <w:vMerge w:val="restart"/>
            <w:tcBorders>
              <w:top w:val="nil"/>
              <w:left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15</w:t>
            </w: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全市政府网站的统一信息资源管理</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5</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考核该项目对实现全市政府网站的统一信息资源管理是否起到积极作用。</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评价要点：</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考核该项目是否实现全市政府网站的统一信息资源管理。</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A：社会效益影响程度高，4.5（含）-5分；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B：社会效益影响程度较高，4（含）-4.5分；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C：社会效益影响程度一般，3（含）-4分；</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D：社会效益影响程度较差，0-3分。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3.8</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kern w:val="0"/>
                <w:sz w:val="21"/>
                <w:szCs w:val="21"/>
                <w:lang w:bidi="ar"/>
              </w:rPr>
              <w:t>相关效益影响程度一般</w:t>
            </w:r>
          </w:p>
        </w:tc>
      </w:tr>
      <w:tr>
        <w:tblPrEx>
          <w:tblCellMar>
            <w:top w:w="0" w:type="dxa"/>
            <w:left w:w="108" w:type="dxa"/>
            <w:bottom w:w="0" w:type="dxa"/>
            <w:right w:w="108" w:type="dxa"/>
          </w:tblCellMar>
        </w:tblPrEx>
        <w:trPr>
          <w:trHeight w:val="2595" w:hRule="atLeast"/>
        </w:trPr>
        <w:tc>
          <w:tcPr>
            <w:tcW w:w="656" w:type="dxa"/>
            <w:vMerge w:val="continue"/>
            <w:tcBorders>
              <w:left w:val="single" w:color="auto" w:sz="4" w:space="0"/>
              <w:right w:val="single" w:color="auto" w:sz="4" w:space="0"/>
            </w:tcBorders>
            <w:vAlign w:val="center"/>
          </w:tcPr>
          <w:p>
            <w:pPr>
              <w:widowControl/>
              <w:spacing w:line="300" w:lineRule="exact"/>
              <w:ind w:firstLine="480"/>
              <w:jc w:val="center"/>
              <w:rPr>
                <w:rFonts w:hint="default" w:ascii="Times New Roman" w:hAnsi="Times New Roman" w:eastAsia="宋体" w:cs="Times New Roman"/>
                <w:sz w:val="21"/>
                <w:szCs w:val="21"/>
              </w:rPr>
            </w:pPr>
          </w:p>
        </w:tc>
        <w:tc>
          <w:tcPr>
            <w:tcW w:w="449" w:type="dxa"/>
            <w:vMerge w:val="continue"/>
            <w:tcBorders>
              <w:left w:val="single" w:color="auto" w:sz="4" w:space="0"/>
              <w:right w:val="single" w:color="auto" w:sz="4" w:space="0"/>
            </w:tcBorders>
            <w:vAlign w:val="center"/>
          </w:tcPr>
          <w:p>
            <w:pPr>
              <w:widowControl/>
              <w:spacing w:line="300" w:lineRule="exact"/>
              <w:ind w:firstLine="480"/>
              <w:jc w:val="center"/>
              <w:rPr>
                <w:rFonts w:hint="default" w:ascii="Times New Roman" w:hAnsi="Times New Roman" w:eastAsia="宋体" w:cs="Times New Roman"/>
                <w:sz w:val="21"/>
                <w:szCs w:val="21"/>
              </w:rPr>
            </w:pPr>
          </w:p>
        </w:tc>
        <w:tc>
          <w:tcPr>
            <w:tcW w:w="700" w:type="dxa"/>
            <w:vMerge w:val="continue"/>
            <w:tcBorders>
              <w:left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482" w:type="dxa"/>
            <w:vMerge w:val="continue"/>
            <w:tcBorders>
              <w:left w:val="single" w:color="auto" w:sz="4" w:space="0"/>
              <w:right w:val="single" w:color="auto" w:sz="4" w:space="0"/>
            </w:tcBorders>
            <w:vAlign w:val="center"/>
          </w:tcPr>
          <w:p>
            <w:pPr>
              <w:widowControl/>
              <w:spacing w:line="300" w:lineRule="exact"/>
              <w:ind w:firstLine="420"/>
              <w:jc w:val="center"/>
              <w:rPr>
                <w:rFonts w:hint="default" w:ascii="Times New Roman" w:hAnsi="Times New Roman" w:eastAsia="宋体" w:cs="Times New Roman"/>
                <w:sz w:val="21"/>
                <w:szCs w:val="21"/>
              </w:rPr>
            </w:pP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实现“一网通查”、“一网通答”“一网通办”服务</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5</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考核该项目对实现“一网通查”“一网通答”“一网通办”服务是否起到积极作用。</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评价要点：</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考核该项目是否实现“一网通查”“一网通答”“一网通办”服务。</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A：社会效益影响程度高，4.5（含）-5分；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B：社会效益影响程度较高，4（含）-4.5分；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C：社会效益影响程度一般，3（含）-4分；</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D：社会效益影响程度较差，0-3分。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4</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kern w:val="0"/>
                <w:sz w:val="21"/>
                <w:szCs w:val="21"/>
                <w:lang w:bidi="ar"/>
              </w:rPr>
              <w:t>相关效益影响程度较高</w:t>
            </w:r>
          </w:p>
        </w:tc>
      </w:tr>
      <w:tr>
        <w:tblPrEx>
          <w:tblCellMar>
            <w:top w:w="0" w:type="dxa"/>
            <w:left w:w="108" w:type="dxa"/>
            <w:bottom w:w="0" w:type="dxa"/>
            <w:right w:w="108" w:type="dxa"/>
          </w:tblCellMar>
        </w:tblPrEx>
        <w:trPr>
          <w:trHeight w:val="2560" w:hRule="atLeast"/>
        </w:trPr>
        <w:tc>
          <w:tcPr>
            <w:tcW w:w="656" w:type="dxa"/>
            <w:vMerge w:val="continue"/>
            <w:tcBorders>
              <w:left w:val="single" w:color="auto" w:sz="4" w:space="0"/>
              <w:bottom w:val="single" w:color="auto" w:sz="4" w:space="0"/>
              <w:right w:val="single" w:color="auto" w:sz="4" w:space="0"/>
            </w:tcBorders>
            <w:vAlign w:val="center"/>
          </w:tcPr>
          <w:p>
            <w:pPr>
              <w:widowControl/>
              <w:spacing w:line="300" w:lineRule="exact"/>
              <w:textAlignment w:val="center"/>
              <w:rPr>
                <w:rFonts w:hint="default" w:ascii="Times New Roman" w:hAnsi="Times New Roman" w:eastAsia="宋体" w:cs="Times New Roman"/>
                <w:sz w:val="21"/>
                <w:szCs w:val="21"/>
              </w:rPr>
            </w:pPr>
          </w:p>
        </w:tc>
        <w:tc>
          <w:tcPr>
            <w:tcW w:w="449" w:type="dxa"/>
            <w:vMerge w:val="continue"/>
            <w:tcBorders>
              <w:left w:val="single" w:color="auto" w:sz="4" w:space="0"/>
              <w:bottom w:val="single" w:color="auto" w:sz="4" w:space="0"/>
              <w:right w:val="single" w:color="auto" w:sz="4" w:space="0"/>
            </w:tcBorders>
            <w:vAlign w:val="center"/>
          </w:tcPr>
          <w:p>
            <w:pPr>
              <w:widowControl/>
              <w:spacing w:line="300" w:lineRule="exact"/>
              <w:textAlignment w:val="center"/>
              <w:rPr>
                <w:rFonts w:hint="default" w:ascii="Times New Roman" w:hAnsi="Times New Roman" w:eastAsia="宋体" w:cs="Times New Roman"/>
                <w:sz w:val="21"/>
                <w:szCs w:val="21"/>
              </w:rPr>
            </w:pPr>
          </w:p>
        </w:tc>
        <w:tc>
          <w:tcPr>
            <w:tcW w:w="700" w:type="dxa"/>
            <w:vMerge w:val="continue"/>
            <w:tcBorders>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p>
        </w:tc>
        <w:tc>
          <w:tcPr>
            <w:tcW w:w="482" w:type="dxa"/>
            <w:vMerge w:val="continue"/>
            <w:tcBorders>
              <w:left w:val="single" w:color="auto" w:sz="4" w:space="0"/>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全市政府网站整体安全稳定高效运行</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5</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考核该项目对实现全市政府网站整体安全稳定高效运行是否起到积极作用。</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评价要点：</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考核该项目是否实现全市政府网站整体安全稳定高效运行。</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A：社会效益影响程度高，4.5（含）-5分；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B：社会效益影响程度较高，4（含）-4.5分；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C：社会效益影响程度一般，3（含）-4分；</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D：社会效益影响程度较差，0-3分。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4.1</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kern w:val="0"/>
                <w:sz w:val="21"/>
                <w:szCs w:val="21"/>
                <w:lang w:bidi="ar"/>
              </w:rPr>
              <w:t>相关效益影响程度较高</w:t>
            </w:r>
          </w:p>
        </w:tc>
      </w:tr>
      <w:tr>
        <w:tblPrEx>
          <w:tblCellMar>
            <w:top w:w="0" w:type="dxa"/>
            <w:left w:w="108" w:type="dxa"/>
            <w:bottom w:w="0" w:type="dxa"/>
            <w:right w:w="108" w:type="dxa"/>
          </w:tblCellMar>
        </w:tblPrEx>
        <w:trPr>
          <w:trHeight w:val="1560" w:hRule="atLeast"/>
        </w:trPr>
        <w:tc>
          <w:tcPr>
            <w:tcW w:w="656"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80"/>
              <w:jc w:val="center"/>
              <w:rPr>
                <w:rFonts w:hint="default" w:ascii="Times New Roman" w:hAnsi="Times New Roman" w:eastAsia="宋体" w:cs="Times New Roman"/>
                <w:sz w:val="21"/>
                <w:szCs w:val="21"/>
              </w:rPr>
            </w:pPr>
          </w:p>
        </w:tc>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80"/>
              <w:jc w:val="center"/>
              <w:rPr>
                <w:rFonts w:hint="default" w:ascii="Times New Roman" w:hAnsi="Times New Roman" w:eastAsia="宋体" w:cs="Times New Roman"/>
                <w:sz w:val="21"/>
                <w:szCs w:val="21"/>
              </w:rPr>
            </w:pPr>
          </w:p>
        </w:tc>
        <w:tc>
          <w:tcPr>
            <w:tcW w:w="70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可持续影响</w:t>
            </w:r>
          </w:p>
        </w:tc>
        <w:tc>
          <w:tcPr>
            <w:tcW w:w="482"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5</w:t>
            </w: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政府网站集约化平台功能完善</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5</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考核项目是否保障政府网站集约化平台长期持续正常运行，各类功能不断完善。</w:t>
            </w:r>
          </w:p>
        </w:tc>
        <w:tc>
          <w:tcPr>
            <w:tcW w:w="405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评价要点：</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考核项目是否保障政府网站集约化平台长期持续正常运行，各类功能不断完善。</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A：可持续影响程度高，4.5（含）-5分；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B：可持续影响程度较高，4（含）-4.5分；</w:t>
            </w:r>
          </w:p>
          <w:p>
            <w:pPr>
              <w:widowControl/>
              <w:spacing w:line="300" w:lineRule="exact"/>
              <w:jc w:val="left"/>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C：可持续影响程度一般，3（含）-4分；</w:t>
            </w:r>
          </w:p>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D：可持续影响程度较差，0-3分。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4</w:t>
            </w:r>
          </w:p>
        </w:tc>
        <w:tc>
          <w:tcPr>
            <w:tcW w:w="1453"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kern w:val="0"/>
                <w:sz w:val="21"/>
                <w:szCs w:val="21"/>
                <w:lang w:bidi="ar"/>
              </w:rPr>
              <w:t>可持续影响程度较高</w:t>
            </w:r>
          </w:p>
        </w:tc>
      </w:tr>
      <w:tr>
        <w:tblPrEx>
          <w:tblCellMar>
            <w:top w:w="0" w:type="dxa"/>
            <w:left w:w="108" w:type="dxa"/>
            <w:bottom w:w="0" w:type="dxa"/>
            <w:right w:w="108" w:type="dxa"/>
          </w:tblCellMar>
        </w:tblPrEx>
        <w:trPr>
          <w:trHeight w:val="2205" w:hRule="atLeast"/>
        </w:trPr>
        <w:tc>
          <w:tcPr>
            <w:tcW w:w="656"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80"/>
              <w:jc w:val="center"/>
              <w:rPr>
                <w:rFonts w:hint="default" w:ascii="Times New Roman" w:hAnsi="Times New Roman" w:eastAsia="宋体" w:cs="Times New Roman"/>
                <w:sz w:val="21"/>
                <w:szCs w:val="21"/>
              </w:rPr>
            </w:pPr>
          </w:p>
        </w:tc>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ind w:firstLine="480"/>
              <w:jc w:val="center"/>
              <w:rPr>
                <w:rFonts w:hint="default" w:ascii="Times New Roman" w:hAnsi="Times New Roman" w:eastAsia="宋体" w:cs="Times New Roman"/>
                <w:sz w:val="21"/>
                <w:szCs w:val="21"/>
              </w:rPr>
            </w:pPr>
          </w:p>
        </w:tc>
        <w:tc>
          <w:tcPr>
            <w:tcW w:w="70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满意度</w:t>
            </w:r>
          </w:p>
        </w:tc>
        <w:tc>
          <w:tcPr>
            <w:tcW w:w="482"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10</w:t>
            </w:r>
          </w:p>
        </w:tc>
        <w:tc>
          <w:tcPr>
            <w:tcW w:w="1080"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使用单位满意度</w:t>
            </w:r>
          </w:p>
        </w:tc>
        <w:tc>
          <w:tcPr>
            <w:tcW w:w="465"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10</w:t>
            </w:r>
          </w:p>
        </w:tc>
        <w:tc>
          <w:tcPr>
            <w:tcW w:w="1845"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考核使用单位对政府网站集约化平台运维的满意度情况。</w:t>
            </w:r>
          </w:p>
        </w:tc>
        <w:tc>
          <w:tcPr>
            <w:tcW w:w="4050" w:type="dxa"/>
            <w:tcBorders>
              <w:top w:val="nil"/>
              <w:left w:val="nil"/>
              <w:bottom w:val="single" w:color="auto" w:sz="4" w:space="0"/>
              <w:right w:val="single" w:color="auto" w:sz="4" w:space="0"/>
            </w:tcBorders>
            <w:vAlign w:val="center"/>
          </w:tcPr>
          <w:p>
            <w:pPr>
              <w:widowControl/>
              <w:spacing w:after="240"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满意度=（对政府网站集约化平台运维满意的使用单位数量/全部接受满意度调查的使用单位数量）*100%</w:t>
            </w:r>
          </w:p>
        </w:tc>
        <w:tc>
          <w:tcPr>
            <w:tcW w:w="2730" w:type="dxa"/>
            <w:tcBorders>
              <w:top w:val="nil"/>
              <w:left w:val="nil"/>
              <w:bottom w:val="single" w:color="auto" w:sz="4" w:space="0"/>
              <w:right w:val="single" w:color="auto" w:sz="4" w:space="0"/>
            </w:tcBorders>
            <w:vAlign w:val="center"/>
          </w:tcPr>
          <w:p>
            <w:pPr>
              <w:widowControl/>
              <w:spacing w:line="300" w:lineRule="exact"/>
              <w:jc w:val="left"/>
              <w:textAlignment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满意度≥90%的得满分，不足90%的按比例得分。</w:t>
            </w:r>
          </w:p>
        </w:tc>
        <w:tc>
          <w:tcPr>
            <w:tcW w:w="649" w:type="dxa"/>
            <w:tcBorders>
              <w:top w:val="nil"/>
              <w:left w:val="nil"/>
              <w:bottom w:val="single" w:color="auto" w:sz="4" w:space="0"/>
              <w:right w:val="single" w:color="auto" w:sz="4" w:space="0"/>
            </w:tcBorders>
            <w:vAlign w:val="center"/>
          </w:tcPr>
          <w:p>
            <w:pPr>
              <w:widowControl/>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10</w:t>
            </w:r>
          </w:p>
        </w:tc>
        <w:tc>
          <w:tcPr>
            <w:tcW w:w="1453"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kern w:val="0"/>
                <w:sz w:val="21"/>
                <w:szCs w:val="21"/>
                <w:lang w:bidi="ar"/>
              </w:rPr>
              <w:t>—</w:t>
            </w:r>
          </w:p>
        </w:tc>
      </w:tr>
      <w:tr>
        <w:tblPrEx>
          <w:tblCellMar>
            <w:top w:w="0" w:type="dxa"/>
            <w:left w:w="108" w:type="dxa"/>
            <w:bottom w:w="0" w:type="dxa"/>
            <w:right w:w="108" w:type="dxa"/>
          </w:tblCellMar>
        </w:tblPrEx>
        <w:trPr>
          <w:trHeight w:val="350" w:hRule="atLeast"/>
        </w:trPr>
        <w:tc>
          <w:tcPr>
            <w:tcW w:w="12457" w:type="dxa"/>
            <w:gridSpan w:val="9"/>
            <w:tcBorders>
              <w:top w:val="single" w:color="auto" w:sz="4" w:space="0"/>
              <w:left w:val="single" w:color="auto" w:sz="4" w:space="0"/>
              <w:bottom w:val="single" w:color="auto" w:sz="4" w:space="0"/>
              <w:right w:val="single" w:color="000000" w:sz="4" w:space="0"/>
            </w:tcBorders>
            <w:vAlign w:val="center"/>
          </w:tcPr>
          <w:p>
            <w:pPr>
              <w:widowControl/>
              <w:spacing w:line="300" w:lineRule="exact"/>
              <w:jc w:val="center"/>
              <w:textAlignment w:val="center"/>
              <w:rPr>
                <w:rFonts w:hint="default" w:ascii="Times New Roman" w:hAnsi="Times New Roman" w:eastAsia="宋体" w:cs="Times New Roman"/>
                <w:b/>
                <w:bCs/>
                <w:sz w:val="21"/>
                <w:szCs w:val="21"/>
              </w:rPr>
            </w:pPr>
            <w:r>
              <w:rPr>
                <w:rFonts w:hint="default" w:ascii="Times New Roman" w:hAnsi="Times New Roman" w:eastAsia="宋体" w:cs="Times New Roman"/>
                <w:b/>
                <w:bCs/>
                <w:kern w:val="0"/>
                <w:sz w:val="21"/>
                <w:szCs w:val="21"/>
                <w:lang w:bidi="ar"/>
              </w:rPr>
              <w:t>综合评价得分</w:t>
            </w:r>
          </w:p>
        </w:tc>
        <w:tc>
          <w:tcPr>
            <w:tcW w:w="649" w:type="dxa"/>
            <w:tcBorders>
              <w:top w:val="nil"/>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84.8</w:t>
            </w:r>
          </w:p>
        </w:tc>
        <w:tc>
          <w:tcPr>
            <w:tcW w:w="1453" w:type="dxa"/>
            <w:tcBorders>
              <w:top w:val="nil"/>
              <w:left w:val="nil"/>
              <w:bottom w:val="single" w:color="auto" w:sz="4" w:space="0"/>
              <w:right w:val="single" w:color="auto" w:sz="4" w:space="0"/>
            </w:tcBorders>
            <w:vAlign w:val="center"/>
          </w:tcPr>
          <w:p>
            <w:pPr>
              <w:widowControl/>
              <w:spacing w:line="300" w:lineRule="exact"/>
              <w:ind w:firstLine="422"/>
              <w:jc w:val="left"/>
              <w:textAlignment w:val="center"/>
              <w:rPr>
                <w:rFonts w:hint="default" w:ascii="Times New Roman" w:hAnsi="Times New Roman" w:eastAsia="宋体" w:cs="Times New Roman"/>
                <w:b/>
                <w:bCs/>
                <w:sz w:val="21"/>
                <w:szCs w:val="21"/>
              </w:rPr>
            </w:pPr>
            <w:r>
              <w:rPr>
                <w:rFonts w:hint="default" w:ascii="Times New Roman" w:hAnsi="Times New Roman" w:eastAsia="宋体" w:cs="Times New Roman"/>
                <w:b/>
                <w:bCs/>
                <w:kern w:val="0"/>
                <w:sz w:val="21"/>
                <w:szCs w:val="21"/>
                <w:lang w:bidi="ar"/>
              </w:rPr>
              <w:t>　</w:t>
            </w:r>
          </w:p>
        </w:tc>
      </w:tr>
      <w:tr>
        <w:tblPrEx>
          <w:tblCellMar>
            <w:top w:w="0" w:type="dxa"/>
            <w:left w:w="108" w:type="dxa"/>
            <w:bottom w:w="0" w:type="dxa"/>
            <w:right w:w="108" w:type="dxa"/>
          </w:tblCellMar>
        </w:tblPrEx>
        <w:trPr>
          <w:trHeight w:val="410" w:hRule="atLeast"/>
        </w:trPr>
        <w:tc>
          <w:tcPr>
            <w:tcW w:w="12457" w:type="dxa"/>
            <w:gridSpan w:val="9"/>
            <w:tcBorders>
              <w:top w:val="single" w:color="auto" w:sz="4" w:space="0"/>
              <w:left w:val="single" w:color="auto" w:sz="4" w:space="0"/>
              <w:bottom w:val="single" w:color="auto" w:sz="4" w:space="0"/>
              <w:right w:val="single" w:color="000000" w:sz="4" w:space="0"/>
            </w:tcBorders>
            <w:vAlign w:val="center"/>
          </w:tcPr>
          <w:p>
            <w:pPr>
              <w:widowControl/>
              <w:spacing w:line="300" w:lineRule="exact"/>
              <w:jc w:val="center"/>
              <w:textAlignment w:val="center"/>
              <w:rPr>
                <w:rFonts w:hint="default" w:ascii="Times New Roman" w:hAnsi="Times New Roman" w:eastAsia="宋体" w:cs="Times New Roman"/>
                <w:b/>
                <w:bCs/>
                <w:kern w:val="0"/>
                <w:sz w:val="21"/>
                <w:szCs w:val="21"/>
                <w:lang w:bidi="ar"/>
              </w:rPr>
            </w:pPr>
            <w:r>
              <w:rPr>
                <w:rFonts w:hint="default" w:ascii="Times New Roman" w:hAnsi="Times New Roman" w:eastAsia="宋体" w:cs="Times New Roman"/>
                <w:b/>
                <w:bCs/>
                <w:kern w:val="0"/>
                <w:sz w:val="21"/>
                <w:szCs w:val="21"/>
                <w:lang w:bidi="ar"/>
              </w:rPr>
              <w:t>综合评价等级</w:t>
            </w:r>
          </w:p>
        </w:tc>
        <w:tc>
          <w:tcPr>
            <w:tcW w:w="649" w:type="dxa"/>
            <w:tcBorders>
              <w:top w:val="single" w:color="auto" w:sz="4" w:space="0"/>
              <w:left w:val="nil"/>
              <w:bottom w:val="single" w:color="auto" w:sz="4" w:space="0"/>
              <w:right w:val="single" w:color="auto" w:sz="4" w:space="0"/>
            </w:tcBorders>
            <w:vAlign w:val="center"/>
          </w:tcPr>
          <w:p>
            <w:pPr>
              <w:widowControl/>
              <w:spacing w:line="300" w:lineRule="exact"/>
              <w:jc w:val="center"/>
              <w:textAlignment w:val="center"/>
              <w:rPr>
                <w:rFonts w:hint="default" w:ascii="Times New Roman" w:hAnsi="Times New Roman" w:eastAsia="宋体" w:cs="Times New Roman"/>
                <w:b/>
                <w:bCs/>
                <w:kern w:val="0"/>
                <w:sz w:val="21"/>
                <w:szCs w:val="21"/>
                <w:lang w:bidi="ar"/>
              </w:rPr>
            </w:pPr>
            <w:r>
              <w:rPr>
                <w:rFonts w:hint="default" w:ascii="Times New Roman" w:hAnsi="Times New Roman" w:eastAsia="宋体" w:cs="Times New Roman"/>
                <w:b/>
                <w:bCs/>
                <w:kern w:val="0"/>
                <w:sz w:val="21"/>
                <w:szCs w:val="21"/>
                <w:lang w:bidi="ar"/>
              </w:rPr>
              <w:t>良</w:t>
            </w:r>
          </w:p>
        </w:tc>
        <w:tc>
          <w:tcPr>
            <w:tcW w:w="1453" w:type="dxa"/>
            <w:tcBorders>
              <w:top w:val="single" w:color="auto" w:sz="4" w:space="0"/>
              <w:left w:val="nil"/>
              <w:bottom w:val="single" w:color="auto" w:sz="4" w:space="0"/>
              <w:right w:val="single" w:color="auto" w:sz="4" w:space="0"/>
            </w:tcBorders>
            <w:vAlign w:val="center"/>
          </w:tcPr>
          <w:p>
            <w:pPr>
              <w:widowControl/>
              <w:spacing w:line="300" w:lineRule="exact"/>
              <w:ind w:firstLine="422"/>
              <w:jc w:val="left"/>
              <w:textAlignment w:val="center"/>
              <w:rPr>
                <w:rFonts w:hint="default" w:ascii="Times New Roman" w:hAnsi="Times New Roman" w:eastAsia="宋体" w:cs="Times New Roman"/>
                <w:b/>
                <w:bCs/>
                <w:kern w:val="0"/>
                <w:sz w:val="21"/>
                <w:szCs w:val="21"/>
                <w:lang w:bidi="ar"/>
              </w:rPr>
            </w:pPr>
          </w:p>
        </w:tc>
      </w:tr>
    </w:tbl>
    <w:p>
      <w:pPr>
        <w:pStyle w:val="2"/>
        <w:widowControl w:val="0"/>
        <w:spacing w:line="240" w:lineRule="auto"/>
        <w:jc w:val="left"/>
        <w:rPr>
          <w:rFonts w:ascii="仿宋_GB2312" w:hAnsi="仿宋_GB2312" w:eastAsia="仿宋_GB2312" w:cs="仿宋_GB2312"/>
        </w:rPr>
      </w:pPr>
    </w:p>
    <w:p>
      <w:pPr>
        <w:pStyle w:val="2"/>
        <w:widowControl w:val="0"/>
        <w:spacing w:line="240" w:lineRule="auto"/>
        <w:jc w:val="left"/>
        <w:rPr>
          <w:rFonts w:ascii="宋体" w:hAnsi="宋体" w:eastAsia="宋体" w:cs="宋体"/>
          <w:sz w:val="21"/>
          <w:szCs w:val="21"/>
        </w:rPr>
        <w:sectPr>
          <w:pgSz w:w="16838" w:h="11906" w:orient="landscape"/>
          <w:pgMar w:top="1800" w:right="1440" w:bottom="1800" w:left="1440" w:header="851" w:footer="992" w:gutter="0"/>
          <w:pgNumType w:fmt="decimal"/>
          <w:cols w:space="425" w:num="1"/>
          <w:docGrid w:type="lines" w:linePitch="312" w:charSpace="0"/>
        </w:sectPr>
      </w:pPr>
    </w:p>
    <w:p>
      <w:pPr>
        <w:pStyle w:val="2"/>
        <w:widowControl w:val="0"/>
        <w:spacing w:line="560" w:lineRule="exact"/>
        <w:jc w:val="left"/>
        <w:rPr>
          <w:rFonts w:ascii="黑体" w:hAnsi="黑体" w:eastAsia="黑体" w:cs="黑体"/>
        </w:rPr>
      </w:pPr>
      <w:r>
        <w:rPr>
          <w:rFonts w:hint="eastAsia" w:ascii="黑体" w:hAnsi="黑体" w:eastAsia="黑体" w:cs="黑体"/>
        </w:rPr>
        <w:t>附件2：</w:t>
      </w:r>
    </w:p>
    <w:p>
      <w:pPr>
        <w:spacing w:line="560" w:lineRule="exact"/>
        <w:jc w:val="center"/>
        <w:rPr>
          <w:rFonts w:ascii="方正小标宋简体" w:hAnsi="仿宋" w:eastAsia="方正小标宋简体" w:cs="仿宋"/>
          <w:sz w:val="36"/>
          <w:szCs w:val="36"/>
        </w:rPr>
      </w:pPr>
      <w:r>
        <w:rPr>
          <w:rFonts w:hint="eastAsia" w:ascii="方正小标宋简体" w:hAnsi="仿宋" w:eastAsia="方正小标宋简体" w:cs="仿宋"/>
          <w:sz w:val="36"/>
          <w:szCs w:val="36"/>
        </w:rPr>
        <w:t>专家组及工作组情况表</w:t>
      </w:r>
    </w:p>
    <w:p>
      <w:pPr>
        <w:rPr>
          <w:rFonts w:hint="eastAsia" w:eastAsia="宋体"/>
          <w:lang w:eastAsia="zh-CN"/>
        </w:rPr>
      </w:pPr>
      <w:r>
        <w:rPr>
          <w:rFonts w:hint="eastAsia" w:ascii="宋体" w:hAnsi="宋体" w:eastAsia="宋体" w:cs="宋体"/>
          <w:bCs/>
          <w:sz w:val="28"/>
          <w:szCs w:val="28"/>
        </w:rPr>
        <w:t>项目名称：北京市政府网站集约化平台服务及运维</w:t>
      </w:r>
    </w:p>
    <w:p>
      <w:pPr>
        <w:pStyle w:val="2"/>
        <w:rPr>
          <w:rFonts w:hint="eastAsia" w:eastAsia="宋体"/>
          <w:lang w:eastAsia="zh-CN"/>
        </w:rPr>
      </w:pPr>
      <w:r>
        <w:rPr>
          <w:rFonts w:hint="eastAsia" w:eastAsia="宋体"/>
          <w:lang w:eastAsia="zh-CN"/>
        </w:rPr>
        <w:drawing>
          <wp:inline distT="0" distB="0" distL="114300" distR="114300">
            <wp:extent cx="5514340" cy="6619875"/>
            <wp:effectExtent l="0" t="0" r="10160" b="9525"/>
            <wp:docPr id="15" name="图片 1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
                    <pic:cNvPicPr>
                      <a:picLocks noChangeAspect="1"/>
                    </pic:cNvPicPr>
                  </pic:nvPicPr>
                  <pic:blipFill>
                    <a:blip r:embed="rId7"/>
                    <a:srcRect l="8679" t="11588" r="8498" b="18149"/>
                    <a:stretch>
                      <a:fillRect/>
                    </a:stretch>
                  </pic:blipFill>
                  <pic:spPr>
                    <a:xfrm>
                      <a:off x="0" y="0"/>
                      <a:ext cx="5514340" cy="6619875"/>
                    </a:xfrm>
                    <a:prstGeom prst="rect">
                      <a:avLst/>
                    </a:prstGeom>
                  </pic:spPr>
                </pic:pic>
              </a:graphicData>
            </a:graphic>
          </wp:inline>
        </w:drawing>
      </w:r>
    </w:p>
    <w:p>
      <w:pPr>
        <w:spacing w:line="560" w:lineRule="exact"/>
        <w:rPr>
          <w:rFonts w:hint="eastAsia" w:ascii="仿宋" w:hAnsi="仿宋" w:eastAsia="仿宋" w:cs="仿宋"/>
        </w:rPr>
        <w:sectPr>
          <w:pgSz w:w="11906" w:h="16838"/>
          <w:pgMar w:top="1440" w:right="1800" w:bottom="1440" w:left="1800" w:header="851" w:footer="992" w:gutter="0"/>
          <w:pgNumType w:fmt="decimal"/>
          <w:cols w:space="425" w:num="1"/>
          <w:docGrid w:type="lines" w:linePitch="312" w:charSpace="0"/>
        </w:sectPr>
      </w:pPr>
    </w:p>
    <w:p>
      <w:pPr>
        <w:spacing w:line="560" w:lineRule="exact"/>
        <w:rPr>
          <w:rFonts w:hint="eastAsia" w:ascii="仿宋" w:hAnsi="仿宋" w:eastAsia="仿宋" w:cs="仿宋"/>
          <w:sz w:val="32"/>
          <w:szCs w:val="32"/>
          <w:lang w:eastAsia="zh-CN"/>
        </w:rPr>
      </w:pPr>
      <w:r>
        <w:rPr>
          <w:rFonts w:hint="eastAsia" w:ascii="黑体" w:hAnsi="黑体" w:eastAsia="黑体" w:cs="黑体"/>
          <w:color w:val="000000"/>
          <w:sz w:val="32"/>
        </w:rPr>
        <w:t>附件</w:t>
      </w:r>
      <w:r>
        <w:rPr>
          <w:rFonts w:hint="eastAsia" w:ascii="黑体" w:hAnsi="黑体" w:eastAsia="黑体" w:cs="黑体"/>
          <w:color w:val="000000"/>
          <w:sz w:val="32"/>
          <w:lang w:val="en-US" w:eastAsia="zh-CN"/>
        </w:rPr>
        <w:t>3</w:t>
      </w:r>
      <w:r>
        <w:rPr>
          <w:rFonts w:hint="eastAsia" w:ascii="黑体" w:hAnsi="黑体" w:eastAsia="黑体" w:cs="黑体"/>
          <w:color w:val="000000"/>
          <w:sz w:val="32"/>
        </w:rPr>
        <w:t>：</w:t>
      </w:r>
    </w:p>
    <w:tbl>
      <w:tblPr>
        <w:tblStyle w:val="17"/>
        <w:tblW w:w="14738" w:type="dxa"/>
        <w:jc w:val="center"/>
        <w:tblLayout w:type="fixed"/>
        <w:tblCellMar>
          <w:top w:w="0" w:type="dxa"/>
          <w:left w:w="30" w:type="dxa"/>
          <w:bottom w:w="0" w:type="dxa"/>
          <w:right w:w="30" w:type="dxa"/>
        </w:tblCellMar>
      </w:tblPr>
      <w:tblGrid>
        <w:gridCol w:w="851"/>
        <w:gridCol w:w="394"/>
        <w:gridCol w:w="674"/>
        <w:gridCol w:w="674"/>
        <w:gridCol w:w="606"/>
        <w:gridCol w:w="615"/>
        <w:gridCol w:w="495"/>
        <w:gridCol w:w="450"/>
        <w:gridCol w:w="615"/>
        <w:gridCol w:w="630"/>
        <w:gridCol w:w="630"/>
        <w:gridCol w:w="660"/>
        <w:gridCol w:w="645"/>
        <w:gridCol w:w="675"/>
        <w:gridCol w:w="674"/>
        <w:gridCol w:w="674"/>
        <w:gridCol w:w="543"/>
        <w:gridCol w:w="674"/>
        <w:gridCol w:w="538"/>
        <w:gridCol w:w="675"/>
        <w:gridCol w:w="674"/>
        <w:gridCol w:w="489"/>
        <w:gridCol w:w="675"/>
        <w:gridCol w:w="508"/>
      </w:tblGrid>
      <w:tr>
        <w:tblPrEx>
          <w:tblCellMar>
            <w:top w:w="0" w:type="dxa"/>
            <w:left w:w="30" w:type="dxa"/>
            <w:bottom w:w="0" w:type="dxa"/>
            <w:right w:w="30" w:type="dxa"/>
          </w:tblCellMar>
        </w:tblPrEx>
        <w:trPr>
          <w:trHeight w:val="384" w:hRule="atLeast"/>
          <w:jc w:val="center"/>
        </w:trPr>
        <w:tc>
          <w:tcPr>
            <w:tcW w:w="14738" w:type="dxa"/>
            <w:gridSpan w:val="24"/>
            <w:tcBorders>
              <w:bottom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宋体" w:hAnsi="宋体" w:eastAsia="宋体"/>
                <w:b/>
                <w:kern w:val="0"/>
                <w:sz w:val="32"/>
                <w:szCs w:val="32"/>
                <w:highlight w:val="none"/>
              </w:rPr>
            </w:pPr>
            <w:r>
              <w:rPr>
                <w:rFonts w:hint="eastAsia" w:ascii="黑体" w:hAnsi="黑体" w:eastAsia="黑体" w:cs="黑体"/>
                <w:b w:val="0"/>
                <w:bCs/>
                <w:kern w:val="0"/>
                <w:sz w:val="32"/>
                <w:szCs w:val="32"/>
                <w:highlight w:val="none"/>
              </w:rPr>
              <w:t>项目预算执行情况表</w:t>
            </w:r>
          </w:p>
          <w:p>
            <w:pPr>
              <w:spacing w:line="360" w:lineRule="auto"/>
              <w:ind w:firstLine="0" w:firstLineChars="0"/>
              <w:rPr>
                <w:rFonts w:ascii="宋体" w:hAnsi="宋体" w:eastAsia="宋体"/>
                <w:kern w:val="0"/>
                <w:sz w:val="24"/>
                <w:szCs w:val="24"/>
                <w:highlight w:val="none"/>
              </w:rPr>
            </w:pPr>
            <w:r>
              <w:rPr>
                <w:rFonts w:hint="eastAsia" w:ascii="宋体" w:hAnsi="宋体" w:eastAsia="宋体"/>
                <w:kern w:val="0"/>
                <w:sz w:val="24"/>
                <w:szCs w:val="24"/>
                <w:highlight w:val="none"/>
              </w:rPr>
              <w:t xml:space="preserve">项目名称： 北京市政府网站集约化平台服务及运维                                             </w:t>
            </w:r>
            <w:r>
              <w:rPr>
                <w:rFonts w:hint="eastAsia" w:ascii="宋体" w:hAnsi="宋体" w:eastAsia="宋体"/>
                <w:kern w:val="0"/>
                <w:sz w:val="24"/>
                <w:szCs w:val="24"/>
                <w:highlight w:val="none"/>
                <w:lang w:val="en-US" w:eastAsia="zh-CN"/>
              </w:rPr>
              <w:t xml:space="preserve">   </w:t>
            </w:r>
            <w:r>
              <w:rPr>
                <w:rFonts w:hint="eastAsia" w:ascii="宋体" w:hAnsi="宋体" w:eastAsia="宋体"/>
                <w:kern w:val="0"/>
                <w:sz w:val="24"/>
                <w:szCs w:val="24"/>
                <w:highlight w:val="none"/>
              </w:rPr>
              <w:t>审核人：</w:t>
            </w:r>
            <w:r>
              <w:rPr>
                <w:rFonts w:hint="eastAsia" w:ascii="宋体" w:hAnsi="宋体" w:eastAsia="宋体"/>
                <w:kern w:val="0"/>
                <w:sz w:val="24"/>
                <w:szCs w:val="24"/>
                <w:highlight w:val="none"/>
                <w:lang w:val="en-US" w:eastAsia="zh-CN"/>
              </w:rPr>
              <w:t xml:space="preserve">  </w:t>
            </w:r>
            <w:r>
              <w:rPr>
                <w:rFonts w:hint="eastAsia" w:ascii="宋体" w:hAnsi="宋体" w:eastAsia="宋体"/>
                <w:kern w:val="0"/>
                <w:sz w:val="24"/>
                <w:szCs w:val="24"/>
                <w:highlight w:val="none"/>
              </w:rPr>
              <w:t xml:space="preserve">     </w:t>
            </w:r>
            <w:r>
              <w:rPr>
                <w:rFonts w:hint="eastAsia" w:ascii="宋体" w:hAnsi="宋体" w:eastAsia="宋体"/>
                <w:kern w:val="0"/>
                <w:sz w:val="24"/>
                <w:szCs w:val="24"/>
                <w:highlight w:val="none"/>
                <w:lang w:val="en-US" w:eastAsia="zh-CN"/>
              </w:rPr>
              <w:t xml:space="preserve">  </w:t>
            </w:r>
            <w:r>
              <w:rPr>
                <w:rFonts w:hint="eastAsia" w:ascii="宋体" w:hAnsi="宋体" w:eastAsia="宋体"/>
                <w:kern w:val="0"/>
                <w:sz w:val="24"/>
                <w:szCs w:val="24"/>
                <w:highlight w:val="none"/>
              </w:rPr>
              <w:t>单位：万元</w:t>
            </w:r>
          </w:p>
        </w:tc>
      </w:tr>
      <w:tr>
        <w:tblPrEx>
          <w:tblCellMar>
            <w:top w:w="0" w:type="dxa"/>
            <w:left w:w="30" w:type="dxa"/>
            <w:bottom w:w="0" w:type="dxa"/>
            <w:right w:w="30" w:type="dxa"/>
          </w:tblCellMar>
        </w:tblPrEx>
        <w:trPr>
          <w:trHeight w:val="413" w:hRule="atLeast"/>
          <w:jc w:val="center"/>
        </w:trPr>
        <w:tc>
          <w:tcPr>
            <w:tcW w:w="851" w:type="dxa"/>
            <w:vMerge w:val="restart"/>
            <w:tcBorders>
              <w:top w:val="single" w:color="auto" w:sz="6" w:space="0"/>
              <w:left w:val="single" w:color="auto" w:sz="6" w:space="0"/>
              <w:right w:val="nil"/>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项目</w:t>
            </w:r>
          </w:p>
        </w:tc>
        <w:tc>
          <w:tcPr>
            <w:tcW w:w="394" w:type="dxa"/>
            <w:vMerge w:val="restart"/>
            <w:tcBorders>
              <w:top w:val="single" w:color="auto" w:sz="6" w:space="0"/>
              <w:left w:val="nil"/>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1348" w:type="dxa"/>
            <w:gridSpan w:val="2"/>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预算批复</w:t>
            </w:r>
          </w:p>
        </w:tc>
        <w:tc>
          <w:tcPr>
            <w:tcW w:w="2166" w:type="dxa"/>
            <w:gridSpan w:val="4"/>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资金到位情况</w:t>
            </w:r>
          </w:p>
        </w:tc>
        <w:tc>
          <w:tcPr>
            <w:tcW w:w="6958" w:type="dxa"/>
            <w:gridSpan w:val="11"/>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预算执行情况</w:t>
            </w:r>
          </w:p>
        </w:tc>
        <w:tc>
          <w:tcPr>
            <w:tcW w:w="675" w:type="dxa"/>
            <w:vMerge w:val="restart"/>
            <w:tcBorders>
              <w:top w:val="single" w:color="auto" w:sz="6" w:space="0"/>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本年支出进度（%）</w:t>
            </w:r>
          </w:p>
        </w:tc>
        <w:tc>
          <w:tcPr>
            <w:tcW w:w="1163" w:type="dxa"/>
            <w:gridSpan w:val="2"/>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执行差额</w:t>
            </w:r>
          </w:p>
        </w:tc>
        <w:tc>
          <w:tcPr>
            <w:tcW w:w="675" w:type="dxa"/>
            <w:vMerge w:val="restart"/>
            <w:tcBorders>
              <w:top w:val="single" w:color="auto" w:sz="6" w:space="0"/>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资金超支率（%）</w:t>
            </w:r>
          </w:p>
        </w:tc>
        <w:tc>
          <w:tcPr>
            <w:tcW w:w="508" w:type="dxa"/>
            <w:vMerge w:val="restart"/>
            <w:tcBorders>
              <w:top w:val="single" w:color="auto" w:sz="6" w:space="0"/>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备注</w:t>
            </w:r>
          </w:p>
        </w:tc>
      </w:tr>
      <w:tr>
        <w:tblPrEx>
          <w:tblCellMar>
            <w:top w:w="0" w:type="dxa"/>
            <w:left w:w="30" w:type="dxa"/>
            <w:bottom w:w="0" w:type="dxa"/>
            <w:right w:w="30" w:type="dxa"/>
          </w:tblCellMar>
        </w:tblPrEx>
        <w:trPr>
          <w:trHeight w:val="262" w:hRule="atLeast"/>
          <w:jc w:val="center"/>
        </w:trPr>
        <w:tc>
          <w:tcPr>
            <w:tcW w:w="851" w:type="dxa"/>
            <w:vMerge w:val="continue"/>
            <w:tcBorders>
              <w:left w:val="single" w:color="auto" w:sz="6" w:space="0"/>
              <w:right w:val="nil"/>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394" w:type="dxa"/>
            <w:vMerge w:val="continue"/>
            <w:tcBorders>
              <w:left w:val="nil"/>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74" w:type="dxa"/>
            <w:vMerge w:val="restart"/>
            <w:tcBorders>
              <w:top w:val="single" w:color="auto" w:sz="6" w:space="0"/>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总预算</w:t>
            </w:r>
          </w:p>
        </w:tc>
        <w:tc>
          <w:tcPr>
            <w:tcW w:w="674" w:type="dxa"/>
            <w:vMerge w:val="restart"/>
            <w:tcBorders>
              <w:top w:val="single" w:color="auto" w:sz="6" w:space="0"/>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其中：财政拨款</w:t>
            </w:r>
          </w:p>
        </w:tc>
        <w:tc>
          <w:tcPr>
            <w:tcW w:w="606" w:type="dxa"/>
            <w:vMerge w:val="restart"/>
            <w:tcBorders>
              <w:top w:val="single" w:color="auto" w:sz="6" w:space="0"/>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合计</w:t>
            </w:r>
          </w:p>
        </w:tc>
        <w:tc>
          <w:tcPr>
            <w:tcW w:w="615" w:type="dxa"/>
            <w:vMerge w:val="restart"/>
            <w:tcBorders>
              <w:top w:val="single" w:color="auto" w:sz="6" w:space="0"/>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第一、二季度</w:t>
            </w:r>
          </w:p>
        </w:tc>
        <w:tc>
          <w:tcPr>
            <w:tcW w:w="495" w:type="dxa"/>
            <w:vMerge w:val="restart"/>
            <w:tcBorders>
              <w:top w:val="single" w:color="auto" w:sz="6" w:space="0"/>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第三季度</w:t>
            </w:r>
          </w:p>
        </w:tc>
        <w:tc>
          <w:tcPr>
            <w:tcW w:w="450" w:type="dxa"/>
            <w:vMerge w:val="restart"/>
            <w:tcBorders>
              <w:top w:val="single" w:color="auto" w:sz="6" w:space="0"/>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第四季度</w:t>
            </w:r>
          </w:p>
        </w:tc>
        <w:tc>
          <w:tcPr>
            <w:tcW w:w="615" w:type="dxa"/>
            <w:vMerge w:val="restart"/>
            <w:tcBorders>
              <w:top w:val="single" w:color="auto" w:sz="6" w:space="0"/>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合计</w:t>
            </w:r>
          </w:p>
        </w:tc>
        <w:tc>
          <w:tcPr>
            <w:tcW w:w="4588" w:type="dxa"/>
            <w:gridSpan w:val="7"/>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本年支出</w:t>
            </w:r>
          </w:p>
        </w:tc>
        <w:tc>
          <w:tcPr>
            <w:tcW w:w="1755" w:type="dxa"/>
            <w:gridSpan w:val="3"/>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跨年支出</w:t>
            </w:r>
          </w:p>
        </w:tc>
        <w:tc>
          <w:tcPr>
            <w:tcW w:w="675" w:type="dxa"/>
            <w:vMerge w:val="continue"/>
            <w:tcBorders>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74" w:type="dxa"/>
            <w:vMerge w:val="restart"/>
            <w:tcBorders>
              <w:top w:val="single" w:color="auto" w:sz="6" w:space="0"/>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执行差额数</w:t>
            </w:r>
          </w:p>
        </w:tc>
        <w:tc>
          <w:tcPr>
            <w:tcW w:w="489" w:type="dxa"/>
            <w:vMerge w:val="restart"/>
            <w:tcBorders>
              <w:top w:val="single" w:color="auto" w:sz="6" w:space="0"/>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差额原因</w:t>
            </w:r>
          </w:p>
        </w:tc>
        <w:tc>
          <w:tcPr>
            <w:tcW w:w="675" w:type="dxa"/>
            <w:vMerge w:val="continue"/>
            <w:tcBorders>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508" w:type="dxa"/>
            <w:vMerge w:val="continue"/>
            <w:tcBorders>
              <w:left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r>
      <w:tr>
        <w:tblPrEx>
          <w:tblCellMar>
            <w:top w:w="0" w:type="dxa"/>
            <w:left w:w="30" w:type="dxa"/>
            <w:bottom w:w="0" w:type="dxa"/>
            <w:right w:w="30" w:type="dxa"/>
          </w:tblCellMar>
        </w:tblPrEx>
        <w:trPr>
          <w:trHeight w:val="708" w:hRule="atLeast"/>
          <w:jc w:val="center"/>
        </w:trPr>
        <w:tc>
          <w:tcPr>
            <w:tcW w:w="851" w:type="dxa"/>
            <w:vMerge w:val="continue"/>
            <w:tcBorders>
              <w:left w:val="single" w:color="auto" w:sz="6" w:space="0"/>
              <w:right w:val="nil"/>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394" w:type="dxa"/>
            <w:vMerge w:val="continue"/>
            <w:tcBorders>
              <w:left w:val="nil"/>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74" w:type="dxa"/>
            <w:vMerge w:val="continue"/>
            <w:tcBorders>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74" w:type="dxa"/>
            <w:vMerge w:val="continue"/>
            <w:tcBorders>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06" w:type="dxa"/>
            <w:vMerge w:val="continue"/>
            <w:tcBorders>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15" w:type="dxa"/>
            <w:vMerge w:val="continue"/>
            <w:tcBorders>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495" w:type="dxa"/>
            <w:vMerge w:val="continue"/>
            <w:tcBorders>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450" w:type="dxa"/>
            <w:vMerge w:val="continue"/>
            <w:tcBorders>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15" w:type="dxa"/>
            <w:vMerge w:val="continue"/>
            <w:tcBorders>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3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小计</w:t>
            </w:r>
          </w:p>
        </w:tc>
        <w:tc>
          <w:tcPr>
            <w:tcW w:w="63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第一、二季度</w:t>
            </w:r>
          </w:p>
        </w:tc>
        <w:tc>
          <w:tcPr>
            <w:tcW w:w="66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其中：财政拨款</w:t>
            </w:r>
          </w:p>
        </w:tc>
        <w:tc>
          <w:tcPr>
            <w:tcW w:w="64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第三季度</w:t>
            </w:r>
          </w:p>
        </w:tc>
        <w:tc>
          <w:tcPr>
            <w:tcW w:w="67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其中：财政拨款</w:t>
            </w: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第四季度</w:t>
            </w: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其中：财政拨款</w:t>
            </w:r>
          </w:p>
        </w:tc>
        <w:tc>
          <w:tcPr>
            <w:tcW w:w="543"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金额</w:t>
            </w: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其中：财政拨款</w:t>
            </w:r>
          </w:p>
        </w:tc>
        <w:tc>
          <w:tcPr>
            <w:tcW w:w="53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时间</w:t>
            </w:r>
          </w:p>
        </w:tc>
        <w:tc>
          <w:tcPr>
            <w:tcW w:w="675" w:type="dxa"/>
            <w:vMerge w:val="continue"/>
            <w:tcBorders>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74" w:type="dxa"/>
            <w:vMerge w:val="continue"/>
            <w:tcBorders>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489" w:type="dxa"/>
            <w:vMerge w:val="continue"/>
            <w:tcBorders>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75" w:type="dxa"/>
            <w:vMerge w:val="continue"/>
            <w:tcBorders>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508" w:type="dxa"/>
            <w:vMerge w:val="continue"/>
            <w:tcBorders>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r>
      <w:tr>
        <w:tblPrEx>
          <w:tblCellMar>
            <w:top w:w="0" w:type="dxa"/>
            <w:left w:w="30" w:type="dxa"/>
            <w:bottom w:w="0" w:type="dxa"/>
            <w:right w:w="30" w:type="dxa"/>
          </w:tblCellMar>
        </w:tblPrEx>
        <w:trPr>
          <w:trHeight w:val="402" w:hRule="atLeast"/>
          <w:jc w:val="center"/>
        </w:trPr>
        <w:tc>
          <w:tcPr>
            <w:tcW w:w="851" w:type="dxa"/>
            <w:vMerge w:val="continue"/>
            <w:tcBorders>
              <w:left w:val="single" w:color="auto" w:sz="6" w:space="0"/>
              <w:bottom w:val="single" w:color="auto" w:sz="6" w:space="0"/>
              <w:right w:val="nil"/>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394" w:type="dxa"/>
            <w:vMerge w:val="continue"/>
            <w:tcBorders>
              <w:left w:val="nil"/>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1</w:t>
            </w: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2</w:t>
            </w:r>
          </w:p>
        </w:tc>
        <w:tc>
          <w:tcPr>
            <w:tcW w:w="60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3</w:t>
            </w:r>
          </w:p>
        </w:tc>
        <w:tc>
          <w:tcPr>
            <w:tcW w:w="61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4</w:t>
            </w:r>
          </w:p>
        </w:tc>
        <w:tc>
          <w:tcPr>
            <w:tcW w:w="49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5</w:t>
            </w:r>
          </w:p>
        </w:tc>
        <w:tc>
          <w:tcPr>
            <w:tcW w:w="45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6</w:t>
            </w:r>
          </w:p>
        </w:tc>
        <w:tc>
          <w:tcPr>
            <w:tcW w:w="61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7</w:t>
            </w:r>
          </w:p>
        </w:tc>
        <w:tc>
          <w:tcPr>
            <w:tcW w:w="63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8</w:t>
            </w:r>
          </w:p>
        </w:tc>
        <w:tc>
          <w:tcPr>
            <w:tcW w:w="63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9</w:t>
            </w:r>
          </w:p>
        </w:tc>
        <w:tc>
          <w:tcPr>
            <w:tcW w:w="66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10</w:t>
            </w:r>
          </w:p>
        </w:tc>
        <w:tc>
          <w:tcPr>
            <w:tcW w:w="64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11</w:t>
            </w:r>
          </w:p>
        </w:tc>
        <w:tc>
          <w:tcPr>
            <w:tcW w:w="67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12</w:t>
            </w: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13</w:t>
            </w: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14</w:t>
            </w:r>
          </w:p>
        </w:tc>
        <w:tc>
          <w:tcPr>
            <w:tcW w:w="543"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15</w:t>
            </w: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16</w:t>
            </w:r>
          </w:p>
        </w:tc>
        <w:tc>
          <w:tcPr>
            <w:tcW w:w="53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17</w:t>
            </w:r>
          </w:p>
        </w:tc>
        <w:tc>
          <w:tcPr>
            <w:tcW w:w="67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18</w:t>
            </w: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19</w:t>
            </w:r>
          </w:p>
        </w:tc>
        <w:tc>
          <w:tcPr>
            <w:tcW w:w="48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20</w:t>
            </w:r>
          </w:p>
        </w:tc>
        <w:tc>
          <w:tcPr>
            <w:tcW w:w="67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21</w:t>
            </w:r>
          </w:p>
        </w:tc>
        <w:tc>
          <w:tcPr>
            <w:tcW w:w="50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22</w:t>
            </w:r>
          </w:p>
        </w:tc>
      </w:tr>
      <w:tr>
        <w:tblPrEx>
          <w:tblCellMar>
            <w:top w:w="0" w:type="dxa"/>
            <w:left w:w="30" w:type="dxa"/>
            <w:bottom w:w="0" w:type="dxa"/>
            <w:right w:w="30" w:type="dxa"/>
          </w:tblCellMar>
        </w:tblPrEx>
        <w:trPr>
          <w:trHeight w:val="408" w:hRule="atLeast"/>
          <w:jc w:val="center"/>
        </w:trPr>
        <w:tc>
          <w:tcPr>
            <w:tcW w:w="85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合计</w:t>
            </w:r>
          </w:p>
        </w:tc>
        <w:tc>
          <w:tcPr>
            <w:tcW w:w="39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rPr>
              <w:t>1</w:t>
            </w: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3,037.00</w:t>
            </w: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3,037.00</w:t>
            </w:r>
          </w:p>
        </w:tc>
        <w:tc>
          <w:tcPr>
            <w:tcW w:w="60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3,037.00</w:t>
            </w:r>
          </w:p>
        </w:tc>
        <w:tc>
          <w:tcPr>
            <w:tcW w:w="61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3,037.00</w:t>
            </w:r>
          </w:p>
        </w:tc>
        <w:tc>
          <w:tcPr>
            <w:tcW w:w="49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45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1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3,037.00</w:t>
            </w:r>
          </w:p>
        </w:tc>
        <w:tc>
          <w:tcPr>
            <w:tcW w:w="63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3,037.00</w:t>
            </w:r>
          </w:p>
        </w:tc>
        <w:tc>
          <w:tcPr>
            <w:tcW w:w="63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2,125.90</w:t>
            </w:r>
          </w:p>
        </w:tc>
        <w:tc>
          <w:tcPr>
            <w:tcW w:w="66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2,125.90</w:t>
            </w:r>
          </w:p>
        </w:tc>
        <w:tc>
          <w:tcPr>
            <w:tcW w:w="64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759.25</w:t>
            </w:r>
          </w:p>
        </w:tc>
        <w:tc>
          <w:tcPr>
            <w:tcW w:w="67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759.25</w:t>
            </w: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151.85</w:t>
            </w: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151.85</w:t>
            </w:r>
          </w:p>
        </w:tc>
        <w:tc>
          <w:tcPr>
            <w:tcW w:w="543"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53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7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100%</w:t>
            </w:r>
          </w:p>
        </w:tc>
        <w:tc>
          <w:tcPr>
            <w:tcW w:w="67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0.00</w:t>
            </w:r>
          </w:p>
        </w:tc>
        <w:tc>
          <w:tcPr>
            <w:tcW w:w="48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c>
          <w:tcPr>
            <w:tcW w:w="67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r>
              <w:rPr>
                <w:rFonts w:hint="default" w:ascii="Times New Roman" w:hAnsi="Times New Roman" w:eastAsia="宋体" w:cs="Times New Roman"/>
                <w:color w:val="000000"/>
                <w:kern w:val="0"/>
                <w:sz w:val="18"/>
                <w:szCs w:val="18"/>
                <w:highlight w:val="none"/>
                <w:lang w:val="en-US" w:eastAsia="zh-CN"/>
              </w:rPr>
              <w:t>0.00</w:t>
            </w:r>
          </w:p>
        </w:tc>
        <w:tc>
          <w:tcPr>
            <w:tcW w:w="50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18"/>
                <w:szCs w:val="18"/>
                <w:highlight w:val="none"/>
              </w:rPr>
            </w:pPr>
          </w:p>
        </w:tc>
      </w:tr>
      <w:tr>
        <w:tblPrEx>
          <w:tblCellMar>
            <w:top w:w="0" w:type="dxa"/>
            <w:left w:w="30" w:type="dxa"/>
            <w:bottom w:w="0" w:type="dxa"/>
            <w:right w:w="30" w:type="dxa"/>
          </w:tblCellMar>
        </w:tblPrEx>
        <w:trPr>
          <w:trHeight w:val="1526" w:hRule="atLeast"/>
          <w:jc w:val="center"/>
        </w:trPr>
        <w:tc>
          <w:tcPr>
            <w:tcW w:w="14738" w:type="dxa"/>
            <w:gridSpan w:val="24"/>
            <w:tcBorders>
              <w:top w:val="single" w:color="auto" w:sz="6" w:space="0"/>
            </w:tcBorders>
            <w:vAlign w:val="top"/>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left"/>
              <w:textAlignment w:val="auto"/>
              <w:outlineLvl w:val="9"/>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注：1.此表按项目支出年度分项目进行填写；</w:t>
            </w:r>
          </w:p>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left"/>
              <w:textAlignment w:val="auto"/>
              <w:outlineLvl w:val="9"/>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 xml:space="preserve">    2.“跨年支出”是指个别特殊性项目，当年预算未执行完毕，在下一年度支出的预算资金，时间填列到最后一次支出的日期；</w:t>
            </w:r>
          </w:p>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left"/>
              <w:textAlignment w:val="auto"/>
              <w:outlineLvl w:val="9"/>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 xml:space="preserve">    3.执行差额数=预算执行-预算批复（19=7-1）；</w:t>
            </w:r>
          </w:p>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left"/>
              <w:textAlignment w:val="auto"/>
              <w:outlineLvl w:val="9"/>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 xml:space="preserve">    4.本年支出小计:8=9+11+13；预算执行合计:7=8+15；项目本年支出进度:18=8/1*100%；</w:t>
            </w:r>
          </w:p>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left"/>
              <w:textAlignment w:val="auto"/>
              <w:outlineLvl w:val="9"/>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 xml:space="preserve">    5.资金超支率:21=（7-1）/1*100%；</w:t>
            </w:r>
          </w:p>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left"/>
              <w:textAlignment w:val="auto"/>
              <w:outlineLvl w:val="9"/>
              <w:rPr>
                <w:rFonts w:hint="default" w:ascii="Times New Roman" w:hAnsi="Times New Roman" w:eastAsia="宋体" w:cs="Times New Roman"/>
                <w:color w:val="000000"/>
                <w:kern w:val="0"/>
                <w:sz w:val="20"/>
                <w:szCs w:val="20"/>
                <w:highlight w:val="none"/>
              </w:rPr>
            </w:pPr>
            <w:r>
              <w:rPr>
                <w:rFonts w:hint="default" w:ascii="Times New Roman" w:hAnsi="Times New Roman" w:eastAsia="宋体" w:cs="Times New Roman"/>
                <w:color w:val="000000"/>
                <w:kern w:val="0"/>
                <w:sz w:val="21"/>
                <w:szCs w:val="21"/>
                <w:highlight w:val="none"/>
              </w:rPr>
              <w:t xml:space="preserve">    6.表中数据以单位实际帐面数据为准，保留小数点后两位数字。</w:t>
            </w:r>
          </w:p>
        </w:tc>
      </w:tr>
    </w:tbl>
    <w:p>
      <w:pPr>
        <w:spacing w:line="560" w:lineRule="exact"/>
        <w:rPr>
          <w:rFonts w:hint="eastAsia" w:ascii="黑体" w:hAnsi="黑体" w:eastAsia="黑体" w:cs="黑体"/>
          <w:color w:val="000000"/>
          <w:sz w:val="32"/>
        </w:rPr>
        <w:sectPr>
          <w:pgSz w:w="16838" w:h="11906" w:orient="landscape"/>
          <w:pgMar w:top="1800" w:right="1440" w:bottom="1800" w:left="1440" w:header="851" w:footer="992" w:gutter="0"/>
          <w:pgNumType w:fmt="decimal"/>
          <w:cols w:space="425" w:num="1"/>
          <w:docGrid w:type="lines" w:linePitch="312" w:charSpace="0"/>
        </w:sectPr>
      </w:pPr>
    </w:p>
    <w:p>
      <w:pPr>
        <w:spacing w:line="560" w:lineRule="exact"/>
        <w:rPr>
          <w:rFonts w:hint="eastAsia" w:ascii="黑体" w:hAnsi="黑体" w:eastAsia="黑体" w:cs="黑体"/>
        </w:rPr>
      </w:pPr>
      <w:r>
        <w:rPr>
          <w:rFonts w:hint="eastAsia" w:ascii="黑体" w:hAnsi="黑体" w:eastAsia="黑体" w:cs="黑体"/>
          <w:color w:val="000000"/>
          <w:sz w:val="32"/>
        </w:rPr>
        <w:t>附件</w:t>
      </w:r>
      <w:r>
        <w:rPr>
          <w:rFonts w:hint="eastAsia" w:ascii="黑体" w:hAnsi="黑体" w:eastAsia="黑体" w:cs="黑体"/>
          <w:color w:val="000000"/>
          <w:sz w:val="32"/>
          <w:lang w:val="en-US" w:eastAsia="zh-CN"/>
        </w:rPr>
        <w:t>4</w:t>
      </w:r>
      <w:r>
        <w:rPr>
          <w:rFonts w:hint="eastAsia" w:ascii="黑体" w:hAnsi="黑体" w:eastAsia="黑体" w:cs="黑体"/>
          <w:color w:val="000000"/>
          <w:sz w:val="32"/>
        </w:rPr>
        <w:t>：</w:t>
      </w:r>
    </w:p>
    <w:tbl>
      <w:tblPr>
        <w:tblStyle w:val="17"/>
        <w:tblpPr w:leftFromText="180" w:rightFromText="180" w:vertAnchor="text" w:horzAnchor="page" w:tblpX="1085" w:tblpY="197"/>
        <w:tblOverlap w:val="never"/>
        <w:tblW w:w="9780" w:type="dxa"/>
        <w:tblInd w:w="0" w:type="dxa"/>
        <w:tblLayout w:type="fixed"/>
        <w:tblCellMar>
          <w:top w:w="0" w:type="dxa"/>
          <w:left w:w="30" w:type="dxa"/>
          <w:bottom w:w="0" w:type="dxa"/>
          <w:right w:w="30" w:type="dxa"/>
        </w:tblCellMar>
      </w:tblPr>
      <w:tblGrid>
        <w:gridCol w:w="597"/>
        <w:gridCol w:w="5499"/>
        <w:gridCol w:w="1598"/>
        <w:gridCol w:w="2086"/>
      </w:tblGrid>
      <w:tr>
        <w:tblPrEx>
          <w:tblCellMar>
            <w:top w:w="0" w:type="dxa"/>
            <w:left w:w="30" w:type="dxa"/>
            <w:bottom w:w="0" w:type="dxa"/>
            <w:right w:w="30" w:type="dxa"/>
          </w:tblCellMar>
        </w:tblPrEx>
        <w:trPr>
          <w:trHeight w:val="446" w:hRule="atLeast"/>
        </w:trPr>
        <w:tc>
          <w:tcPr>
            <w:tcW w:w="9780" w:type="dxa"/>
            <w:gridSpan w:val="4"/>
            <w:vAlign w:val="top"/>
          </w:tcPr>
          <w:p>
            <w:pPr>
              <w:autoSpaceDE w:val="0"/>
              <w:autoSpaceDN w:val="0"/>
              <w:adjustRightInd w:val="0"/>
              <w:spacing w:line="360" w:lineRule="auto"/>
              <w:ind w:firstLine="0" w:firstLineChars="0"/>
              <w:jc w:val="center"/>
              <w:rPr>
                <w:rFonts w:ascii="宋体" w:hAnsi="宋体" w:eastAsia="宋体"/>
                <w:b/>
                <w:bCs/>
                <w:color w:val="000000"/>
                <w:kern w:val="0"/>
                <w:sz w:val="32"/>
                <w:szCs w:val="32"/>
                <w:highlight w:val="none"/>
              </w:rPr>
            </w:pPr>
            <w:r>
              <w:rPr>
                <w:rFonts w:hint="eastAsia" w:ascii="黑体" w:hAnsi="黑体" w:eastAsia="黑体" w:cs="黑体"/>
                <w:b w:val="0"/>
                <w:bCs w:val="0"/>
                <w:kern w:val="0"/>
                <w:sz w:val="32"/>
                <w:szCs w:val="32"/>
                <w:highlight w:val="none"/>
              </w:rPr>
              <w:t>项目绩效目标完成情况及收支明细表</w:t>
            </w:r>
          </w:p>
        </w:tc>
      </w:tr>
      <w:tr>
        <w:tblPrEx>
          <w:tblCellMar>
            <w:top w:w="0" w:type="dxa"/>
            <w:left w:w="30" w:type="dxa"/>
            <w:bottom w:w="0" w:type="dxa"/>
            <w:right w:w="30" w:type="dxa"/>
          </w:tblCellMar>
        </w:tblPrEx>
        <w:trPr>
          <w:trHeight w:val="454" w:hRule="atLeast"/>
        </w:trPr>
        <w:tc>
          <w:tcPr>
            <w:tcW w:w="6096" w:type="dxa"/>
            <w:gridSpan w:val="2"/>
            <w:tcBorders>
              <w:bottom w:val="single" w:color="auto" w:sz="6" w:space="0"/>
            </w:tcBorders>
            <w:vAlign w:val="center"/>
          </w:tcPr>
          <w:p>
            <w:pPr>
              <w:autoSpaceDE w:val="0"/>
              <w:autoSpaceDN w:val="0"/>
              <w:adjustRightInd w:val="0"/>
              <w:spacing w:line="360" w:lineRule="auto"/>
              <w:ind w:firstLine="0" w:firstLineChars="0"/>
              <w:jc w:val="left"/>
              <w:rPr>
                <w:rFonts w:hint="eastAsia" w:ascii="宋体" w:hAnsi="宋体" w:eastAsia="宋体"/>
                <w:color w:val="000000"/>
                <w:kern w:val="0"/>
                <w:sz w:val="24"/>
                <w:szCs w:val="24"/>
                <w:highlight w:val="none"/>
                <w:lang w:val="en-US" w:eastAsia="zh-CN"/>
              </w:rPr>
            </w:pPr>
            <w:r>
              <w:rPr>
                <w:rFonts w:hint="eastAsia" w:ascii="宋体" w:hAnsi="宋体" w:eastAsia="宋体"/>
                <w:color w:val="000000"/>
                <w:kern w:val="0"/>
                <w:sz w:val="24"/>
                <w:szCs w:val="24"/>
                <w:highlight w:val="none"/>
              </w:rPr>
              <w:t>审核人：</w:t>
            </w:r>
          </w:p>
        </w:tc>
        <w:tc>
          <w:tcPr>
            <w:tcW w:w="1598" w:type="dxa"/>
            <w:tcBorders>
              <w:bottom w:val="single" w:color="auto" w:sz="6" w:space="0"/>
            </w:tcBorders>
            <w:vAlign w:val="center"/>
          </w:tcPr>
          <w:p>
            <w:pPr>
              <w:autoSpaceDE w:val="0"/>
              <w:autoSpaceDN w:val="0"/>
              <w:adjustRightInd w:val="0"/>
              <w:spacing w:line="360" w:lineRule="auto"/>
              <w:ind w:firstLine="0" w:firstLineChars="0"/>
              <w:jc w:val="center"/>
              <w:rPr>
                <w:rFonts w:ascii="宋体" w:eastAsia="宋体" w:cs="宋体"/>
                <w:color w:val="000000"/>
                <w:kern w:val="0"/>
                <w:sz w:val="24"/>
                <w:szCs w:val="24"/>
                <w:highlight w:val="none"/>
              </w:rPr>
            </w:pPr>
          </w:p>
        </w:tc>
        <w:tc>
          <w:tcPr>
            <w:tcW w:w="2086" w:type="dxa"/>
            <w:tcBorders>
              <w:bottom w:val="single" w:color="auto" w:sz="6" w:space="0"/>
            </w:tcBorders>
            <w:vAlign w:val="center"/>
          </w:tcPr>
          <w:p>
            <w:pPr>
              <w:autoSpaceDE w:val="0"/>
              <w:autoSpaceDN w:val="0"/>
              <w:adjustRightInd w:val="0"/>
              <w:spacing w:line="360" w:lineRule="auto"/>
              <w:ind w:firstLine="0" w:firstLineChars="0"/>
              <w:jc w:val="center"/>
              <w:rPr>
                <w:rFonts w:ascii="宋体" w:eastAsia="宋体" w:cs="宋体"/>
                <w:color w:val="000000"/>
                <w:kern w:val="0"/>
                <w:sz w:val="24"/>
                <w:szCs w:val="24"/>
                <w:highlight w:val="none"/>
              </w:rPr>
            </w:pPr>
            <w:r>
              <w:rPr>
                <w:rFonts w:hint="eastAsia" w:ascii="宋体" w:eastAsia="宋体" w:cs="宋体"/>
                <w:color w:val="000000"/>
                <w:kern w:val="0"/>
                <w:sz w:val="24"/>
                <w:szCs w:val="24"/>
                <w:highlight w:val="none"/>
              </w:rPr>
              <w:t>单位：万元</w:t>
            </w:r>
          </w:p>
        </w:tc>
      </w:tr>
      <w:tr>
        <w:tblPrEx>
          <w:tblCellMar>
            <w:top w:w="0" w:type="dxa"/>
            <w:left w:w="30" w:type="dxa"/>
            <w:bottom w:w="0" w:type="dxa"/>
            <w:right w:w="30" w:type="dxa"/>
          </w:tblCellMar>
        </w:tblPrEx>
        <w:trPr>
          <w:trHeight w:val="510" w:hRule="atLeast"/>
        </w:trPr>
        <w:tc>
          <w:tcPr>
            <w:tcW w:w="597" w:type="dxa"/>
            <w:vMerge w:val="restart"/>
            <w:tcBorders>
              <w:top w:val="single" w:color="auto" w:sz="6" w:space="0"/>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绩效目标完成情况</w:t>
            </w: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目标内容</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目标调整情况</w:t>
            </w:r>
          </w:p>
        </w:tc>
        <w:tc>
          <w:tcPr>
            <w:tcW w:w="208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实际完成情况</w:t>
            </w:r>
          </w:p>
        </w:tc>
      </w:tr>
      <w:tr>
        <w:tblPrEx>
          <w:tblCellMar>
            <w:top w:w="0" w:type="dxa"/>
            <w:left w:w="30" w:type="dxa"/>
            <w:bottom w:w="0" w:type="dxa"/>
            <w:right w:w="30" w:type="dxa"/>
          </w:tblCellMar>
        </w:tblPrEx>
        <w:trPr>
          <w:trHeight w:val="510" w:hRule="atLeast"/>
        </w:trPr>
        <w:tc>
          <w:tcPr>
            <w:tcW w:w="597" w:type="dxa"/>
            <w:vMerge w:val="continue"/>
            <w:tcBorders>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政务云服务租用399台云主机</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lang w:eastAsia="zh-CN"/>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highlight w:val="none"/>
                <w:u w:val="none"/>
                <w:lang w:val="en-US" w:eastAsia="zh-CN" w:bidi="ar"/>
              </w:rPr>
              <w:t>471台</w:t>
            </w:r>
          </w:p>
        </w:tc>
      </w:tr>
      <w:tr>
        <w:tblPrEx>
          <w:tblCellMar>
            <w:top w:w="0" w:type="dxa"/>
            <w:left w:w="30" w:type="dxa"/>
            <w:bottom w:w="0" w:type="dxa"/>
            <w:right w:w="30" w:type="dxa"/>
          </w:tblCellMar>
        </w:tblPrEx>
        <w:trPr>
          <w:trHeight w:val="510" w:hRule="atLeast"/>
        </w:trPr>
        <w:tc>
          <w:tcPr>
            <w:tcW w:w="597" w:type="dxa"/>
            <w:vMerge w:val="continue"/>
            <w:tcBorders>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集约化平台组件14个</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highlight w:val="none"/>
                <w:u w:val="none"/>
                <w:lang w:val="en-US" w:eastAsia="zh-CN" w:bidi="ar"/>
              </w:rPr>
              <w:t>14个</w:t>
            </w:r>
          </w:p>
        </w:tc>
      </w:tr>
      <w:tr>
        <w:tblPrEx>
          <w:tblCellMar>
            <w:top w:w="0" w:type="dxa"/>
            <w:left w:w="30" w:type="dxa"/>
            <w:bottom w:w="0" w:type="dxa"/>
            <w:right w:w="30" w:type="dxa"/>
          </w:tblCellMar>
        </w:tblPrEx>
        <w:trPr>
          <w:trHeight w:val="510" w:hRule="atLeast"/>
        </w:trPr>
        <w:tc>
          <w:tcPr>
            <w:tcW w:w="597" w:type="dxa"/>
            <w:vMerge w:val="continue"/>
            <w:tcBorders>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具备61个站点的建设运营支撑能力</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highlight w:val="none"/>
                <w:u w:val="none"/>
                <w:lang w:val="en-US" w:eastAsia="zh-CN" w:bidi="ar"/>
              </w:rPr>
              <w:t>61个</w:t>
            </w:r>
          </w:p>
        </w:tc>
      </w:tr>
      <w:tr>
        <w:tblPrEx>
          <w:tblCellMar>
            <w:top w:w="0" w:type="dxa"/>
            <w:left w:w="30" w:type="dxa"/>
            <w:bottom w:w="0" w:type="dxa"/>
            <w:right w:w="30" w:type="dxa"/>
          </w:tblCellMar>
        </w:tblPrEx>
        <w:trPr>
          <w:trHeight w:val="510" w:hRule="atLeast"/>
        </w:trPr>
        <w:tc>
          <w:tcPr>
            <w:tcW w:w="597" w:type="dxa"/>
            <w:vMerge w:val="continue"/>
            <w:tcBorders>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服务全年整体可用性≥99.9%</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100%</w:t>
            </w:r>
          </w:p>
        </w:tc>
      </w:tr>
      <w:tr>
        <w:tblPrEx>
          <w:tblCellMar>
            <w:top w:w="0" w:type="dxa"/>
            <w:left w:w="30" w:type="dxa"/>
            <w:bottom w:w="0" w:type="dxa"/>
            <w:right w:w="30" w:type="dxa"/>
          </w:tblCellMar>
        </w:tblPrEx>
        <w:trPr>
          <w:trHeight w:val="510" w:hRule="atLeast"/>
        </w:trPr>
        <w:tc>
          <w:tcPr>
            <w:tcW w:w="597" w:type="dxa"/>
            <w:vMerge w:val="continue"/>
            <w:tcBorders>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系统应急响应时间≤5分钟</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≤5分钟</w:t>
            </w:r>
          </w:p>
        </w:tc>
      </w:tr>
      <w:tr>
        <w:tblPrEx>
          <w:tblCellMar>
            <w:top w:w="0" w:type="dxa"/>
            <w:left w:w="30" w:type="dxa"/>
            <w:bottom w:w="0" w:type="dxa"/>
            <w:right w:w="30" w:type="dxa"/>
          </w:tblCellMar>
        </w:tblPrEx>
        <w:trPr>
          <w:trHeight w:val="510" w:hRule="atLeast"/>
        </w:trPr>
        <w:tc>
          <w:tcPr>
            <w:tcW w:w="597" w:type="dxa"/>
            <w:vMerge w:val="continue"/>
            <w:tcBorders>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系统故障修复响应时间≤4小时</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≤4小时</w:t>
            </w:r>
          </w:p>
        </w:tc>
      </w:tr>
      <w:tr>
        <w:tblPrEx>
          <w:tblCellMar>
            <w:top w:w="0" w:type="dxa"/>
            <w:left w:w="30" w:type="dxa"/>
            <w:bottom w:w="0" w:type="dxa"/>
            <w:right w:w="30" w:type="dxa"/>
          </w:tblCellMar>
        </w:tblPrEx>
        <w:trPr>
          <w:trHeight w:val="510" w:hRule="atLeast"/>
        </w:trPr>
        <w:tc>
          <w:tcPr>
            <w:tcW w:w="597" w:type="dxa"/>
            <w:vMerge w:val="continue"/>
            <w:tcBorders>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通过等保三级测评</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100%</w:t>
            </w:r>
          </w:p>
        </w:tc>
      </w:tr>
      <w:tr>
        <w:tblPrEx>
          <w:tblCellMar>
            <w:top w:w="0" w:type="dxa"/>
            <w:left w:w="30" w:type="dxa"/>
            <w:bottom w:w="0" w:type="dxa"/>
            <w:right w:w="30" w:type="dxa"/>
          </w:tblCellMar>
        </w:tblPrEx>
        <w:trPr>
          <w:trHeight w:val="510" w:hRule="atLeast"/>
        </w:trPr>
        <w:tc>
          <w:tcPr>
            <w:tcW w:w="597" w:type="dxa"/>
            <w:vMerge w:val="continue"/>
            <w:tcBorders>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运维保障团队提供7*24小时运维保障</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100%</w:t>
            </w:r>
          </w:p>
        </w:tc>
      </w:tr>
      <w:tr>
        <w:tblPrEx>
          <w:tblCellMar>
            <w:top w:w="0" w:type="dxa"/>
            <w:left w:w="30" w:type="dxa"/>
            <w:bottom w:w="0" w:type="dxa"/>
            <w:right w:w="30" w:type="dxa"/>
          </w:tblCellMar>
        </w:tblPrEx>
        <w:trPr>
          <w:trHeight w:val="510" w:hRule="atLeast"/>
        </w:trPr>
        <w:tc>
          <w:tcPr>
            <w:tcW w:w="597" w:type="dxa"/>
            <w:vMerge w:val="continue"/>
            <w:tcBorders>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招标时间：2021年5月底前</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2021年5月</w:t>
            </w:r>
          </w:p>
        </w:tc>
      </w:tr>
      <w:tr>
        <w:tblPrEx>
          <w:tblCellMar>
            <w:top w:w="0" w:type="dxa"/>
            <w:left w:w="30" w:type="dxa"/>
            <w:bottom w:w="0" w:type="dxa"/>
            <w:right w:w="30" w:type="dxa"/>
          </w:tblCellMar>
        </w:tblPrEx>
        <w:trPr>
          <w:trHeight w:val="510" w:hRule="atLeast"/>
        </w:trPr>
        <w:tc>
          <w:tcPr>
            <w:tcW w:w="597" w:type="dxa"/>
            <w:vMerge w:val="continue"/>
            <w:tcBorders>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采购到位时间：2021年6月底前</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2021年6月</w:t>
            </w:r>
          </w:p>
        </w:tc>
      </w:tr>
      <w:tr>
        <w:tblPrEx>
          <w:tblCellMar>
            <w:top w:w="0" w:type="dxa"/>
            <w:left w:w="30" w:type="dxa"/>
            <w:bottom w:w="0" w:type="dxa"/>
            <w:right w:w="30" w:type="dxa"/>
          </w:tblCellMar>
        </w:tblPrEx>
        <w:trPr>
          <w:trHeight w:val="510" w:hRule="atLeast"/>
        </w:trPr>
        <w:tc>
          <w:tcPr>
            <w:tcW w:w="597" w:type="dxa"/>
            <w:vMerge w:val="continue"/>
            <w:tcBorders>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2021年6月底前支付50%</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6月底前支付</w:t>
            </w:r>
            <w:r>
              <w:rPr>
                <w:rFonts w:hint="default" w:ascii="Times New Roman" w:hAnsi="Times New Roman" w:eastAsia="宋体" w:cs="Times New Roman"/>
                <w:i w:val="0"/>
                <w:color w:val="000000"/>
                <w:kern w:val="0"/>
                <w:sz w:val="21"/>
                <w:szCs w:val="21"/>
                <w:u w:val="none"/>
                <w:lang w:val="en-US" w:eastAsia="zh-CN" w:bidi="ar"/>
              </w:rPr>
              <w:t>70%</w:t>
            </w:r>
          </w:p>
        </w:tc>
      </w:tr>
      <w:tr>
        <w:tblPrEx>
          <w:tblCellMar>
            <w:top w:w="0" w:type="dxa"/>
            <w:left w:w="30" w:type="dxa"/>
            <w:bottom w:w="0" w:type="dxa"/>
            <w:right w:w="30" w:type="dxa"/>
          </w:tblCellMar>
        </w:tblPrEx>
        <w:trPr>
          <w:trHeight w:val="510" w:hRule="atLeast"/>
        </w:trPr>
        <w:tc>
          <w:tcPr>
            <w:tcW w:w="597" w:type="dxa"/>
            <w:vMerge w:val="continue"/>
            <w:tcBorders>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2021年12月31日前支付100%</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12月31日前支付</w:t>
            </w:r>
            <w:r>
              <w:rPr>
                <w:rFonts w:hint="default" w:ascii="Times New Roman" w:hAnsi="Times New Roman" w:eastAsia="宋体" w:cs="Times New Roman"/>
                <w:i w:val="0"/>
                <w:color w:val="000000"/>
                <w:kern w:val="0"/>
                <w:sz w:val="21"/>
                <w:szCs w:val="21"/>
                <w:u w:val="none"/>
                <w:lang w:val="en-US" w:eastAsia="zh-CN" w:bidi="ar"/>
              </w:rPr>
              <w:t>100%</w:t>
            </w:r>
          </w:p>
        </w:tc>
      </w:tr>
      <w:tr>
        <w:tblPrEx>
          <w:tblCellMar>
            <w:top w:w="0" w:type="dxa"/>
            <w:left w:w="30" w:type="dxa"/>
            <w:bottom w:w="0" w:type="dxa"/>
            <w:right w:w="30" w:type="dxa"/>
          </w:tblCellMar>
        </w:tblPrEx>
        <w:trPr>
          <w:trHeight w:val="510" w:hRule="atLeast"/>
        </w:trPr>
        <w:tc>
          <w:tcPr>
            <w:tcW w:w="597" w:type="dxa"/>
            <w:vMerge w:val="continue"/>
            <w:tcBorders>
              <w:left w:val="single" w:color="auto" w:sz="6"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项目总成本控制数3056.89万元</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lang w:eastAsia="zh-CN"/>
              </w:rPr>
            </w:pPr>
            <w:r>
              <w:rPr>
                <w:rFonts w:hint="default" w:ascii="Times New Roman" w:hAnsi="Times New Roman" w:eastAsia="宋体" w:cs="Times New Roman"/>
                <w:color w:val="000000"/>
                <w:kern w:val="0"/>
                <w:sz w:val="21"/>
                <w:szCs w:val="21"/>
                <w:highlight w:val="none"/>
                <w:lang w:eastAsia="zh-CN"/>
              </w:rPr>
              <w:t>有</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3037万元</w:t>
            </w:r>
          </w:p>
        </w:tc>
      </w:tr>
      <w:tr>
        <w:tblPrEx>
          <w:tblCellMar>
            <w:top w:w="0" w:type="dxa"/>
            <w:left w:w="30" w:type="dxa"/>
            <w:bottom w:w="0" w:type="dxa"/>
            <w:right w:w="30" w:type="dxa"/>
          </w:tblCellMar>
        </w:tblPrEx>
        <w:trPr>
          <w:trHeight w:val="4359" w:hRule="atLeast"/>
        </w:trPr>
        <w:tc>
          <w:tcPr>
            <w:tcW w:w="597" w:type="dxa"/>
            <w:vMerge w:val="continue"/>
            <w:tcBorders>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人员平均成本1.48万元/月</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本项目人员平均成本指标来自于项目财政评审审定的人员单价，在项目实施过程中，除业务运营部分服务为人员服务外，其他多为产品服务和技术运维服务，无法准确计算项目人员平均成本。下一步将完善优化指标设置，使指标设置更加合理</w:t>
            </w:r>
          </w:p>
        </w:tc>
      </w:tr>
      <w:tr>
        <w:tblPrEx>
          <w:tblCellMar>
            <w:top w:w="0" w:type="dxa"/>
            <w:left w:w="30" w:type="dxa"/>
            <w:bottom w:w="0" w:type="dxa"/>
            <w:right w:w="30" w:type="dxa"/>
          </w:tblCellMar>
        </w:tblPrEx>
        <w:trPr>
          <w:trHeight w:val="454" w:hRule="atLeast"/>
        </w:trPr>
        <w:tc>
          <w:tcPr>
            <w:tcW w:w="597" w:type="dxa"/>
            <w:vMerge w:val="continue"/>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全市政府网站技术服务集约化保障，各部门不再单独申请网站相关技术运维费用</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集约化服务，资源共享，避免重复投资。通过统筹采买全市政务云资源和共性应用组件，各部门不再单独申请网站相关技术运维费用,2021年全市政府网站总投入较2018年（政府网站集约化前）节省25.56%</w:t>
            </w:r>
          </w:p>
        </w:tc>
      </w:tr>
      <w:tr>
        <w:tblPrEx>
          <w:tblCellMar>
            <w:top w:w="0" w:type="dxa"/>
            <w:left w:w="30" w:type="dxa"/>
            <w:bottom w:w="0" w:type="dxa"/>
            <w:right w:w="30" w:type="dxa"/>
          </w:tblCellMar>
        </w:tblPrEx>
        <w:trPr>
          <w:trHeight w:val="454" w:hRule="atLeast"/>
        </w:trPr>
        <w:tc>
          <w:tcPr>
            <w:tcW w:w="597" w:type="dxa"/>
            <w:vMerge w:val="continue"/>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政府网站信息公开共享得到提升，数据共享率99%以上</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w:t>
            </w:r>
            <w:r>
              <w:rPr>
                <w:rStyle w:val="31"/>
                <w:rFonts w:hint="default" w:ascii="Times New Roman" w:hAnsi="Times New Roman" w:eastAsia="宋体" w:cs="Times New Roman"/>
                <w:sz w:val="21"/>
                <w:szCs w:val="21"/>
                <w:lang w:val="en-US" w:eastAsia="zh-CN" w:bidi="ar"/>
              </w:rPr>
              <w:t>99.5</w:t>
            </w:r>
          </w:p>
        </w:tc>
      </w:tr>
      <w:tr>
        <w:tblPrEx>
          <w:tblCellMar>
            <w:top w:w="0" w:type="dxa"/>
            <w:left w:w="30" w:type="dxa"/>
            <w:bottom w:w="0" w:type="dxa"/>
            <w:right w:w="30" w:type="dxa"/>
          </w:tblCellMar>
        </w:tblPrEx>
        <w:trPr>
          <w:trHeight w:val="454" w:hRule="atLeast"/>
        </w:trPr>
        <w:tc>
          <w:tcPr>
            <w:tcW w:w="597" w:type="dxa"/>
            <w:vMerge w:val="continue"/>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全年重大信息安全事故率0%</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0%</w:t>
            </w:r>
          </w:p>
        </w:tc>
      </w:tr>
      <w:tr>
        <w:tblPrEx>
          <w:tblCellMar>
            <w:top w:w="0" w:type="dxa"/>
            <w:left w:w="30" w:type="dxa"/>
            <w:bottom w:w="0" w:type="dxa"/>
            <w:right w:w="30" w:type="dxa"/>
          </w:tblCellMar>
        </w:tblPrEx>
        <w:trPr>
          <w:trHeight w:val="454" w:hRule="atLeast"/>
        </w:trPr>
        <w:tc>
          <w:tcPr>
            <w:tcW w:w="597" w:type="dxa"/>
            <w:vMerge w:val="continue"/>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“一网通查”、“一网通答”服务100%覆盖全市各政府部门网站</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100%</w:t>
            </w:r>
          </w:p>
        </w:tc>
      </w:tr>
      <w:tr>
        <w:tblPrEx>
          <w:tblCellMar>
            <w:top w:w="0" w:type="dxa"/>
            <w:left w:w="30" w:type="dxa"/>
            <w:bottom w:w="0" w:type="dxa"/>
            <w:right w:w="30" w:type="dxa"/>
          </w:tblCellMar>
        </w:tblPrEx>
        <w:trPr>
          <w:trHeight w:val="454" w:hRule="atLeast"/>
        </w:trPr>
        <w:tc>
          <w:tcPr>
            <w:tcW w:w="597" w:type="dxa"/>
            <w:vMerge w:val="continue"/>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以服务形式交付，确保长期持续正常使用</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自平台上线以来截至2021年底，平台各项功能持续正常使用</w:t>
            </w:r>
          </w:p>
        </w:tc>
      </w:tr>
      <w:tr>
        <w:tblPrEx>
          <w:tblCellMar>
            <w:top w:w="0" w:type="dxa"/>
            <w:left w:w="30" w:type="dxa"/>
            <w:bottom w:w="0" w:type="dxa"/>
            <w:right w:w="30" w:type="dxa"/>
          </w:tblCellMar>
        </w:tblPrEx>
        <w:trPr>
          <w:trHeight w:val="454" w:hRule="atLeast"/>
        </w:trPr>
        <w:tc>
          <w:tcPr>
            <w:tcW w:w="597" w:type="dxa"/>
            <w:vMerge w:val="continue"/>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left"/>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使用单位的满意度≥90%</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eastAsia="zh-CN"/>
              </w:rPr>
              <w:t>无</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0" w:firstLineChars="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u w:val="none"/>
                <w:lang w:val="en-US" w:eastAsia="zh-CN" w:bidi="ar"/>
              </w:rPr>
              <w:t>96.72%</w:t>
            </w:r>
          </w:p>
        </w:tc>
      </w:tr>
      <w:tr>
        <w:tblPrEx>
          <w:tblCellMar>
            <w:top w:w="0" w:type="dxa"/>
            <w:left w:w="30" w:type="dxa"/>
            <w:bottom w:w="0" w:type="dxa"/>
            <w:right w:w="30" w:type="dxa"/>
          </w:tblCellMar>
        </w:tblPrEx>
        <w:trPr>
          <w:trHeight w:val="454" w:hRule="atLeast"/>
        </w:trPr>
        <w:tc>
          <w:tcPr>
            <w:tcW w:w="597" w:type="dxa"/>
            <w:vMerge w:val="restart"/>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资金到位情况</w:t>
            </w: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项目资金</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预算批复数</w:t>
            </w:r>
          </w:p>
        </w:tc>
        <w:tc>
          <w:tcPr>
            <w:tcW w:w="208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资金到位数</w:t>
            </w:r>
          </w:p>
        </w:tc>
      </w:tr>
      <w:tr>
        <w:tblPrEx>
          <w:tblCellMar>
            <w:top w:w="0" w:type="dxa"/>
            <w:left w:w="30" w:type="dxa"/>
            <w:bottom w:w="0" w:type="dxa"/>
            <w:right w:w="30" w:type="dxa"/>
          </w:tblCellMar>
        </w:tblPrEx>
        <w:trPr>
          <w:trHeight w:val="454" w:hRule="atLeast"/>
        </w:trPr>
        <w:tc>
          <w:tcPr>
            <w:tcW w:w="597" w:type="dxa"/>
            <w:vMerge w:val="continue"/>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highlight w:val="none"/>
                <w:u w:val="none"/>
                <w:lang w:val="en-US" w:eastAsia="zh-CN" w:bidi="ar"/>
              </w:rPr>
              <w:t>政府网站集约化技术平台建设运维</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val="en-US" w:eastAsia="zh-CN"/>
              </w:rPr>
              <w:t>3,037.00</w:t>
            </w:r>
          </w:p>
        </w:tc>
        <w:tc>
          <w:tcPr>
            <w:tcW w:w="208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val="en-US" w:eastAsia="zh-CN"/>
              </w:rPr>
              <w:t>3,037.00</w:t>
            </w:r>
          </w:p>
        </w:tc>
      </w:tr>
      <w:tr>
        <w:tblPrEx>
          <w:tblCellMar>
            <w:top w:w="0" w:type="dxa"/>
            <w:left w:w="30" w:type="dxa"/>
            <w:bottom w:w="0" w:type="dxa"/>
            <w:right w:w="30" w:type="dxa"/>
          </w:tblCellMar>
        </w:tblPrEx>
        <w:trPr>
          <w:trHeight w:val="454" w:hRule="atLeast"/>
        </w:trPr>
        <w:tc>
          <w:tcPr>
            <w:tcW w:w="597" w:type="dxa"/>
            <w:vMerge w:val="continue"/>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合    计</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val="en-US" w:eastAsia="zh-CN"/>
              </w:rPr>
              <w:t>3,037.00</w:t>
            </w:r>
          </w:p>
        </w:tc>
        <w:tc>
          <w:tcPr>
            <w:tcW w:w="208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val="en-US" w:eastAsia="zh-CN"/>
              </w:rPr>
              <w:t>3,037.00</w:t>
            </w:r>
          </w:p>
        </w:tc>
      </w:tr>
      <w:tr>
        <w:tblPrEx>
          <w:tblCellMar>
            <w:top w:w="0" w:type="dxa"/>
            <w:left w:w="30" w:type="dxa"/>
            <w:bottom w:w="0" w:type="dxa"/>
            <w:right w:w="30" w:type="dxa"/>
          </w:tblCellMar>
        </w:tblPrEx>
        <w:trPr>
          <w:trHeight w:val="454" w:hRule="atLeast"/>
        </w:trPr>
        <w:tc>
          <w:tcPr>
            <w:tcW w:w="597" w:type="dxa"/>
            <w:vMerge w:val="restart"/>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资金支出情况</w:t>
            </w: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项目预算支出明细</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预算批复数</w:t>
            </w:r>
          </w:p>
        </w:tc>
        <w:tc>
          <w:tcPr>
            <w:tcW w:w="208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实际支出数</w:t>
            </w:r>
          </w:p>
        </w:tc>
      </w:tr>
      <w:tr>
        <w:tblPrEx>
          <w:tblCellMar>
            <w:top w:w="0" w:type="dxa"/>
            <w:left w:w="30" w:type="dxa"/>
            <w:bottom w:w="0" w:type="dxa"/>
            <w:right w:w="30" w:type="dxa"/>
          </w:tblCellMar>
        </w:tblPrEx>
        <w:trPr>
          <w:trHeight w:val="454" w:hRule="atLeast"/>
        </w:trPr>
        <w:tc>
          <w:tcPr>
            <w:tcW w:w="597" w:type="dxa"/>
            <w:vMerge w:val="continue"/>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highlight w:val="none"/>
                <w:u w:val="none"/>
                <w:lang w:val="en-US" w:eastAsia="zh-CN" w:bidi="ar"/>
              </w:rPr>
              <w:t>政府网站集约化平台政务云服务租用</w:t>
            </w:r>
          </w:p>
        </w:tc>
        <w:tc>
          <w:tcPr>
            <w:tcW w:w="1598"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420" w:firstLineChars="200"/>
              <w:jc w:val="center"/>
              <w:textAlignment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i w:val="0"/>
                <w:color w:val="auto"/>
                <w:kern w:val="0"/>
                <w:sz w:val="21"/>
                <w:szCs w:val="21"/>
                <w:highlight w:val="none"/>
                <w:u w:val="none"/>
                <w:lang w:val="en-US" w:eastAsia="zh-CN" w:bidi="ar"/>
              </w:rPr>
              <w:t>1,382.87</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420" w:firstLineChars="200"/>
              <w:jc w:val="center"/>
              <w:textAlignment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i w:val="0"/>
                <w:color w:val="auto"/>
                <w:kern w:val="0"/>
                <w:sz w:val="21"/>
                <w:szCs w:val="21"/>
                <w:highlight w:val="none"/>
                <w:u w:val="none"/>
                <w:lang w:val="en-US" w:eastAsia="zh-CN" w:bidi="ar"/>
              </w:rPr>
              <w:t>1,382.87</w:t>
            </w:r>
          </w:p>
        </w:tc>
      </w:tr>
      <w:tr>
        <w:tblPrEx>
          <w:tblCellMar>
            <w:top w:w="0" w:type="dxa"/>
            <w:left w:w="30" w:type="dxa"/>
            <w:bottom w:w="0" w:type="dxa"/>
            <w:right w:w="30" w:type="dxa"/>
          </w:tblCellMar>
        </w:tblPrEx>
        <w:trPr>
          <w:trHeight w:val="454" w:hRule="atLeast"/>
        </w:trPr>
        <w:tc>
          <w:tcPr>
            <w:tcW w:w="597" w:type="dxa"/>
            <w:vMerge w:val="continue"/>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highlight w:val="none"/>
                <w:u w:val="none"/>
                <w:lang w:val="en-US" w:eastAsia="zh-CN" w:bidi="ar"/>
              </w:rPr>
              <w:t>政府网站集约化平台安全接入及运维</w:t>
            </w:r>
          </w:p>
        </w:tc>
        <w:tc>
          <w:tcPr>
            <w:tcW w:w="1598"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420" w:firstLineChars="200"/>
              <w:jc w:val="center"/>
              <w:textAlignment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i w:val="0"/>
                <w:color w:val="auto"/>
                <w:kern w:val="0"/>
                <w:sz w:val="21"/>
                <w:szCs w:val="21"/>
                <w:highlight w:val="none"/>
                <w:u w:val="none"/>
                <w:lang w:val="en-US" w:eastAsia="zh-CN" w:bidi="ar"/>
              </w:rPr>
              <w:t>336.2</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420" w:firstLineChars="200"/>
              <w:jc w:val="center"/>
              <w:textAlignment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i w:val="0"/>
                <w:color w:val="auto"/>
                <w:kern w:val="0"/>
                <w:sz w:val="21"/>
                <w:szCs w:val="21"/>
                <w:highlight w:val="none"/>
                <w:u w:val="none"/>
                <w:lang w:val="en-US" w:eastAsia="zh-CN" w:bidi="ar"/>
              </w:rPr>
              <w:t>336.2</w:t>
            </w:r>
          </w:p>
        </w:tc>
      </w:tr>
      <w:tr>
        <w:tblPrEx>
          <w:tblCellMar>
            <w:top w:w="0" w:type="dxa"/>
            <w:left w:w="30" w:type="dxa"/>
            <w:bottom w:w="0" w:type="dxa"/>
            <w:right w:w="30" w:type="dxa"/>
          </w:tblCellMar>
        </w:tblPrEx>
        <w:trPr>
          <w:trHeight w:val="454" w:hRule="atLeast"/>
        </w:trPr>
        <w:tc>
          <w:tcPr>
            <w:tcW w:w="597" w:type="dxa"/>
            <w:vMerge w:val="continue"/>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highlight w:val="none"/>
                <w:u w:val="none"/>
                <w:lang w:val="en-US" w:eastAsia="zh-CN" w:bidi="ar"/>
              </w:rPr>
              <w:t>政府网站集约化平台业务运维</w:t>
            </w:r>
          </w:p>
        </w:tc>
        <w:tc>
          <w:tcPr>
            <w:tcW w:w="1598"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420" w:firstLineChars="200"/>
              <w:jc w:val="center"/>
              <w:textAlignment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i w:val="0"/>
                <w:color w:val="auto"/>
                <w:kern w:val="0"/>
                <w:sz w:val="21"/>
                <w:szCs w:val="21"/>
                <w:highlight w:val="none"/>
                <w:u w:val="none"/>
                <w:lang w:val="en-US" w:eastAsia="zh-CN" w:bidi="ar"/>
              </w:rPr>
              <w:t>671.8</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420" w:firstLineChars="200"/>
              <w:jc w:val="center"/>
              <w:textAlignment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i w:val="0"/>
                <w:color w:val="auto"/>
                <w:kern w:val="0"/>
                <w:sz w:val="21"/>
                <w:szCs w:val="21"/>
                <w:highlight w:val="none"/>
                <w:u w:val="none"/>
                <w:lang w:val="en-US" w:eastAsia="zh-CN" w:bidi="ar"/>
              </w:rPr>
              <w:t>671.8</w:t>
            </w:r>
          </w:p>
        </w:tc>
      </w:tr>
      <w:tr>
        <w:tblPrEx>
          <w:tblCellMar>
            <w:top w:w="0" w:type="dxa"/>
            <w:left w:w="30" w:type="dxa"/>
            <w:bottom w:w="0" w:type="dxa"/>
            <w:right w:w="30" w:type="dxa"/>
          </w:tblCellMar>
        </w:tblPrEx>
        <w:trPr>
          <w:trHeight w:val="454" w:hRule="atLeast"/>
        </w:trPr>
        <w:tc>
          <w:tcPr>
            <w:tcW w:w="597" w:type="dxa"/>
            <w:vMerge w:val="continue"/>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420" w:firstLineChars="200"/>
              <w:jc w:val="left"/>
              <w:textAlignment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i w:val="0"/>
                <w:color w:val="000000"/>
                <w:kern w:val="0"/>
                <w:sz w:val="21"/>
                <w:szCs w:val="21"/>
                <w:highlight w:val="none"/>
                <w:u w:val="none"/>
                <w:lang w:val="en-US" w:eastAsia="zh-CN" w:bidi="ar"/>
              </w:rPr>
              <w:t>政府网站集约化平台应用系统运维</w:t>
            </w:r>
          </w:p>
        </w:tc>
        <w:tc>
          <w:tcPr>
            <w:tcW w:w="1598"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420" w:firstLineChars="200"/>
              <w:jc w:val="center"/>
              <w:textAlignment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i w:val="0"/>
                <w:color w:val="auto"/>
                <w:kern w:val="0"/>
                <w:sz w:val="21"/>
                <w:szCs w:val="21"/>
                <w:highlight w:val="none"/>
                <w:u w:val="none"/>
                <w:lang w:val="en-US" w:eastAsia="zh-CN" w:bidi="ar"/>
              </w:rPr>
              <w:t>646.13</w:t>
            </w:r>
          </w:p>
        </w:tc>
        <w:tc>
          <w:tcPr>
            <w:tcW w:w="2086"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ind w:firstLine="420" w:firstLineChars="200"/>
              <w:jc w:val="center"/>
              <w:textAlignment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i w:val="0"/>
                <w:color w:val="auto"/>
                <w:kern w:val="0"/>
                <w:sz w:val="21"/>
                <w:szCs w:val="21"/>
                <w:highlight w:val="none"/>
                <w:u w:val="none"/>
                <w:lang w:val="en-US" w:eastAsia="zh-CN" w:bidi="ar"/>
              </w:rPr>
              <w:t>646.13</w:t>
            </w:r>
          </w:p>
        </w:tc>
      </w:tr>
      <w:tr>
        <w:tblPrEx>
          <w:tblCellMar>
            <w:top w:w="0" w:type="dxa"/>
            <w:left w:w="30" w:type="dxa"/>
            <w:bottom w:w="0" w:type="dxa"/>
            <w:right w:w="30" w:type="dxa"/>
          </w:tblCellMar>
        </w:tblPrEx>
        <w:trPr>
          <w:trHeight w:val="454" w:hRule="atLeast"/>
        </w:trPr>
        <w:tc>
          <w:tcPr>
            <w:tcW w:w="597" w:type="dxa"/>
            <w:vMerge w:val="continue"/>
            <w:tcBorders>
              <w:top w:val="single" w:color="auto" w:sz="4" w:space="0"/>
              <w:left w:val="single" w:color="auto" w:sz="6" w:space="0"/>
              <w:bottom w:val="single" w:color="auto" w:sz="4" w:space="0"/>
              <w:right w:val="single" w:color="auto" w:sz="6" w:space="0"/>
            </w:tcBorders>
            <w:shd w:val="solid" w:color="FFFFFF" w:fill="auto"/>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p>
        </w:tc>
        <w:tc>
          <w:tcPr>
            <w:tcW w:w="5499"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合计</w:t>
            </w:r>
          </w:p>
        </w:tc>
        <w:tc>
          <w:tcPr>
            <w:tcW w:w="159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val="en-US" w:eastAsia="zh-CN"/>
              </w:rPr>
              <w:t>3,037.00</w:t>
            </w:r>
          </w:p>
        </w:tc>
        <w:tc>
          <w:tcPr>
            <w:tcW w:w="208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ind w:firstLine="0" w:firstLineChars="0"/>
              <w:jc w:val="center"/>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lang w:val="en-US" w:eastAsia="zh-CN"/>
              </w:rPr>
              <w:t>3,037.00</w:t>
            </w:r>
          </w:p>
        </w:tc>
      </w:tr>
      <w:tr>
        <w:tblPrEx>
          <w:tblCellMar>
            <w:top w:w="0" w:type="dxa"/>
            <w:left w:w="30" w:type="dxa"/>
            <w:bottom w:w="0" w:type="dxa"/>
            <w:right w:w="30" w:type="dxa"/>
          </w:tblCellMar>
        </w:tblPrEx>
        <w:trPr>
          <w:trHeight w:val="1123" w:hRule="atLeast"/>
        </w:trPr>
        <w:tc>
          <w:tcPr>
            <w:tcW w:w="9780" w:type="dxa"/>
            <w:gridSpan w:val="4"/>
            <w:tcBorders>
              <w:top w:val="single" w:color="auto" w:sz="6" w:space="0"/>
            </w:tcBorders>
            <w:vAlign w:val="top"/>
          </w:tcPr>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left"/>
              <w:textAlignment w:val="auto"/>
              <w:outlineLvl w:val="9"/>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注：1.预算批复数为项目年度批复的预算数，包含年初批复和年中的追加/核减数；</w:t>
            </w:r>
          </w:p>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left"/>
              <w:textAlignment w:val="auto"/>
              <w:outlineLvl w:val="9"/>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 xml:space="preserve">    2.实际支出数是指对应项目明细的实际支出数。</w:t>
            </w:r>
          </w:p>
          <w:p>
            <w:pPr>
              <w:keepNext w:val="0"/>
              <w:keepLines w:val="0"/>
              <w:pageBreakBefore w:val="0"/>
              <w:widowControl w:val="0"/>
              <w:kinsoku/>
              <w:wordWrap/>
              <w:overflowPunct/>
              <w:topLinePunct w:val="0"/>
              <w:autoSpaceDE w:val="0"/>
              <w:autoSpaceDN w:val="0"/>
              <w:bidi w:val="0"/>
              <w:adjustRightInd w:val="0"/>
              <w:snapToGrid/>
              <w:spacing w:line="240" w:lineRule="auto"/>
              <w:ind w:firstLine="0" w:firstLineChars="0"/>
              <w:jc w:val="left"/>
              <w:textAlignment w:val="auto"/>
              <w:outlineLvl w:val="9"/>
              <w:rPr>
                <w:rFonts w:hint="default" w:ascii="Times New Roman" w:hAnsi="Times New Roman" w:eastAsia="宋体" w:cs="Times New Roman"/>
                <w:color w:val="000000"/>
                <w:kern w:val="0"/>
                <w:sz w:val="21"/>
                <w:szCs w:val="21"/>
                <w:highlight w:val="none"/>
              </w:rPr>
            </w:pPr>
            <w:r>
              <w:rPr>
                <w:rFonts w:hint="default" w:ascii="Times New Roman" w:hAnsi="Times New Roman" w:eastAsia="宋体" w:cs="Times New Roman"/>
                <w:color w:val="000000"/>
                <w:kern w:val="0"/>
                <w:sz w:val="21"/>
                <w:szCs w:val="21"/>
                <w:highlight w:val="none"/>
              </w:rPr>
              <w:t xml:space="preserve">    3.表中数据以单位实际帐面数据为准，保留小数点后两位数字。</w:t>
            </w:r>
          </w:p>
        </w:tc>
      </w:tr>
    </w:tbl>
    <w:p>
      <w:pPr>
        <w:pStyle w:val="2"/>
        <w:widowControl w:val="0"/>
        <w:spacing w:line="560" w:lineRule="exact"/>
        <w:jc w:val="left"/>
        <w:rPr>
          <w:rFonts w:hint="eastAsia" w:ascii="黑体" w:hAnsi="黑体" w:eastAsia="黑体" w:cs="黑体"/>
        </w:rPr>
      </w:pPr>
      <w:r>
        <w:rPr>
          <w:rFonts w:hint="eastAsia" w:ascii="黑体" w:hAnsi="黑体" w:eastAsia="黑体" w:cs="黑体"/>
        </w:rPr>
        <w:br w:type="page"/>
      </w:r>
    </w:p>
    <w:p>
      <w:pPr>
        <w:pStyle w:val="2"/>
        <w:widowControl w:val="0"/>
        <w:spacing w:line="560" w:lineRule="exact"/>
        <w:jc w:val="left"/>
        <w:rPr>
          <w:rFonts w:ascii="黑体" w:hAnsi="黑体" w:eastAsia="黑体" w:cs="黑体"/>
        </w:rPr>
      </w:pPr>
      <w:r>
        <w:rPr>
          <w:rFonts w:hint="eastAsia" w:ascii="黑体" w:hAnsi="黑体" w:eastAsia="黑体" w:cs="黑体"/>
        </w:rPr>
        <w:t>附件</w:t>
      </w:r>
      <w:r>
        <w:rPr>
          <w:rFonts w:hint="eastAsia" w:ascii="黑体" w:hAnsi="黑体" w:eastAsia="黑体" w:cs="黑体"/>
          <w:lang w:val="en-US" w:eastAsia="zh-CN"/>
        </w:rPr>
        <w:t>5</w:t>
      </w:r>
      <w:r>
        <w:rPr>
          <w:rFonts w:hint="eastAsia" w:ascii="黑体" w:hAnsi="黑体" w:eastAsia="黑体" w:cs="黑体"/>
        </w:rPr>
        <w:t>：</w:t>
      </w: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24145" cy="7647305"/>
            <wp:effectExtent l="0" t="0" r="14605" b="10795"/>
            <wp:docPr id="2" name="图片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
                    <pic:cNvPicPr>
                      <a:picLocks noChangeAspect="1"/>
                    </pic:cNvPicPr>
                  </pic:nvPicPr>
                  <pic:blipFill>
                    <a:blip r:embed="rId8"/>
                    <a:srcRect l="7769" t="4981" r="11383" b="11367"/>
                    <a:stretch>
                      <a:fillRect/>
                    </a:stretch>
                  </pic:blipFill>
                  <pic:spPr>
                    <a:xfrm>
                      <a:off x="0" y="0"/>
                      <a:ext cx="5224145" cy="7647305"/>
                    </a:xfrm>
                    <a:prstGeom prst="rect">
                      <a:avLst/>
                    </a:prstGeom>
                  </pic:spPr>
                </pic:pic>
              </a:graphicData>
            </a:graphic>
          </wp:inline>
        </w:drawing>
      </w:r>
    </w:p>
    <w:p>
      <w:pPr>
        <w:rPr>
          <w:rFonts w:hint="default" w:ascii="Times New Roman" w:hAnsi="Times New Roman" w:cs="Times New Roman"/>
        </w:rPr>
      </w:pPr>
    </w:p>
    <w:p>
      <w:pPr>
        <w:spacing w:line="240" w:lineRule="auto"/>
        <w:rPr>
          <w:rFonts w:hint="eastAsia" w:ascii="仿宋" w:hAnsi="仿宋" w:eastAsia="仿宋" w:cs="仿宋"/>
          <w:sz w:val="32"/>
          <w:szCs w:val="32"/>
        </w:rPr>
      </w:pPr>
    </w:p>
    <w:p>
      <w:pPr>
        <w:spacing w:line="240" w:lineRule="auto"/>
        <w:rPr>
          <w:rFonts w:hint="eastAsia" w:ascii="仿宋" w:hAnsi="仿宋" w:eastAsia="仿宋" w:cs="仿宋"/>
          <w:sz w:val="32"/>
          <w:szCs w:val="32"/>
        </w:rPr>
      </w:pPr>
      <w:r>
        <w:rPr>
          <w:rFonts w:hint="eastAsia" w:ascii="仿宋" w:hAnsi="仿宋" w:eastAsia="仿宋" w:cs="仿宋"/>
          <w:sz w:val="32"/>
          <w:szCs w:val="32"/>
        </w:rPr>
        <w:drawing>
          <wp:inline distT="0" distB="0" distL="114300" distR="114300">
            <wp:extent cx="5328920" cy="7543800"/>
            <wp:effectExtent l="0" t="0" r="5080" b="0"/>
            <wp:docPr id="3" name="图片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3"/>
                    <pic:cNvPicPr>
                      <a:picLocks noChangeAspect="1"/>
                    </pic:cNvPicPr>
                  </pic:nvPicPr>
                  <pic:blipFill>
                    <a:blip r:embed="rId9"/>
                    <a:srcRect l="12648" t="8046" r="11925" b="16475"/>
                    <a:stretch>
                      <a:fillRect/>
                    </a:stretch>
                  </pic:blipFill>
                  <pic:spPr>
                    <a:xfrm>
                      <a:off x="0" y="0"/>
                      <a:ext cx="5328920" cy="7543800"/>
                    </a:xfrm>
                    <a:prstGeom prst="rect">
                      <a:avLst/>
                    </a:prstGeom>
                  </pic:spPr>
                </pic:pic>
              </a:graphicData>
            </a:graphic>
          </wp:inline>
        </w:drawing>
      </w:r>
    </w:p>
    <w:p>
      <w:pPr>
        <w:spacing w:line="240" w:lineRule="auto"/>
        <w:rPr>
          <w:rFonts w:hint="eastAsia" w:ascii="仿宋" w:hAnsi="仿宋" w:eastAsia="仿宋" w:cs="仿宋"/>
          <w:sz w:val="32"/>
          <w:szCs w:val="32"/>
        </w:rPr>
      </w:pPr>
    </w:p>
    <w:p>
      <w:pPr>
        <w:spacing w:line="240" w:lineRule="auto"/>
        <w:rPr>
          <w:rFonts w:hint="eastAsia" w:ascii="仿宋" w:hAnsi="仿宋" w:eastAsia="仿宋" w:cs="仿宋"/>
          <w:sz w:val="32"/>
          <w:szCs w:val="32"/>
        </w:rPr>
      </w:pPr>
      <w:r>
        <w:rPr>
          <w:rFonts w:hint="eastAsia" w:ascii="仿宋" w:hAnsi="仿宋" w:eastAsia="仿宋" w:cs="仿宋"/>
          <w:sz w:val="32"/>
          <w:szCs w:val="32"/>
        </w:rPr>
        <w:drawing>
          <wp:inline distT="0" distB="0" distL="114300" distR="114300">
            <wp:extent cx="5299075" cy="7783830"/>
            <wp:effectExtent l="0" t="0" r="15875" b="7620"/>
            <wp:docPr id="5" name="图片 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4"/>
                    <pic:cNvPicPr>
                      <a:picLocks noChangeAspect="1"/>
                    </pic:cNvPicPr>
                  </pic:nvPicPr>
                  <pic:blipFill>
                    <a:blip r:embed="rId10"/>
                    <a:srcRect l="12467" t="8940" r="13732" b="14432"/>
                    <a:stretch>
                      <a:fillRect/>
                    </a:stretch>
                  </pic:blipFill>
                  <pic:spPr>
                    <a:xfrm>
                      <a:off x="0" y="0"/>
                      <a:ext cx="5299075" cy="7783830"/>
                    </a:xfrm>
                    <a:prstGeom prst="rect">
                      <a:avLst/>
                    </a:prstGeom>
                  </pic:spPr>
                </pic:pic>
              </a:graphicData>
            </a:graphic>
          </wp:inline>
        </w:drawing>
      </w:r>
    </w:p>
    <w:p>
      <w:pPr>
        <w:spacing w:line="240" w:lineRule="auto"/>
        <w:rPr>
          <w:rFonts w:hint="eastAsia" w:ascii="仿宋" w:hAnsi="仿宋" w:eastAsia="仿宋" w:cs="仿宋"/>
          <w:sz w:val="32"/>
          <w:szCs w:val="32"/>
        </w:rPr>
      </w:pPr>
    </w:p>
    <w:p>
      <w:pPr>
        <w:spacing w:line="240" w:lineRule="auto"/>
        <w:rPr>
          <w:rFonts w:ascii="仿宋" w:hAnsi="仿宋" w:eastAsia="仿宋" w:cs="仿宋"/>
          <w:sz w:val="32"/>
          <w:szCs w:val="32"/>
        </w:rPr>
      </w:pPr>
      <w:r>
        <w:rPr>
          <w:rFonts w:hint="eastAsia" w:ascii="仿宋" w:hAnsi="仿宋" w:eastAsia="仿宋" w:cs="仿宋"/>
          <w:sz w:val="32"/>
          <w:szCs w:val="32"/>
        </w:rPr>
        <w:drawing>
          <wp:inline distT="0" distB="0" distL="114300" distR="114300">
            <wp:extent cx="5295265" cy="8058785"/>
            <wp:effectExtent l="0" t="0" r="635" b="18415"/>
            <wp:docPr id="6" name="图片 6"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5"/>
                    <pic:cNvPicPr>
                      <a:picLocks noChangeAspect="1"/>
                    </pic:cNvPicPr>
                  </pic:nvPicPr>
                  <pic:blipFill>
                    <a:blip r:embed="rId11"/>
                    <a:srcRect l="12648" t="8046" r="14093" b="13155"/>
                    <a:stretch>
                      <a:fillRect/>
                    </a:stretch>
                  </pic:blipFill>
                  <pic:spPr>
                    <a:xfrm>
                      <a:off x="0" y="0"/>
                      <a:ext cx="5295265" cy="8058785"/>
                    </a:xfrm>
                    <a:prstGeom prst="rect">
                      <a:avLst/>
                    </a:prstGeom>
                  </pic:spPr>
                </pic:pic>
              </a:graphicData>
            </a:graphic>
          </wp:inline>
        </w:drawing>
      </w:r>
      <w:r>
        <w:rPr>
          <w:rFonts w:hint="eastAsia" w:ascii="仿宋" w:hAnsi="仿宋" w:eastAsia="仿宋" w:cs="仿宋"/>
          <w:sz w:val="32"/>
          <w:szCs w:val="32"/>
        </w:rPr>
        <w:br w:type="page"/>
      </w:r>
    </w:p>
    <w:p>
      <w:pPr>
        <w:spacing w:line="560" w:lineRule="exact"/>
        <w:rPr>
          <w:rFonts w:ascii="黑体" w:hAnsi="黑体" w:eastAsia="黑体" w:cs="黑体"/>
          <w:color w:val="000000"/>
          <w:sz w:val="32"/>
        </w:rPr>
      </w:pPr>
      <w:r>
        <w:rPr>
          <w:rFonts w:hint="eastAsia" w:ascii="黑体" w:hAnsi="黑体" w:eastAsia="黑体" w:cs="黑体"/>
          <w:color w:val="000000"/>
          <w:sz w:val="32"/>
        </w:rPr>
        <w:t>附件</w:t>
      </w:r>
      <w:r>
        <w:rPr>
          <w:rFonts w:hint="eastAsia" w:ascii="黑体" w:hAnsi="黑体" w:eastAsia="黑体" w:cs="黑体"/>
          <w:color w:val="000000"/>
          <w:sz w:val="32"/>
          <w:lang w:val="en-US" w:eastAsia="zh-CN"/>
        </w:rPr>
        <w:t>6</w:t>
      </w:r>
      <w:r>
        <w:rPr>
          <w:rFonts w:hint="eastAsia" w:ascii="黑体" w:hAnsi="黑体" w:eastAsia="黑体" w:cs="黑体"/>
          <w:color w:val="000000"/>
          <w:sz w:val="32"/>
        </w:rPr>
        <w:t>：</w:t>
      </w:r>
    </w:p>
    <w:p>
      <w:pPr>
        <w:spacing w:line="240" w:lineRule="auto"/>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5269230" cy="7442835"/>
            <wp:effectExtent l="0" t="0" r="7620" b="5715"/>
            <wp:docPr id="9" name="图片 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2"/>
                    <pic:cNvPicPr>
                      <a:picLocks noChangeAspect="1"/>
                    </pic:cNvPicPr>
                  </pic:nvPicPr>
                  <pic:blipFill>
                    <a:blip r:embed="rId12"/>
                    <a:stretch>
                      <a:fillRect/>
                    </a:stretch>
                  </pic:blipFill>
                  <pic:spPr>
                    <a:xfrm>
                      <a:off x="0" y="0"/>
                      <a:ext cx="5269230" cy="7442835"/>
                    </a:xfrm>
                    <a:prstGeom prst="rect">
                      <a:avLst/>
                    </a:prstGeom>
                  </pic:spPr>
                </pic:pic>
              </a:graphicData>
            </a:graphic>
          </wp:inline>
        </w:drawing>
      </w:r>
    </w:p>
    <w:p>
      <w:pPr>
        <w:spacing w:line="560" w:lineRule="exact"/>
        <w:rPr>
          <w:rFonts w:hint="eastAsia" w:ascii="黑体" w:hAnsi="黑体" w:eastAsia="黑体" w:cs="黑体"/>
          <w:color w:val="000000"/>
          <w:sz w:val="32"/>
          <w:lang w:eastAsia="zh-CN"/>
        </w:rPr>
      </w:pPr>
    </w:p>
    <w:sectPr>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4C07260-27C7-4326-97B0-411FAFBF6A7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modern"/>
    <w:pitch w:val="default"/>
    <w:sig w:usb0="800002BF" w:usb1="38CF7CFA" w:usb2="00000016" w:usb3="00000000" w:csb0="00040001" w:csb1="00000000"/>
    <w:embedRegular r:id="rId2" w:fontKey="{3081B71D-0087-4844-9FB3-5E5AAF119F87}"/>
  </w:font>
  <w:font w:name="仿宋">
    <w:panose1 w:val="02010609060101010101"/>
    <w:charset w:val="86"/>
    <w:family w:val="modern"/>
    <w:pitch w:val="default"/>
    <w:sig w:usb0="800002BF" w:usb1="38CF7CFA" w:usb2="00000016" w:usb3="00000000" w:csb0="00040001" w:csb1="00000000"/>
    <w:embedRegular r:id="rId3" w:fontKey="{F26B9BFC-C93B-49CA-B559-67012BEFC099}"/>
  </w:font>
  <w:font w:name="等线 Light">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embedRegular r:id="rId4" w:fontKey="{AD96CA9E-C26F-4E0E-A473-7AB5F384034D}"/>
  </w:font>
  <w:font w:name="方正小标宋简体">
    <w:panose1 w:val="02000000000000000000"/>
    <w:charset w:val="86"/>
    <w:family w:val="script"/>
    <w:pitch w:val="default"/>
    <w:sig w:usb0="00000001" w:usb1="080E0000" w:usb2="00000000" w:usb3="00000000" w:csb0="00040000" w:csb1="00000000"/>
    <w:embedRegular r:id="rId5" w:fontKey="{A9AF3C93-5EE8-4FFF-B38F-81D5C3413B79}"/>
  </w:font>
  <w:font w:name="楷体_GB2312">
    <w:panose1 w:val="02010609030101010101"/>
    <w:charset w:val="86"/>
    <w:family w:val="modern"/>
    <w:pitch w:val="default"/>
    <w:sig w:usb0="00000001" w:usb1="080E0000" w:usb2="00000000" w:usb3="00000000" w:csb0="00040000" w:csb1="00000000"/>
    <w:embedRegular r:id="rId6" w:fontKey="{5C823AA8-EFEE-4496-B735-777D7305981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pPr>
                      <w:pStyle w:val="1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-1905</wp:posOffset>
              </wp:positionV>
              <wp:extent cx="191135" cy="1828800"/>
              <wp:effectExtent l="0" t="0" r="0" b="5080"/>
              <wp:wrapNone/>
              <wp:docPr id="4" name="文本框 4"/>
              <wp:cNvGraphicFramePr/>
              <a:graphic xmlns:a="http://schemas.openxmlformats.org/drawingml/2006/main">
                <a:graphicData uri="http://schemas.microsoft.com/office/word/2010/wordprocessingShape">
                  <wps:wsp>
                    <wps:cNvSpPr txBox="1"/>
                    <wps:spPr>
                      <a:xfrm>
                        <a:off x="0" y="0"/>
                        <a:ext cx="191386"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0"/>
                            <w:rPr>
                              <w:rFonts w:ascii="Times New Roman" w:hAnsi="Times New Roman" w:eastAsia="宋体" w:cs="Times New Roman"/>
                              <w:sz w:val="28"/>
                              <w:szCs w:val="28"/>
                            </w:rPr>
                          </w:pPr>
                          <w:r>
                            <w:rPr>
                              <w:rFonts w:ascii="Times New Roman" w:hAnsi="Times New Roman" w:eastAsia="宋体" w:cs="Times New Roman"/>
                              <w:sz w:val="28"/>
                              <w:szCs w:val="28"/>
                            </w:rPr>
                            <w:fldChar w:fldCharType="begin"/>
                          </w:r>
                          <w:r>
                            <w:rPr>
                              <w:rFonts w:ascii="Times New Roman" w:hAnsi="Times New Roman" w:eastAsia="宋体" w:cs="Times New Roman"/>
                              <w:sz w:val="28"/>
                              <w:szCs w:val="28"/>
                            </w:rPr>
                            <w:instrText xml:space="preserve"> PAGE  \* MERGEFORMAT </w:instrText>
                          </w:r>
                          <w:r>
                            <w:rPr>
                              <w:rFonts w:ascii="Times New Roman" w:hAnsi="Times New Roman" w:eastAsia="宋体" w:cs="Times New Roman"/>
                              <w:sz w:val="28"/>
                              <w:szCs w:val="28"/>
                            </w:rPr>
                            <w:fldChar w:fldCharType="separate"/>
                          </w:r>
                          <w:r>
                            <w:rPr>
                              <w:rFonts w:ascii="Times New Roman" w:hAnsi="Times New Roman" w:eastAsia="宋体" w:cs="Times New Roman"/>
                              <w:sz w:val="28"/>
                              <w:szCs w:val="28"/>
                            </w:rPr>
                            <w:t>1</w:t>
                          </w:r>
                          <w:r>
                            <w:rPr>
                              <w:rFonts w:ascii="Times New Roman" w:hAnsi="Times New Roman" w:eastAsia="宋体" w:cs="Times New Roman"/>
                              <w:sz w:val="28"/>
                              <w:szCs w:val="28"/>
                            </w:rPr>
                            <w:fldChar w:fldCharType="end"/>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15pt;height:144pt;width:15.05pt;mso-position-horizontal:center;mso-position-horizontal-relative:margin;z-index:251660288;mso-width-relative:page;mso-height-relative:page;" filled="f" stroked="f" coordsize="21600,21600" o:gfxdata="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JoNyB1QAAAAUBAAAPAAAAAAAAAAEAIAAAACIAAABkcnMvZG93bnJldi54bWxQ&#10;SwECFAAUAAAACACHTuJAc1lF9jMCAABWBAAADgAAAAAAAAABACAAAAAkAQAAZHJzL2Uyb0RvYy54&#10;bWxQSwUGAAAAAAYABgBZAQAAyQUAAAAA&#10;">
              <v:fill on="f" focussize="0,0"/>
              <v:stroke on="f" weight="0.5pt"/>
              <v:imagedata o:title=""/>
              <o:lock v:ext="edit" aspectratio="f"/>
              <v:textbox inset="0mm,0mm,0mm,0mm" style="mso-fit-shape-to-text:t;">
                <w:txbxContent>
                  <w:p>
                    <w:pPr>
                      <w:pStyle w:val="10"/>
                      <w:rPr>
                        <w:rFonts w:ascii="Times New Roman" w:hAnsi="Times New Roman" w:eastAsia="宋体" w:cs="Times New Roman"/>
                        <w:sz w:val="28"/>
                        <w:szCs w:val="28"/>
                      </w:rPr>
                    </w:pPr>
                    <w:r>
                      <w:rPr>
                        <w:rFonts w:ascii="Times New Roman" w:hAnsi="Times New Roman" w:eastAsia="宋体" w:cs="Times New Roman"/>
                        <w:sz w:val="28"/>
                        <w:szCs w:val="28"/>
                      </w:rPr>
                      <w:fldChar w:fldCharType="begin"/>
                    </w:r>
                    <w:r>
                      <w:rPr>
                        <w:rFonts w:ascii="Times New Roman" w:hAnsi="Times New Roman" w:eastAsia="宋体" w:cs="Times New Roman"/>
                        <w:sz w:val="28"/>
                        <w:szCs w:val="28"/>
                      </w:rPr>
                      <w:instrText xml:space="preserve"> PAGE  \* MERGEFORMAT </w:instrText>
                    </w:r>
                    <w:r>
                      <w:rPr>
                        <w:rFonts w:ascii="Times New Roman" w:hAnsi="Times New Roman" w:eastAsia="宋体" w:cs="Times New Roman"/>
                        <w:sz w:val="28"/>
                        <w:szCs w:val="28"/>
                      </w:rPr>
                      <w:fldChar w:fldCharType="separate"/>
                    </w:r>
                    <w:r>
                      <w:rPr>
                        <w:rFonts w:ascii="Times New Roman" w:hAnsi="Times New Roman" w:eastAsia="宋体" w:cs="Times New Roman"/>
                        <w:sz w:val="28"/>
                        <w:szCs w:val="28"/>
                      </w:rPr>
                      <w:t>1</w:t>
                    </w:r>
                    <w:r>
                      <w:rPr>
                        <w:rFonts w:ascii="Times New Roman" w:hAnsi="Times New Roman" w:eastAsia="宋体" w:cs="Times New Roman"/>
                        <w:sz w:val="28"/>
                        <w:szCs w:val="28"/>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documentProtection w:enforcement="0"/>
  <w:defaultTabStop w:val="420"/>
  <w:drawingGridHorizontalSpacing w:val="120"/>
  <w:drawingGridVerticalSpacing w:val="163"/>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RjZGQxODgzZjA0N2UzNjYzNDliNDc5NjU1MDlkYzIifQ=="/>
  </w:docVars>
  <w:rsids>
    <w:rsidRoot w:val="00EB31C4"/>
    <w:rsid w:val="00002F5D"/>
    <w:rsid w:val="000157B6"/>
    <w:rsid w:val="00017FEB"/>
    <w:rsid w:val="00035C76"/>
    <w:rsid w:val="00040163"/>
    <w:rsid w:val="00042904"/>
    <w:rsid w:val="00052DC3"/>
    <w:rsid w:val="00053976"/>
    <w:rsid w:val="0005510C"/>
    <w:rsid w:val="000669F3"/>
    <w:rsid w:val="0008714F"/>
    <w:rsid w:val="00087D2F"/>
    <w:rsid w:val="00093425"/>
    <w:rsid w:val="000947C6"/>
    <w:rsid w:val="000B0528"/>
    <w:rsid w:val="000B2302"/>
    <w:rsid w:val="000B418D"/>
    <w:rsid w:val="000D3DB5"/>
    <w:rsid w:val="000D67A5"/>
    <w:rsid w:val="000E1E3B"/>
    <w:rsid w:val="000E2B72"/>
    <w:rsid w:val="000E41FE"/>
    <w:rsid w:val="000F6E1F"/>
    <w:rsid w:val="001241A9"/>
    <w:rsid w:val="00157CC4"/>
    <w:rsid w:val="00163BA6"/>
    <w:rsid w:val="001810D5"/>
    <w:rsid w:val="00186C4F"/>
    <w:rsid w:val="00192FC0"/>
    <w:rsid w:val="00196E9A"/>
    <w:rsid w:val="001D1E07"/>
    <w:rsid w:val="001D4D39"/>
    <w:rsid w:val="001E1088"/>
    <w:rsid w:val="001E5969"/>
    <w:rsid w:val="001F0329"/>
    <w:rsid w:val="001F0EF0"/>
    <w:rsid w:val="0020422D"/>
    <w:rsid w:val="002070ED"/>
    <w:rsid w:val="00212156"/>
    <w:rsid w:val="00213736"/>
    <w:rsid w:val="00215F09"/>
    <w:rsid w:val="002241B1"/>
    <w:rsid w:val="0023310E"/>
    <w:rsid w:val="00240E3B"/>
    <w:rsid w:val="002414C7"/>
    <w:rsid w:val="00247E04"/>
    <w:rsid w:val="00252F65"/>
    <w:rsid w:val="00255181"/>
    <w:rsid w:val="00255445"/>
    <w:rsid w:val="00255BBF"/>
    <w:rsid w:val="00267E3D"/>
    <w:rsid w:val="00267F07"/>
    <w:rsid w:val="002743C9"/>
    <w:rsid w:val="00290687"/>
    <w:rsid w:val="00291F74"/>
    <w:rsid w:val="002C2792"/>
    <w:rsid w:val="002D279B"/>
    <w:rsid w:val="002E08F3"/>
    <w:rsid w:val="002E277C"/>
    <w:rsid w:val="002F1AD8"/>
    <w:rsid w:val="002F2A17"/>
    <w:rsid w:val="003002AD"/>
    <w:rsid w:val="003018BE"/>
    <w:rsid w:val="00305354"/>
    <w:rsid w:val="00306E94"/>
    <w:rsid w:val="00310EF3"/>
    <w:rsid w:val="003137E1"/>
    <w:rsid w:val="00314384"/>
    <w:rsid w:val="00317BE5"/>
    <w:rsid w:val="003211A7"/>
    <w:rsid w:val="003213FB"/>
    <w:rsid w:val="003251F9"/>
    <w:rsid w:val="00325701"/>
    <w:rsid w:val="00354EA8"/>
    <w:rsid w:val="00356CDA"/>
    <w:rsid w:val="00364290"/>
    <w:rsid w:val="0036794E"/>
    <w:rsid w:val="003726D6"/>
    <w:rsid w:val="00373140"/>
    <w:rsid w:val="003812E1"/>
    <w:rsid w:val="00384CFF"/>
    <w:rsid w:val="00387D68"/>
    <w:rsid w:val="003A50BD"/>
    <w:rsid w:val="003C0580"/>
    <w:rsid w:val="003D3BE1"/>
    <w:rsid w:val="003D7D42"/>
    <w:rsid w:val="003E4CF8"/>
    <w:rsid w:val="00401E26"/>
    <w:rsid w:val="00440458"/>
    <w:rsid w:val="004459C7"/>
    <w:rsid w:val="00470377"/>
    <w:rsid w:val="004759D6"/>
    <w:rsid w:val="0048330A"/>
    <w:rsid w:val="004C1F64"/>
    <w:rsid w:val="004C3E1A"/>
    <w:rsid w:val="004D24E3"/>
    <w:rsid w:val="004D6ED4"/>
    <w:rsid w:val="004E3620"/>
    <w:rsid w:val="004E6807"/>
    <w:rsid w:val="004F042F"/>
    <w:rsid w:val="004F1898"/>
    <w:rsid w:val="005241FF"/>
    <w:rsid w:val="0052507B"/>
    <w:rsid w:val="00526BBB"/>
    <w:rsid w:val="00554577"/>
    <w:rsid w:val="00562BD0"/>
    <w:rsid w:val="00577ACD"/>
    <w:rsid w:val="00591BED"/>
    <w:rsid w:val="00595CC4"/>
    <w:rsid w:val="005A0EB2"/>
    <w:rsid w:val="005B602C"/>
    <w:rsid w:val="005B671B"/>
    <w:rsid w:val="005E65C4"/>
    <w:rsid w:val="005F0BA1"/>
    <w:rsid w:val="0060052B"/>
    <w:rsid w:val="00614D83"/>
    <w:rsid w:val="006176EB"/>
    <w:rsid w:val="00621212"/>
    <w:rsid w:val="006249AE"/>
    <w:rsid w:val="006302EF"/>
    <w:rsid w:val="0063428E"/>
    <w:rsid w:val="00636C8E"/>
    <w:rsid w:val="00645EDF"/>
    <w:rsid w:val="006511B5"/>
    <w:rsid w:val="0065289B"/>
    <w:rsid w:val="00652A94"/>
    <w:rsid w:val="00677288"/>
    <w:rsid w:val="00685C70"/>
    <w:rsid w:val="006B7329"/>
    <w:rsid w:val="006C01F8"/>
    <w:rsid w:val="006C5A35"/>
    <w:rsid w:val="006C6929"/>
    <w:rsid w:val="006D337C"/>
    <w:rsid w:val="006E0449"/>
    <w:rsid w:val="006E1878"/>
    <w:rsid w:val="006E3F52"/>
    <w:rsid w:val="006E6900"/>
    <w:rsid w:val="006F1133"/>
    <w:rsid w:val="006F2E5F"/>
    <w:rsid w:val="006F3DDE"/>
    <w:rsid w:val="006F5AB8"/>
    <w:rsid w:val="0071108B"/>
    <w:rsid w:val="0072146F"/>
    <w:rsid w:val="00721F32"/>
    <w:rsid w:val="0072279B"/>
    <w:rsid w:val="0072600B"/>
    <w:rsid w:val="00731245"/>
    <w:rsid w:val="00736C2E"/>
    <w:rsid w:val="00744E79"/>
    <w:rsid w:val="00745BC3"/>
    <w:rsid w:val="00751331"/>
    <w:rsid w:val="00756D94"/>
    <w:rsid w:val="00767AA6"/>
    <w:rsid w:val="007728C9"/>
    <w:rsid w:val="0078695E"/>
    <w:rsid w:val="007A21B1"/>
    <w:rsid w:val="007A5A6B"/>
    <w:rsid w:val="007A624C"/>
    <w:rsid w:val="007A75F5"/>
    <w:rsid w:val="007B3017"/>
    <w:rsid w:val="007B5437"/>
    <w:rsid w:val="007B5AF5"/>
    <w:rsid w:val="007C5FD5"/>
    <w:rsid w:val="007D1730"/>
    <w:rsid w:val="007D1EAA"/>
    <w:rsid w:val="007D4F91"/>
    <w:rsid w:val="007F0697"/>
    <w:rsid w:val="007F35E0"/>
    <w:rsid w:val="008007D5"/>
    <w:rsid w:val="008364C8"/>
    <w:rsid w:val="008466FF"/>
    <w:rsid w:val="00853795"/>
    <w:rsid w:val="00854F87"/>
    <w:rsid w:val="00874D27"/>
    <w:rsid w:val="008842F2"/>
    <w:rsid w:val="00884BE0"/>
    <w:rsid w:val="008918A8"/>
    <w:rsid w:val="008B3BE7"/>
    <w:rsid w:val="008B7683"/>
    <w:rsid w:val="008C30A2"/>
    <w:rsid w:val="008C4E5D"/>
    <w:rsid w:val="008D1860"/>
    <w:rsid w:val="008D5DBC"/>
    <w:rsid w:val="008E38DE"/>
    <w:rsid w:val="008F7EB7"/>
    <w:rsid w:val="0091214B"/>
    <w:rsid w:val="009170FA"/>
    <w:rsid w:val="0092741A"/>
    <w:rsid w:val="00931279"/>
    <w:rsid w:val="00940E6A"/>
    <w:rsid w:val="00943AE8"/>
    <w:rsid w:val="009503F1"/>
    <w:rsid w:val="00963420"/>
    <w:rsid w:val="00965865"/>
    <w:rsid w:val="0097137D"/>
    <w:rsid w:val="00976524"/>
    <w:rsid w:val="009B67E1"/>
    <w:rsid w:val="009C170F"/>
    <w:rsid w:val="009D3A6F"/>
    <w:rsid w:val="00A0107E"/>
    <w:rsid w:val="00A1605E"/>
    <w:rsid w:val="00A250CF"/>
    <w:rsid w:val="00A259F6"/>
    <w:rsid w:val="00A25D38"/>
    <w:rsid w:val="00A31394"/>
    <w:rsid w:val="00A436BA"/>
    <w:rsid w:val="00A548FA"/>
    <w:rsid w:val="00A60319"/>
    <w:rsid w:val="00A70C82"/>
    <w:rsid w:val="00A85FA0"/>
    <w:rsid w:val="00A8730B"/>
    <w:rsid w:val="00A92CEE"/>
    <w:rsid w:val="00A97A7E"/>
    <w:rsid w:val="00AA01E6"/>
    <w:rsid w:val="00AA4C52"/>
    <w:rsid w:val="00AA5434"/>
    <w:rsid w:val="00AB5E75"/>
    <w:rsid w:val="00AC531D"/>
    <w:rsid w:val="00AD14F8"/>
    <w:rsid w:val="00AD56C2"/>
    <w:rsid w:val="00AE0C00"/>
    <w:rsid w:val="00AE58CA"/>
    <w:rsid w:val="00AE6BBD"/>
    <w:rsid w:val="00AF1921"/>
    <w:rsid w:val="00AF1B3B"/>
    <w:rsid w:val="00B04C77"/>
    <w:rsid w:val="00B061FB"/>
    <w:rsid w:val="00B06367"/>
    <w:rsid w:val="00B227FD"/>
    <w:rsid w:val="00B23771"/>
    <w:rsid w:val="00B30451"/>
    <w:rsid w:val="00B46F93"/>
    <w:rsid w:val="00B61E71"/>
    <w:rsid w:val="00B637DD"/>
    <w:rsid w:val="00B71322"/>
    <w:rsid w:val="00B73055"/>
    <w:rsid w:val="00B7578A"/>
    <w:rsid w:val="00B86A72"/>
    <w:rsid w:val="00B8744B"/>
    <w:rsid w:val="00BA30A9"/>
    <w:rsid w:val="00BB377C"/>
    <w:rsid w:val="00BC0267"/>
    <w:rsid w:val="00BC6C13"/>
    <w:rsid w:val="00BF60DC"/>
    <w:rsid w:val="00C005ED"/>
    <w:rsid w:val="00C05B95"/>
    <w:rsid w:val="00C17C77"/>
    <w:rsid w:val="00C34A6B"/>
    <w:rsid w:val="00C43A9C"/>
    <w:rsid w:val="00C5392C"/>
    <w:rsid w:val="00C764B3"/>
    <w:rsid w:val="00C84AE0"/>
    <w:rsid w:val="00C879D2"/>
    <w:rsid w:val="00C969B4"/>
    <w:rsid w:val="00CA06F4"/>
    <w:rsid w:val="00CB62A5"/>
    <w:rsid w:val="00CD1045"/>
    <w:rsid w:val="00CD668E"/>
    <w:rsid w:val="00CE0079"/>
    <w:rsid w:val="00CE18F3"/>
    <w:rsid w:val="00CE62C2"/>
    <w:rsid w:val="00D02B25"/>
    <w:rsid w:val="00D03BD7"/>
    <w:rsid w:val="00D20E22"/>
    <w:rsid w:val="00D30DC3"/>
    <w:rsid w:val="00D37AC3"/>
    <w:rsid w:val="00D55859"/>
    <w:rsid w:val="00D80800"/>
    <w:rsid w:val="00DA6A0C"/>
    <w:rsid w:val="00DB6E9A"/>
    <w:rsid w:val="00DC59F0"/>
    <w:rsid w:val="00DD2DC8"/>
    <w:rsid w:val="00DE0FBD"/>
    <w:rsid w:val="00DE54E7"/>
    <w:rsid w:val="00E0346B"/>
    <w:rsid w:val="00E241B6"/>
    <w:rsid w:val="00E2698F"/>
    <w:rsid w:val="00E344F5"/>
    <w:rsid w:val="00E45D9F"/>
    <w:rsid w:val="00E625E4"/>
    <w:rsid w:val="00E63914"/>
    <w:rsid w:val="00E649F1"/>
    <w:rsid w:val="00E76830"/>
    <w:rsid w:val="00E773A0"/>
    <w:rsid w:val="00E77C0D"/>
    <w:rsid w:val="00E941C5"/>
    <w:rsid w:val="00EA23D2"/>
    <w:rsid w:val="00EB31C4"/>
    <w:rsid w:val="00EB70F9"/>
    <w:rsid w:val="00ED5D17"/>
    <w:rsid w:val="00ED7947"/>
    <w:rsid w:val="00EE67B1"/>
    <w:rsid w:val="00EF28BB"/>
    <w:rsid w:val="00F05E4E"/>
    <w:rsid w:val="00F078C5"/>
    <w:rsid w:val="00F1151C"/>
    <w:rsid w:val="00F125E3"/>
    <w:rsid w:val="00F31356"/>
    <w:rsid w:val="00F81B5D"/>
    <w:rsid w:val="00FA21CA"/>
    <w:rsid w:val="00FB7EF7"/>
    <w:rsid w:val="00FC62B8"/>
    <w:rsid w:val="00FC79A6"/>
    <w:rsid w:val="00FD64D8"/>
    <w:rsid w:val="00FD6B7A"/>
    <w:rsid w:val="00FD76E6"/>
    <w:rsid w:val="00FF1428"/>
    <w:rsid w:val="00FF2627"/>
    <w:rsid w:val="01113D6B"/>
    <w:rsid w:val="011863A7"/>
    <w:rsid w:val="01B07E3E"/>
    <w:rsid w:val="01CA51C3"/>
    <w:rsid w:val="024E68F9"/>
    <w:rsid w:val="03062D2F"/>
    <w:rsid w:val="034D0054"/>
    <w:rsid w:val="0449319B"/>
    <w:rsid w:val="04C9786B"/>
    <w:rsid w:val="051E0F9C"/>
    <w:rsid w:val="05DC6461"/>
    <w:rsid w:val="06451DC1"/>
    <w:rsid w:val="06F47827"/>
    <w:rsid w:val="086D1ABC"/>
    <w:rsid w:val="086E21A0"/>
    <w:rsid w:val="08730350"/>
    <w:rsid w:val="089B6610"/>
    <w:rsid w:val="08E37BC6"/>
    <w:rsid w:val="092A47B0"/>
    <w:rsid w:val="096001F1"/>
    <w:rsid w:val="09D85E1B"/>
    <w:rsid w:val="0A64617A"/>
    <w:rsid w:val="0A813206"/>
    <w:rsid w:val="0A830726"/>
    <w:rsid w:val="0B27280A"/>
    <w:rsid w:val="0B3D3C96"/>
    <w:rsid w:val="0C3D77D6"/>
    <w:rsid w:val="0D177047"/>
    <w:rsid w:val="0D533015"/>
    <w:rsid w:val="0D677904"/>
    <w:rsid w:val="0E8D3BA9"/>
    <w:rsid w:val="0F1066D3"/>
    <w:rsid w:val="0F214C44"/>
    <w:rsid w:val="0F2F000C"/>
    <w:rsid w:val="0F80233D"/>
    <w:rsid w:val="0FAF5566"/>
    <w:rsid w:val="0FB745AD"/>
    <w:rsid w:val="117E50CB"/>
    <w:rsid w:val="12312F5F"/>
    <w:rsid w:val="12402145"/>
    <w:rsid w:val="1292133B"/>
    <w:rsid w:val="12A20E68"/>
    <w:rsid w:val="13015BBE"/>
    <w:rsid w:val="13AE13D0"/>
    <w:rsid w:val="13B22621"/>
    <w:rsid w:val="13B36ED2"/>
    <w:rsid w:val="13C1669E"/>
    <w:rsid w:val="148A64B7"/>
    <w:rsid w:val="14C101F2"/>
    <w:rsid w:val="14F77D1E"/>
    <w:rsid w:val="156F2D56"/>
    <w:rsid w:val="15AA545A"/>
    <w:rsid w:val="15C606C3"/>
    <w:rsid w:val="16387842"/>
    <w:rsid w:val="1655203B"/>
    <w:rsid w:val="16A12807"/>
    <w:rsid w:val="16BA4105"/>
    <w:rsid w:val="16C20DA4"/>
    <w:rsid w:val="173008D1"/>
    <w:rsid w:val="17BB0135"/>
    <w:rsid w:val="17C079B5"/>
    <w:rsid w:val="17CA7E18"/>
    <w:rsid w:val="18A1732B"/>
    <w:rsid w:val="18FF2089"/>
    <w:rsid w:val="190F0FBB"/>
    <w:rsid w:val="19322678"/>
    <w:rsid w:val="19864814"/>
    <w:rsid w:val="1A271AB1"/>
    <w:rsid w:val="1AC6751C"/>
    <w:rsid w:val="1AC728C9"/>
    <w:rsid w:val="1B350348"/>
    <w:rsid w:val="1B7A696F"/>
    <w:rsid w:val="1B966EEF"/>
    <w:rsid w:val="1C07721C"/>
    <w:rsid w:val="1C144D77"/>
    <w:rsid w:val="1C1A3895"/>
    <w:rsid w:val="1C470B95"/>
    <w:rsid w:val="1CFC53F0"/>
    <w:rsid w:val="1D750D86"/>
    <w:rsid w:val="1DCB4E4A"/>
    <w:rsid w:val="1DFD1F9E"/>
    <w:rsid w:val="1E3F4573"/>
    <w:rsid w:val="1E5D2FB7"/>
    <w:rsid w:val="1E7864E7"/>
    <w:rsid w:val="1F5D73FC"/>
    <w:rsid w:val="1FEF0EF4"/>
    <w:rsid w:val="1FFB71EB"/>
    <w:rsid w:val="20697AF3"/>
    <w:rsid w:val="208A3AE1"/>
    <w:rsid w:val="20A47A18"/>
    <w:rsid w:val="20E678B0"/>
    <w:rsid w:val="210C4BDE"/>
    <w:rsid w:val="221579EB"/>
    <w:rsid w:val="22163203"/>
    <w:rsid w:val="22357589"/>
    <w:rsid w:val="22453837"/>
    <w:rsid w:val="22E619C5"/>
    <w:rsid w:val="24450238"/>
    <w:rsid w:val="24755866"/>
    <w:rsid w:val="24CD4206"/>
    <w:rsid w:val="253A2AC6"/>
    <w:rsid w:val="25507277"/>
    <w:rsid w:val="25817FB6"/>
    <w:rsid w:val="259F051C"/>
    <w:rsid w:val="25BF1CF6"/>
    <w:rsid w:val="26076EC6"/>
    <w:rsid w:val="266D2621"/>
    <w:rsid w:val="26DB2738"/>
    <w:rsid w:val="27121FFF"/>
    <w:rsid w:val="27606603"/>
    <w:rsid w:val="27BD1CA7"/>
    <w:rsid w:val="27DF20E4"/>
    <w:rsid w:val="27F101DC"/>
    <w:rsid w:val="28781FAD"/>
    <w:rsid w:val="28F3548C"/>
    <w:rsid w:val="29484006"/>
    <w:rsid w:val="294A57BC"/>
    <w:rsid w:val="295F4CCB"/>
    <w:rsid w:val="2AC414FC"/>
    <w:rsid w:val="2AE61039"/>
    <w:rsid w:val="2B1D11D7"/>
    <w:rsid w:val="2B6A3EC1"/>
    <w:rsid w:val="2BCD302E"/>
    <w:rsid w:val="2C481942"/>
    <w:rsid w:val="2C60716F"/>
    <w:rsid w:val="2D877923"/>
    <w:rsid w:val="2DB5300E"/>
    <w:rsid w:val="2E693FEF"/>
    <w:rsid w:val="2F0364FA"/>
    <w:rsid w:val="2F730858"/>
    <w:rsid w:val="301669C9"/>
    <w:rsid w:val="30632D73"/>
    <w:rsid w:val="30A24D5E"/>
    <w:rsid w:val="30B6649E"/>
    <w:rsid w:val="30E7102E"/>
    <w:rsid w:val="3176738D"/>
    <w:rsid w:val="31787C5C"/>
    <w:rsid w:val="31932A9B"/>
    <w:rsid w:val="31AD773B"/>
    <w:rsid w:val="321350AC"/>
    <w:rsid w:val="32F50547"/>
    <w:rsid w:val="33A95DAA"/>
    <w:rsid w:val="33AA7D8A"/>
    <w:rsid w:val="33F325DD"/>
    <w:rsid w:val="34E32DF3"/>
    <w:rsid w:val="36026239"/>
    <w:rsid w:val="369D0FF2"/>
    <w:rsid w:val="36A209E6"/>
    <w:rsid w:val="36A8135C"/>
    <w:rsid w:val="36FA4230"/>
    <w:rsid w:val="37411FAD"/>
    <w:rsid w:val="37503F9E"/>
    <w:rsid w:val="3A1C0AAF"/>
    <w:rsid w:val="3A652CCE"/>
    <w:rsid w:val="3B714E2B"/>
    <w:rsid w:val="3B9528C7"/>
    <w:rsid w:val="3BD11183"/>
    <w:rsid w:val="3BDB6DB7"/>
    <w:rsid w:val="3BEF756B"/>
    <w:rsid w:val="3C805325"/>
    <w:rsid w:val="3DE818AE"/>
    <w:rsid w:val="3E550235"/>
    <w:rsid w:val="3E8D1B0A"/>
    <w:rsid w:val="3F272A84"/>
    <w:rsid w:val="3FE64565"/>
    <w:rsid w:val="40136835"/>
    <w:rsid w:val="40151DFE"/>
    <w:rsid w:val="403F1053"/>
    <w:rsid w:val="40925627"/>
    <w:rsid w:val="40BB2016"/>
    <w:rsid w:val="40C10D80"/>
    <w:rsid w:val="41140732"/>
    <w:rsid w:val="416F0011"/>
    <w:rsid w:val="41FA186F"/>
    <w:rsid w:val="4230600D"/>
    <w:rsid w:val="42D05833"/>
    <w:rsid w:val="436B3C9C"/>
    <w:rsid w:val="440A1978"/>
    <w:rsid w:val="44222CF8"/>
    <w:rsid w:val="444D1B79"/>
    <w:rsid w:val="44634479"/>
    <w:rsid w:val="44EA41C0"/>
    <w:rsid w:val="45020324"/>
    <w:rsid w:val="453F44A7"/>
    <w:rsid w:val="45552589"/>
    <w:rsid w:val="45C12DB2"/>
    <w:rsid w:val="45F14B9E"/>
    <w:rsid w:val="46483E29"/>
    <w:rsid w:val="46D2705D"/>
    <w:rsid w:val="46DA72F9"/>
    <w:rsid w:val="46F52135"/>
    <w:rsid w:val="470646EF"/>
    <w:rsid w:val="4709049F"/>
    <w:rsid w:val="47156F84"/>
    <w:rsid w:val="47327637"/>
    <w:rsid w:val="47643C7B"/>
    <w:rsid w:val="477261B2"/>
    <w:rsid w:val="486E2883"/>
    <w:rsid w:val="48DE3668"/>
    <w:rsid w:val="493F26AB"/>
    <w:rsid w:val="4AA942A7"/>
    <w:rsid w:val="4AB006A8"/>
    <w:rsid w:val="4ABD1525"/>
    <w:rsid w:val="4ACA7148"/>
    <w:rsid w:val="4ACC1D01"/>
    <w:rsid w:val="4ACF5DEE"/>
    <w:rsid w:val="4AEF3112"/>
    <w:rsid w:val="4B2B0B52"/>
    <w:rsid w:val="4B447056"/>
    <w:rsid w:val="4B5932AF"/>
    <w:rsid w:val="4C4579F1"/>
    <w:rsid w:val="4C920235"/>
    <w:rsid w:val="4CC76658"/>
    <w:rsid w:val="4CCD0D31"/>
    <w:rsid w:val="4CFA29DC"/>
    <w:rsid w:val="4DDF3E76"/>
    <w:rsid w:val="4EA34EA3"/>
    <w:rsid w:val="4F0B7F86"/>
    <w:rsid w:val="4F374864"/>
    <w:rsid w:val="4FB947AA"/>
    <w:rsid w:val="4FE15C85"/>
    <w:rsid w:val="50296B1D"/>
    <w:rsid w:val="50743E4F"/>
    <w:rsid w:val="507D281E"/>
    <w:rsid w:val="50E1178F"/>
    <w:rsid w:val="513837AF"/>
    <w:rsid w:val="519F622A"/>
    <w:rsid w:val="51D23206"/>
    <w:rsid w:val="51D603B3"/>
    <w:rsid w:val="51F82646"/>
    <w:rsid w:val="52224331"/>
    <w:rsid w:val="52C15887"/>
    <w:rsid w:val="52F1442F"/>
    <w:rsid w:val="53714F72"/>
    <w:rsid w:val="53E32742"/>
    <w:rsid w:val="54031636"/>
    <w:rsid w:val="55304924"/>
    <w:rsid w:val="557703C2"/>
    <w:rsid w:val="558E1C5D"/>
    <w:rsid w:val="560E6308"/>
    <w:rsid w:val="562E3F46"/>
    <w:rsid w:val="57007616"/>
    <w:rsid w:val="57AF3A2D"/>
    <w:rsid w:val="57DC2A49"/>
    <w:rsid w:val="58810003"/>
    <w:rsid w:val="58907103"/>
    <w:rsid w:val="58C11DEB"/>
    <w:rsid w:val="591A31AD"/>
    <w:rsid w:val="5AF83A99"/>
    <w:rsid w:val="5B7025B1"/>
    <w:rsid w:val="5C803593"/>
    <w:rsid w:val="5CB96A61"/>
    <w:rsid w:val="5CD728E8"/>
    <w:rsid w:val="5D803D61"/>
    <w:rsid w:val="5D832E97"/>
    <w:rsid w:val="5F5A0513"/>
    <w:rsid w:val="5F8951A6"/>
    <w:rsid w:val="5FAB6537"/>
    <w:rsid w:val="60AC5E39"/>
    <w:rsid w:val="615564D1"/>
    <w:rsid w:val="620D2756"/>
    <w:rsid w:val="62315E81"/>
    <w:rsid w:val="62647093"/>
    <w:rsid w:val="63244E4D"/>
    <w:rsid w:val="63823969"/>
    <w:rsid w:val="63B312B3"/>
    <w:rsid w:val="63B61B9F"/>
    <w:rsid w:val="63FE52EA"/>
    <w:rsid w:val="64642B57"/>
    <w:rsid w:val="64F14550"/>
    <w:rsid w:val="65225CAD"/>
    <w:rsid w:val="65433D82"/>
    <w:rsid w:val="656971DE"/>
    <w:rsid w:val="65775B86"/>
    <w:rsid w:val="65A17F37"/>
    <w:rsid w:val="66495296"/>
    <w:rsid w:val="66E321C6"/>
    <w:rsid w:val="6716229B"/>
    <w:rsid w:val="675F3034"/>
    <w:rsid w:val="67EB4A58"/>
    <w:rsid w:val="67F85E08"/>
    <w:rsid w:val="68B83318"/>
    <w:rsid w:val="68C63810"/>
    <w:rsid w:val="69666A24"/>
    <w:rsid w:val="6A293B07"/>
    <w:rsid w:val="6A694D9B"/>
    <w:rsid w:val="6A736A40"/>
    <w:rsid w:val="6AB75B07"/>
    <w:rsid w:val="6AD40634"/>
    <w:rsid w:val="6B79100E"/>
    <w:rsid w:val="6B934D29"/>
    <w:rsid w:val="6D3C1325"/>
    <w:rsid w:val="6D49739B"/>
    <w:rsid w:val="6D634B3D"/>
    <w:rsid w:val="6E0F1598"/>
    <w:rsid w:val="6E366167"/>
    <w:rsid w:val="6E434DBC"/>
    <w:rsid w:val="6E471DBD"/>
    <w:rsid w:val="6F6510FE"/>
    <w:rsid w:val="6FBE794A"/>
    <w:rsid w:val="700046C4"/>
    <w:rsid w:val="701259CA"/>
    <w:rsid w:val="703025E3"/>
    <w:rsid w:val="706E0425"/>
    <w:rsid w:val="70B54ECB"/>
    <w:rsid w:val="70E231B1"/>
    <w:rsid w:val="71A901D7"/>
    <w:rsid w:val="71AF5D7D"/>
    <w:rsid w:val="71DF766A"/>
    <w:rsid w:val="71EE3F1B"/>
    <w:rsid w:val="721E638F"/>
    <w:rsid w:val="722A54B0"/>
    <w:rsid w:val="727906E6"/>
    <w:rsid w:val="727B38BE"/>
    <w:rsid w:val="73010AB9"/>
    <w:rsid w:val="730438B3"/>
    <w:rsid w:val="73A806E2"/>
    <w:rsid w:val="741B7D08"/>
    <w:rsid w:val="74506054"/>
    <w:rsid w:val="74CA45E5"/>
    <w:rsid w:val="74CC0400"/>
    <w:rsid w:val="750718A8"/>
    <w:rsid w:val="75AE293F"/>
    <w:rsid w:val="75F31401"/>
    <w:rsid w:val="761230EB"/>
    <w:rsid w:val="76944281"/>
    <w:rsid w:val="77F96197"/>
    <w:rsid w:val="787A21FE"/>
    <w:rsid w:val="78A265FE"/>
    <w:rsid w:val="79816D9C"/>
    <w:rsid w:val="799B52C3"/>
    <w:rsid w:val="79AD6923"/>
    <w:rsid w:val="79F93A46"/>
    <w:rsid w:val="7BA06143"/>
    <w:rsid w:val="7BB30336"/>
    <w:rsid w:val="7BCC5788"/>
    <w:rsid w:val="7C2F6983"/>
    <w:rsid w:val="7C3C6C20"/>
    <w:rsid w:val="7D1D5C9D"/>
    <w:rsid w:val="7DDA2CEF"/>
    <w:rsid w:val="7DEC21E5"/>
    <w:rsid w:val="7E5C6D2D"/>
    <w:rsid w:val="7E776335"/>
    <w:rsid w:val="7EDC19E4"/>
    <w:rsid w:val="7EF11B37"/>
    <w:rsid w:val="7F1511BA"/>
    <w:rsid w:val="7F6319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iPriority="99"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5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4"/>
      <w:szCs w:val="24"/>
      <w:lang w:val="en-US" w:eastAsia="zh-CN" w:bidi="ar-SA"/>
    </w:rPr>
  </w:style>
  <w:style w:type="paragraph" w:styleId="3">
    <w:name w:val="heading 1"/>
    <w:next w:val="1"/>
    <w:qFormat/>
    <w:uiPriority w:val="9"/>
    <w:pPr>
      <w:keepNext/>
      <w:keepLines/>
      <w:widowControl w:val="0"/>
      <w:spacing w:line="360" w:lineRule="auto"/>
      <w:ind w:firstLine="880" w:firstLineChars="200"/>
      <w:jc w:val="both"/>
      <w:outlineLvl w:val="0"/>
    </w:pPr>
    <w:rPr>
      <w:rFonts w:ascii="Calibri" w:hAnsi="Calibri" w:eastAsia="黑体" w:cs="Times New Roman"/>
      <w:bCs/>
      <w:kern w:val="44"/>
      <w:sz w:val="32"/>
      <w:szCs w:val="44"/>
      <w:lang w:val="en-US" w:eastAsia="zh-CN" w:bidi="ar-SA"/>
    </w:rPr>
  </w:style>
  <w:style w:type="paragraph" w:styleId="4">
    <w:name w:val="heading 2"/>
    <w:next w:val="1"/>
    <w:qFormat/>
    <w:uiPriority w:val="0"/>
    <w:pPr>
      <w:keepNext/>
      <w:keepLines/>
      <w:spacing w:line="360" w:lineRule="auto"/>
      <w:ind w:firstLine="200" w:firstLineChars="200"/>
      <w:jc w:val="both"/>
      <w:outlineLvl w:val="1"/>
    </w:pPr>
    <w:rPr>
      <w:rFonts w:ascii="Arial" w:hAnsi="Arial" w:eastAsia="楷体" w:cs="Times New Roman"/>
      <w:kern w:val="2"/>
      <w:sz w:val="32"/>
      <w:lang w:val="en-US" w:eastAsia="zh-CN" w:bidi="ar-SA"/>
    </w:rPr>
  </w:style>
  <w:style w:type="paragraph" w:styleId="5">
    <w:name w:val="heading 3"/>
    <w:basedOn w:val="1"/>
    <w:next w:val="1"/>
    <w:qFormat/>
    <w:uiPriority w:val="0"/>
    <w:pPr>
      <w:keepNext/>
      <w:keepLines/>
      <w:spacing w:line="360" w:lineRule="auto"/>
      <w:ind w:firstLine="880" w:firstLineChars="200"/>
      <w:outlineLvl w:val="2"/>
    </w:pPr>
    <w:rPr>
      <w:rFonts w:ascii="仿宋" w:hAnsi="仿宋" w:eastAsia="仿宋"/>
      <w:b/>
      <w:sz w:val="32"/>
      <w:szCs w:val="20"/>
    </w:rPr>
  </w:style>
  <w:style w:type="character" w:default="1" w:styleId="19">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link w:val="29"/>
    <w:qFormat/>
    <w:uiPriority w:val="0"/>
    <w:pPr>
      <w:spacing w:line="360" w:lineRule="auto"/>
      <w:jc w:val="both"/>
    </w:pPr>
    <w:rPr>
      <w:rFonts w:ascii="Calibri" w:hAnsi="Calibri" w:eastAsia="仿宋" w:cs="Times New Roman"/>
      <w:color w:val="000000"/>
      <w:kern w:val="2"/>
      <w:sz w:val="32"/>
      <w:szCs w:val="24"/>
      <w:lang w:val="en-US" w:eastAsia="zh-CN" w:bidi="ar-SA"/>
    </w:rPr>
  </w:style>
  <w:style w:type="paragraph" w:styleId="6">
    <w:name w:val="caption"/>
    <w:basedOn w:val="1"/>
    <w:next w:val="1"/>
    <w:semiHidden/>
    <w:unhideWhenUsed/>
    <w:qFormat/>
    <w:uiPriority w:val="0"/>
    <w:pPr>
      <w:ind w:firstLine="200" w:firstLineChars="200"/>
    </w:pPr>
    <w:rPr>
      <w:rFonts w:hint="eastAsia" w:ascii="等线 Light" w:hAnsi="等线 Light" w:eastAsia="黑体" w:cs="Times New Roman"/>
      <w:sz w:val="20"/>
      <w:szCs w:val="20"/>
    </w:rPr>
  </w:style>
  <w:style w:type="paragraph" w:styleId="7">
    <w:name w:val="annotation text"/>
    <w:basedOn w:val="1"/>
    <w:link w:val="25"/>
    <w:qFormat/>
    <w:uiPriority w:val="0"/>
    <w:pPr>
      <w:jc w:val="left"/>
    </w:pPr>
  </w:style>
  <w:style w:type="paragraph" w:styleId="8">
    <w:name w:val="Body Text Indent"/>
    <w:basedOn w:val="1"/>
    <w:link w:val="27"/>
    <w:qFormat/>
    <w:uiPriority w:val="0"/>
    <w:pPr>
      <w:spacing w:after="120"/>
      <w:ind w:left="420" w:leftChars="200"/>
    </w:pPr>
  </w:style>
  <w:style w:type="paragraph" w:styleId="9">
    <w:name w:val="toc 3"/>
    <w:basedOn w:val="1"/>
    <w:next w:val="1"/>
    <w:qFormat/>
    <w:uiPriority w:val="0"/>
    <w:pPr>
      <w:ind w:left="840" w:leftChars="400"/>
    </w:pPr>
  </w:style>
  <w:style w:type="paragraph" w:styleId="10">
    <w:name w:val="footer"/>
    <w:basedOn w:val="1"/>
    <w:unhideWhenUsed/>
    <w:qFormat/>
    <w:uiPriority w:val="99"/>
    <w:pPr>
      <w:tabs>
        <w:tab w:val="center" w:pos="4153"/>
        <w:tab w:val="right" w:pos="8306"/>
      </w:tabs>
      <w:snapToGrid w:val="0"/>
      <w:jc w:val="left"/>
    </w:pPr>
    <w:rPr>
      <w:sz w:val="18"/>
      <w:szCs w:val="18"/>
    </w:rPr>
  </w:style>
  <w:style w:type="paragraph" w:styleId="11">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2">
    <w:name w:val="toc 1"/>
    <w:basedOn w:val="1"/>
    <w:next w:val="1"/>
    <w:qFormat/>
    <w:uiPriority w:val="0"/>
  </w:style>
  <w:style w:type="paragraph" w:styleId="13">
    <w:name w:val="toc 2"/>
    <w:basedOn w:val="1"/>
    <w:next w:val="1"/>
    <w:qFormat/>
    <w:uiPriority w:val="0"/>
    <w:pPr>
      <w:ind w:left="420" w:leftChars="200"/>
    </w:pPr>
  </w:style>
  <w:style w:type="paragraph" w:styleId="14">
    <w:name w:val="Normal (Web)"/>
    <w:basedOn w:val="1"/>
    <w:qFormat/>
    <w:uiPriority w:val="0"/>
  </w:style>
  <w:style w:type="paragraph" w:styleId="15">
    <w:name w:val="annotation subject"/>
    <w:basedOn w:val="7"/>
    <w:next w:val="7"/>
    <w:link w:val="26"/>
    <w:qFormat/>
    <w:uiPriority w:val="0"/>
    <w:rPr>
      <w:b/>
      <w:bCs/>
    </w:rPr>
  </w:style>
  <w:style w:type="paragraph" w:styleId="16">
    <w:name w:val="Body Text First Indent 2"/>
    <w:basedOn w:val="8"/>
    <w:link w:val="28"/>
    <w:qFormat/>
    <w:uiPriority w:val="0"/>
    <w:pPr>
      <w:ind w:firstLine="420" w:firstLineChars="200"/>
    </w:pPr>
    <w:rPr>
      <w:rFonts w:ascii="Times New Roman" w:hAnsi="Times New Roman" w:eastAsia="仿宋_GB2312" w:cs="Times New Roman"/>
      <w:sz w:val="28"/>
      <w:szCs w:val="22"/>
    </w:rPr>
  </w:style>
  <w:style w:type="table" w:styleId="18">
    <w:name w:val="Table Grid"/>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
  </w:style>
  <w:style w:type="character" w:styleId="20">
    <w:name w:val="page number"/>
    <w:basedOn w:val="19"/>
    <w:unhideWhenUsed/>
    <w:qFormat/>
    <w:uiPriority w:val="99"/>
  </w:style>
  <w:style w:type="character" w:styleId="21">
    <w:name w:val="Hyperlink"/>
    <w:basedOn w:val="19"/>
    <w:qFormat/>
    <w:uiPriority w:val="0"/>
    <w:rPr>
      <w:color w:val="0000FF"/>
      <w:u w:val="single"/>
    </w:rPr>
  </w:style>
  <w:style w:type="character" w:styleId="22">
    <w:name w:val="annotation reference"/>
    <w:basedOn w:val="19"/>
    <w:qFormat/>
    <w:uiPriority w:val="0"/>
    <w:rPr>
      <w:sz w:val="21"/>
      <w:szCs w:val="21"/>
    </w:rPr>
  </w:style>
  <w:style w:type="paragraph" w:customStyle="1" w:styleId="23">
    <w:name w:val="cauc-0"/>
    <w:qFormat/>
    <w:uiPriority w:val="0"/>
    <w:pPr>
      <w:spacing w:after="200" w:line="360" w:lineRule="auto"/>
      <w:ind w:firstLine="480" w:firstLineChars="200"/>
    </w:pPr>
    <w:rPr>
      <w:rFonts w:ascii="Times New Roman" w:hAnsi="Times New Roman" w:eastAsia="宋体" w:cs="Times New Roman"/>
      <w:kern w:val="2"/>
      <w:sz w:val="24"/>
      <w:szCs w:val="24"/>
      <w:lang w:val="en-US" w:eastAsia="zh-CN" w:bidi="ar-SA"/>
    </w:rPr>
  </w:style>
  <w:style w:type="paragraph" w:customStyle="1" w:styleId="24">
    <w:name w:val="修订1"/>
    <w:hidden/>
    <w:semiHidden/>
    <w:qFormat/>
    <w:uiPriority w:val="99"/>
    <w:rPr>
      <w:rFonts w:asciiTheme="minorHAnsi" w:hAnsiTheme="minorHAnsi" w:eastAsiaTheme="minorEastAsia" w:cstheme="minorBidi"/>
      <w:kern w:val="2"/>
      <w:sz w:val="24"/>
      <w:szCs w:val="24"/>
      <w:lang w:val="en-US" w:eastAsia="zh-CN" w:bidi="ar-SA"/>
    </w:rPr>
  </w:style>
  <w:style w:type="character" w:customStyle="1" w:styleId="25">
    <w:name w:val="批注文字 字符"/>
    <w:basedOn w:val="19"/>
    <w:link w:val="7"/>
    <w:qFormat/>
    <w:uiPriority w:val="0"/>
    <w:rPr>
      <w:rFonts w:asciiTheme="minorHAnsi" w:hAnsiTheme="minorHAnsi" w:eastAsiaTheme="minorEastAsia" w:cstheme="minorBidi"/>
      <w:kern w:val="2"/>
      <w:sz w:val="24"/>
      <w:szCs w:val="24"/>
    </w:rPr>
  </w:style>
  <w:style w:type="character" w:customStyle="1" w:styleId="26">
    <w:name w:val="批注主题 字符"/>
    <w:basedOn w:val="25"/>
    <w:link w:val="15"/>
    <w:qFormat/>
    <w:uiPriority w:val="0"/>
    <w:rPr>
      <w:rFonts w:asciiTheme="minorHAnsi" w:hAnsiTheme="minorHAnsi" w:eastAsiaTheme="minorEastAsia" w:cstheme="minorBidi"/>
      <w:b/>
      <w:bCs/>
      <w:kern w:val="2"/>
      <w:sz w:val="24"/>
      <w:szCs w:val="24"/>
    </w:rPr>
  </w:style>
  <w:style w:type="character" w:customStyle="1" w:styleId="27">
    <w:name w:val="正文文本缩进 字符"/>
    <w:basedOn w:val="19"/>
    <w:link w:val="8"/>
    <w:qFormat/>
    <w:uiPriority w:val="0"/>
    <w:rPr>
      <w:rFonts w:hint="eastAsia" w:ascii="仿宋_GB2312" w:eastAsia="仿宋_GB2312" w:cs="仿宋_GB2312"/>
      <w:kern w:val="2"/>
      <w:sz w:val="28"/>
      <w:szCs w:val="22"/>
    </w:rPr>
  </w:style>
  <w:style w:type="character" w:customStyle="1" w:styleId="28">
    <w:name w:val="正文文本首行缩进 2 字符"/>
    <w:basedOn w:val="27"/>
    <w:link w:val="16"/>
    <w:qFormat/>
    <w:uiPriority w:val="0"/>
    <w:rPr>
      <w:rFonts w:hint="eastAsia" w:ascii="仿宋_GB2312" w:eastAsia="仿宋_GB2312" w:cs="仿宋_GB2312"/>
      <w:kern w:val="2"/>
      <w:sz w:val="28"/>
      <w:szCs w:val="22"/>
    </w:rPr>
  </w:style>
  <w:style w:type="character" w:customStyle="1" w:styleId="29">
    <w:name w:val="正文文本 字符"/>
    <w:basedOn w:val="19"/>
    <w:link w:val="2"/>
    <w:qFormat/>
    <w:uiPriority w:val="0"/>
    <w:rPr>
      <w:rFonts w:hint="eastAsia" w:ascii="仿宋_GB2312" w:eastAsia="仿宋_GB2312" w:cs="仿宋_GB2312"/>
      <w:kern w:val="2"/>
      <w:sz w:val="28"/>
      <w:szCs w:val="22"/>
    </w:rPr>
  </w:style>
  <w:style w:type="paragraph" w:customStyle="1" w:styleId="30">
    <w:name w:val="Revision"/>
    <w:hidden/>
    <w:semiHidden/>
    <w:qFormat/>
    <w:uiPriority w:val="99"/>
    <w:rPr>
      <w:rFonts w:asciiTheme="minorHAnsi" w:hAnsiTheme="minorHAnsi" w:eastAsiaTheme="minorEastAsia" w:cstheme="minorBidi"/>
      <w:kern w:val="2"/>
      <w:sz w:val="24"/>
      <w:szCs w:val="24"/>
      <w:lang w:val="en-US" w:eastAsia="zh-CN" w:bidi="ar-SA"/>
    </w:rPr>
  </w:style>
  <w:style w:type="character" w:customStyle="1" w:styleId="31">
    <w:name w:val="font11"/>
    <w:basedOn w:val="19"/>
    <w:qFormat/>
    <w:uiPriority w:val="0"/>
    <w:rPr>
      <w:rFonts w:hint="eastAsia" w:ascii="仿宋_GB2312" w:eastAsia="仿宋_GB2312" w:cs="仿宋_GB2312"/>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2.xml"/><Relationship Id="rId13" Type="http://schemas.openxmlformats.org/officeDocument/2006/relationships/customXml" Target="../customXml/item1.xml"/><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5DF1036-31BE-0C47-9EB6-030C622C7EDD}">
  <ds:schemaRefs/>
</ds:datastoreItem>
</file>

<file path=docProps/app.xml><?xml version="1.0" encoding="utf-8"?>
<Properties xmlns="http://schemas.openxmlformats.org/officeDocument/2006/extended-properties" xmlns:vt="http://schemas.openxmlformats.org/officeDocument/2006/docPropsVTypes">
  <Template>Normal.dotm</Template>
  <Pages>48</Pages>
  <Words>19017</Words>
  <Characters>20593</Characters>
  <Lines>1323</Lines>
  <Paragraphs>1193</Paragraphs>
  <TotalTime>12</TotalTime>
  <ScaleCrop>false</ScaleCrop>
  <LinksUpToDate>false</LinksUpToDate>
  <CharactersWithSpaces>21135</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2022-04-01T06:24:00Z</dcterms:created>
  <dc:creator>Voyage</dc:creator>
  <cp:lastModifiedBy>voyage</cp:lastModifiedBy>
  <cp:lastPrinted>2022-04-22T01:40:00Z</cp:lastPrinted>
  <dcterms:modified xsi:type="dcterms:W3CDTF">2022-05-25T10:53:47Z</dcterms:modified>
  <cp:revision>362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70A521DA8A704E90A4E41D8F72F5E0F2</vt:lpwstr>
  </property>
</Properties>
</file>