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75C" w:rsidRPr="00F8675C" w:rsidRDefault="00F8675C" w:rsidP="00F8675C">
      <w:pPr>
        <w:ind w:left="560"/>
        <w:rPr>
          <w:rFonts w:ascii="仿宋_GB2312" w:eastAsia="仿宋_GB2312" w:hAnsi="黑体" w:hint="eastAsia"/>
          <w:sz w:val="32"/>
          <w:szCs w:val="32"/>
        </w:rPr>
      </w:pPr>
      <w:r w:rsidRPr="00F8675C">
        <w:rPr>
          <w:rFonts w:ascii="仿宋_GB2312" w:eastAsia="仿宋_GB2312" w:hAnsi="黑体" w:hint="eastAsia"/>
          <w:sz w:val="32"/>
          <w:szCs w:val="32"/>
        </w:rPr>
        <w:t>附件1</w:t>
      </w:r>
      <w:r>
        <w:rPr>
          <w:rFonts w:ascii="仿宋_GB2312" w:eastAsia="仿宋_GB2312" w:hAnsi="黑体" w:hint="eastAsia"/>
          <w:sz w:val="32"/>
          <w:szCs w:val="32"/>
        </w:rPr>
        <w:t>.</w:t>
      </w:r>
      <w:bookmarkStart w:id="0" w:name="_GoBack"/>
      <w:bookmarkEnd w:id="0"/>
    </w:p>
    <w:p w:rsidR="00F8675C" w:rsidRDefault="00F8675C" w:rsidP="00F8675C">
      <w:pPr>
        <w:ind w:left="560"/>
        <w:jc w:val="center"/>
        <w:rPr>
          <w:rFonts w:ascii="方正小标宋简体" w:eastAsia="方正小标宋简体" w:hAnsi="黑体" w:hint="eastAsia"/>
          <w:sz w:val="44"/>
          <w:szCs w:val="44"/>
        </w:rPr>
      </w:pPr>
      <w:r w:rsidRPr="00F8675C">
        <w:rPr>
          <w:rFonts w:ascii="方正小标宋简体" w:eastAsia="方正小标宋简体" w:hAnsi="黑体" w:hint="eastAsia"/>
          <w:sz w:val="44"/>
          <w:szCs w:val="44"/>
        </w:rPr>
        <w:t>部门整体绩效评价报告</w:t>
      </w:r>
    </w:p>
    <w:p w:rsidR="00F8675C" w:rsidRPr="00F8675C" w:rsidRDefault="00F8675C" w:rsidP="00F8675C">
      <w:pPr>
        <w:pStyle w:val="a0"/>
        <w:ind w:firstLine="420"/>
        <w:rPr>
          <w:rFonts w:hint="eastAsia"/>
        </w:rPr>
      </w:pPr>
    </w:p>
    <w:p w:rsidR="00F8675C" w:rsidRDefault="00F8675C" w:rsidP="00F8675C">
      <w:pPr>
        <w:ind w:firstLineChars="200" w:firstLine="560"/>
        <w:rPr>
          <w:rFonts w:ascii="仿宋_GB2312" w:eastAsia="仿宋_GB2312" w:hAnsi="仿宋_GB2312" w:cs="仿宋_GB2312" w:hint="eastAsia"/>
          <w:color w:val="000000"/>
          <w:kern w:val="0"/>
          <w:sz w:val="28"/>
          <w:szCs w:val="28"/>
        </w:rPr>
      </w:pPr>
      <w:r>
        <w:rPr>
          <w:rFonts w:ascii="仿宋_GB2312" w:eastAsia="仿宋_GB2312" w:hAnsi="黑体" w:cs="宋体" w:hint="eastAsia"/>
          <w:color w:val="000000"/>
          <w:kern w:val="0"/>
          <w:sz w:val="28"/>
          <w:szCs w:val="28"/>
        </w:rPr>
        <w:t>（</w:t>
      </w:r>
      <w:r>
        <w:rPr>
          <w:rFonts w:ascii="仿宋_GB2312" w:eastAsia="仿宋_GB2312" w:hAnsi="仿宋_GB2312" w:cs="仿宋_GB2312" w:hint="eastAsia"/>
          <w:color w:val="000000"/>
          <w:kern w:val="0"/>
          <w:sz w:val="28"/>
          <w:szCs w:val="28"/>
        </w:rPr>
        <w:t>一）部门概况</w:t>
      </w:r>
    </w:p>
    <w:p w:rsidR="00F8675C" w:rsidRDefault="00F8675C" w:rsidP="00F8675C">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1.机构设置及职责工作任务情况</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市检</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分院是国家法律监督机关。按照《北京市检察机关内设机构改革方案》要求，市检一分</w:t>
      </w:r>
      <w:proofErr w:type="gramStart"/>
      <w:r>
        <w:rPr>
          <w:rFonts w:ascii="仿宋_GB2312" w:eastAsia="仿宋_GB2312" w:hAnsi="仿宋_GB2312" w:cs="仿宋_GB2312" w:hint="eastAsia"/>
          <w:sz w:val="28"/>
          <w:szCs w:val="28"/>
        </w:rPr>
        <w:t>院本级</w:t>
      </w:r>
      <w:proofErr w:type="gramEnd"/>
      <w:r>
        <w:rPr>
          <w:rFonts w:ascii="仿宋_GB2312" w:eastAsia="仿宋_GB2312" w:hAnsi="仿宋_GB2312" w:cs="仿宋_GB2312" w:hint="eastAsia"/>
          <w:sz w:val="28"/>
          <w:szCs w:val="28"/>
        </w:rPr>
        <w:t>共设置12个职能部（室），其中业务部门9个，分别为第一检察部、第二检察部、第三检察部、第四检察部、第五检察部、第六检察部、第七检察部、第八检察部、第九检察部（法律政策研究室）；行政部门3个，分别是办公室、检务督察部、行政事务管理部。另设政治部、机关党委（党建工作处）、机关纪委。</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市检</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分院在北京市人民检察院的领导下，依法行使检察权，其主要职责是：</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（1）负责受理审查属市检</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分院管辖提请逮捕的案件；</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（2）负责受理属市检</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分院管辖提起公诉的案件并出庭支持公诉；</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（3）负责公安机关不服区人民检察院不捕决定而提请复核的案件；</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（4）负责受理案件管辖范围</w:t>
      </w:r>
      <w:proofErr w:type="gramStart"/>
      <w:r>
        <w:rPr>
          <w:rFonts w:ascii="仿宋_GB2312" w:eastAsia="仿宋_GB2312" w:hAnsi="仿宋_GB2312" w:cs="仿宋_GB2312" w:hint="eastAsia"/>
          <w:sz w:val="28"/>
          <w:szCs w:val="28"/>
        </w:rPr>
        <w:t>内公民</w:t>
      </w:r>
      <w:proofErr w:type="gramEnd"/>
      <w:r>
        <w:rPr>
          <w:rFonts w:ascii="仿宋_GB2312" w:eastAsia="仿宋_GB2312" w:hAnsi="仿宋_GB2312" w:cs="仿宋_GB2312" w:hint="eastAsia"/>
          <w:sz w:val="28"/>
          <w:szCs w:val="28"/>
        </w:rPr>
        <w:t>和法人的检举、控告、申诉案件；</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（5）负责对案件管辖范围内刑事上诉、抗诉案件和基层法院已</w:t>
      </w:r>
      <w:r>
        <w:rPr>
          <w:rFonts w:ascii="仿宋_GB2312" w:eastAsia="仿宋_GB2312" w:hAnsi="仿宋_GB2312" w:cs="仿宋_GB2312" w:hint="eastAsia"/>
          <w:sz w:val="28"/>
          <w:szCs w:val="28"/>
        </w:rPr>
        <w:lastRenderedPageBreak/>
        <w:t>发生法律效力判决的监督；</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（6）负责对案件管辖范围内的民事、行政诉讼活动进行监督。负责开展公益诉讼工作；</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（7）受理案件管辖范围内的涉外案件；</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（8）负责对管辖范围内公安机关、国家安全机关的侦查工作的法律监督；</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（9）负责对应由分院管辖的刑事赔偿案件的审查及不服区人民检察院处理的赔偿案件的复议；</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（10）负责市检</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分院的队伍建设和权限内的干部人事管理工作；负责市检</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分院的检务督察工作；负责市检</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分院的后勤和物资装备工作；</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（11）负责市人民检察院交办的有关工作。</w:t>
      </w:r>
    </w:p>
    <w:p w:rsidR="00F8675C" w:rsidRDefault="00F8675C" w:rsidP="00F8675C">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2.部门整体绩效目标设立情况</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2021年是“十四五”开局之年，也是开启全面建设社会主义现代化国家新征程的重要年份。全市检察机关以习近平新时代中国特色社会主义思想为指导，深入贯彻党的十九大和十九届二中、三中、四中、五中全会精神，认真落实中央、市委、高检院的决策部署，牢牢把握坚持和完善中国特色社会主义政法工作体系总要求，紧紧围绕构建更加有效的首都治理体系，对外认真履行法律监督职能、充分发挥诉讼程序制约作用，对内深化检察管理监督制约体系建设，全面履行检察职能，全面提升办案质效，扎实推进基层基础建设，不断深化司法改革，进一步加强检察队伍建设，为首都经济社会发展提供有力的</w:t>
      </w:r>
      <w:r>
        <w:rPr>
          <w:rFonts w:ascii="仿宋_GB2312" w:eastAsia="仿宋_GB2312" w:hAnsi="仿宋_GB2312" w:cs="仿宋_GB2312" w:hint="eastAsia"/>
          <w:sz w:val="28"/>
          <w:szCs w:val="28"/>
        </w:rPr>
        <w:lastRenderedPageBreak/>
        <w:t>检察服务保障。</w:t>
      </w:r>
    </w:p>
    <w:p w:rsidR="00F8675C" w:rsidRDefault="00F8675C" w:rsidP="00F8675C">
      <w:pPr>
        <w:ind w:firstLineChars="200"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（二）当年预算执行情况</w:t>
      </w:r>
    </w:p>
    <w:p w:rsidR="00F8675C" w:rsidRDefault="00F8675C" w:rsidP="00F8675C">
      <w:pPr>
        <w:ind w:firstLineChars="200"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2021年全年预算数</w:t>
      </w:r>
      <w:r>
        <w:rPr>
          <w:rFonts w:ascii="仿宋_GB2312" w:eastAsia="仿宋_GB2312" w:hAnsi="仿宋_GB2312" w:cs="仿宋_GB2312" w:hint="eastAsia"/>
          <w:kern w:val="0"/>
          <w:sz w:val="28"/>
          <w:szCs w:val="28"/>
        </w:rPr>
        <w:t>11302.93</w:t>
      </w:r>
      <w:r>
        <w:rPr>
          <w:rFonts w:ascii="仿宋_GB2312" w:eastAsia="仿宋_GB2312" w:hAnsi="仿宋_GB2312" w:cs="仿宋_GB2312" w:hint="eastAsia"/>
          <w:color w:val="000000"/>
          <w:kern w:val="0"/>
          <w:sz w:val="28"/>
          <w:szCs w:val="28"/>
        </w:rPr>
        <w:t>万元，其中，基本支出预算数</w:t>
      </w:r>
      <w:r>
        <w:rPr>
          <w:rFonts w:ascii="仿宋_GB2312" w:eastAsia="仿宋_GB2312" w:hAnsi="仿宋_GB2312" w:cs="仿宋_GB2312" w:hint="eastAsia"/>
          <w:kern w:val="0"/>
          <w:sz w:val="28"/>
          <w:szCs w:val="28"/>
        </w:rPr>
        <w:t>10317.39</w:t>
      </w:r>
      <w:r>
        <w:rPr>
          <w:rFonts w:ascii="仿宋_GB2312" w:eastAsia="仿宋_GB2312" w:hAnsi="仿宋_GB2312" w:cs="仿宋_GB2312" w:hint="eastAsia"/>
          <w:color w:val="000000"/>
          <w:kern w:val="0"/>
          <w:sz w:val="28"/>
          <w:szCs w:val="28"/>
        </w:rPr>
        <w:t>万元，项目支出预算数</w:t>
      </w:r>
      <w:r>
        <w:rPr>
          <w:rFonts w:ascii="仿宋_GB2312" w:eastAsia="仿宋_GB2312" w:hAnsi="仿宋_GB2312" w:cs="仿宋_GB2312" w:hint="eastAsia"/>
          <w:kern w:val="0"/>
          <w:sz w:val="28"/>
          <w:szCs w:val="28"/>
        </w:rPr>
        <w:t>985.54</w:t>
      </w:r>
      <w:r>
        <w:rPr>
          <w:rFonts w:ascii="仿宋_GB2312" w:eastAsia="仿宋_GB2312" w:hAnsi="仿宋_GB2312" w:cs="仿宋_GB2312" w:hint="eastAsia"/>
          <w:color w:val="000000"/>
          <w:kern w:val="0"/>
          <w:sz w:val="28"/>
          <w:szCs w:val="28"/>
        </w:rPr>
        <w:t>万元，其他支出预算数</w:t>
      </w:r>
      <w:r>
        <w:rPr>
          <w:rFonts w:ascii="仿宋_GB2312" w:eastAsia="仿宋_GB2312" w:hAnsi="仿宋_GB2312" w:cs="仿宋_GB2312" w:hint="eastAsia"/>
          <w:kern w:val="0"/>
          <w:sz w:val="28"/>
          <w:szCs w:val="28"/>
        </w:rPr>
        <w:t>0</w:t>
      </w:r>
      <w:r>
        <w:rPr>
          <w:rFonts w:ascii="仿宋_GB2312" w:eastAsia="仿宋_GB2312" w:hAnsi="仿宋_GB2312" w:cs="仿宋_GB2312" w:hint="eastAsia"/>
          <w:color w:val="000000"/>
          <w:kern w:val="0"/>
          <w:sz w:val="28"/>
          <w:szCs w:val="28"/>
        </w:rPr>
        <w:t>万元。资金总体支出</w:t>
      </w:r>
      <w:r>
        <w:rPr>
          <w:rFonts w:ascii="仿宋_GB2312" w:eastAsia="仿宋_GB2312" w:hAnsi="仿宋_GB2312" w:cs="仿宋_GB2312" w:hint="eastAsia"/>
          <w:kern w:val="0"/>
          <w:sz w:val="28"/>
          <w:szCs w:val="28"/>
        </w:rPr>
        <w:t>11076.26</w:t>
      </w:r>
      <w:r>
        <w:rPr>
          <w:rFonts w:ascii="仿宋_GB2312" w:eastAsia="仿宋_GB2312" w:hAnsi="仿宋_GB2312" w:cs="仿宋_GB2312" w:hint="eastAsia"/>
          <w:color w:val="000000"/>
          <w:kern w:val="0"/>
          <w:sz w:val="28"/>
          <w:szCs w:val="28"/>
        </w:rPr>
        <w:t>万元，其中，基本支出</w:t>
      </w:r>
      <w:r>
        <w:rPr>
          <w:rFonts w:ascii="仿宋_GB2312" w:eastAsia="仿宋_GB2312" w:hAnsi="仿宋_GB2312" w:cs="仿宋_GB2312" w:hint="eastAsia"/>
          <w:kern w:val="0"/>
          <w:sz w:val="28"/>
          <w:szCs w:val="28"/>
        </w:rPr>
        <w:t>10141.95</w:t>
      </w:r>
      <w:r>
        <w:rPr>
          <w:rFonts w:ascii="仿宋_GB2312" w:eastAsia="仿宋_GB2312" w:hAnsi="仿宋_GB2312" w:cs="仿宋_GB2312" w:hint="eastAsia"/>
          <w:color w:val="000000"/>
          <w:kern w:val="0"/>
          <w:sz w:val="28"/>
          <w:szCs w:val="28"/>
        </w:rPr>
        <w:t>万元，项目支出</w:t>
      </w:r>
      <w:r>
        <w:rPr>
          <w:rFonts w:ascii="仿宋_GB2312" w:eastAsia="仿宋_GB2312" w:hAnsi="仿宋_GB2312" w:cs="仿宋_GB2312" w:hint="eastAsia"/>
          <w:kern w:val="0"/>
          <w:sz w:val="28"/>
          <w:szCs w:val="28"/>
        </w:rPr>
        <w:t>934.31</w:t>
      </w:r>
      <w:r>
        <w:rPr>
          <w:rFonts w:ascii="仿宋_GB2312" w:eastAsia="仿宋_GB2312" w:hAnsi="仿宋_GB2312" w:cs="仿宋_GB2312" w:hint="eastAsia"/>
          <w:color w:val="000000"/>
          <w:kern w:val="0"/>
          <w:sz w:val="28"/>
          <w:szCs w:val="28"/>
        </w:rPr>
        <w:t>万元，其他支出</w:t>
      </w:r>
      <w:r>
        <w:rPr>
          <w:rFonts w:ascii="仿宋_GB2312" w:eastAsia="仿宋_GB2312" w:hAnsi="仿宋_GB2312" w:cs="仿宋_GB2312" w:hint="eastAsia"/>
          <w:kern w:val="0"/>
          <w:sz w:val="28"/>
          <w:szCs w:val="28"/>
        </w:rPr>
        <w:t>0</w:t>
      </w:r>
      <w:r>
        <w:rPr>
          <w:rFonts w:ascii="仿宋_GB2312" w:eastAsia="仿宋_GB2312" w:hAnsi="仿宋_GB2312" w:cs="仿宋_GB2312" w:hint="eastAsia"/>
          <w:color w:val="000000"/>
          <w:kern w:val="0"/>
          <w:sz w:val="28"/>
          <w:szCs w:val="28"/>
        </w:rPr>
        <w:t>万元。预算执行率为</w:t>
      </w:r>
      <w:r>
        <w:rPr>
          <w:rFonts w:ascii="仿宋_GB2312" w:eastAsia="仿宋_GB2312" w:hAnsi="仿宋_GB2312" w:cs="仿宋_GB2312" w:hint="eastAsia"/>
          <w:kern w:val="0"/>
          <w:sz w:val="28"/>
          <w:szCs w:val="28"/>
        </w:rPr>
        <w:t>97.99%</w:t>
      </w:r>
      <w:r>
        <w:rPr>
          <w:rFonts w:ascii="仿宋_GB2312" w:eastAsia="仿宋_GB2312" w:hAnsi="仿宋_GB2312" w:cs="仿宋_GB2312" w:hint="eastAsia"/>
          <w:color w:val="000000"/>
          <w:kern w:val="0"/>
          <w:sz w:val="28"/>
          <w:szCs w:val="28"/>
        </w:rPr>
        <w:t>。</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（三）整体绩效目标实现情况</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1.产出完成情况分析</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（1）产出数量</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2021年共计完成8个项目，主要为机构运行保障类项目。</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fldChar w:fldCharType="begin"/>
      </w:r>
      <w:r>
        <w:rPr>
          <w:rFonts w:ascii="仿宋_GB2312" w:eastAsia="仿宋_GB2312" w:hAnsi="仿宋_GB2312" w:cs="仿宋_GB2312" w:hint="eastAsia"/>
          <w:color w:val="000000"/>
          <w:kern w:val="0"/>
          <w:sz w:val="28"/>
          <w:szCs w:val="28"/>
        </w:rPr>
        <w:instrText xml:space="preserve"> = 1 \* GB3 </w:instrText>
      </w:r>
      <w:r>
        <w:rPr>
          <w:rFonts w:ascii="仿宋_GB2312" w:eastAsia="仿宋_GB2312" w:hAnsi="仿宋_GB2312" w:cs="仿宋_GB2312" w:hint="eastAsia"/>
          <w:color w:val="000000"/>
          <w:kern w:val="0"/>
          <w:sz w:val="28"/>
          <w:szCs w:val="28"/>
        </w:rPr>
        <w:fldChar w:fldCharType="separate"/>
      </w:r>
      <w:r>
        <w:rPr>
          <w:rFonts w:ascii="仿宋_GB2312" w:eastAsia="仿宋_GB2312" w:hAnsi="仿宋_GB2312" w:cs="仿宋_GB2312" w:hint="eastAsia"/>
          <w:color w:val="000000"/>
          <w:kern w:val="0"/>
          <w:sz w:val="28"/>
          <w:szCs w:val="28"/>
          <w:lang w:val="en-US" w:eastAsia="zh-CN"/>
        </w:rPr>
        <w:t>①</w:t>
      </w:r>
      <w:r>
        <w:rPr>
          <w:rFonts w:ascii="仿宋_GB2312" w:eastAsia="仿宋_GB2312" w:hAnsi="仿宋_GB2312" w:cs="仿宋_GB2312" w:hint="eastAsia"/>
          <w:color w:val="000000"/>
          <w:kern w:val="0"/>
          <w:sz w:val="28"/>
          <w:szCs w:val="28"/>
        </w:rPr>
        <w:fldChar w:fldCharType="end"/>
      </w:r>
      <w:r>
        <w:rPr>
          <w:rFonts w:ascii="仿宋_GB2312" w:eastAsia="仿宋_GB2312" w:hAnsi="仿宋_GB2312" w:cs="仿宋_GB2312" w:hint="eastAsia"/>
          <w:color w:val="000000"/>
          <w:kern w:val="0"/>
          <w:sz w:val="28"/>
          <w:szCs w:val="28"/>
        </w:rPr>
        <w:t>对接服务“五子”联动融入新发展格局，全</w:t>
      </w:r>
      <w:proofErr w:type="gramStart"/>
      <w:r>
        <w:rPr>
          <w:rFonts w:ascii="仿宋_GB2312" w:eastAsia="仿宋_GB2312" w:hAnsi="仿宋_GB2312" w:cs="仿宋_GB2312" w:hint="eastAsia"/>
          <w:color w:val="000000"/>
          <w:kern w:val="0"/>
          <w:sz w:val="28"/>
          <w:szCs w:val="28"/>
        </w:rPr>
        <w:t>院办结四大</w:t>
      </w:r>
      <w:proofErr w:type="gramEnd"/>
      <w:r>
        <w:rPr>
          <w:rFonts w:ascii="仿宋_GB2312" w:eastAsia="仿宋_GB2312" w:hAnsi="仿宋_GB2312" w:cs="仿宋_GB2312" w:hint="eastAsia"/>
          <w:color w:val="000000"/>
          <w:kern w:val="0"/>
          <w:sz w:val="28"/>
          <w:szCs w:val="28"/>
        </w:rPr>
        <w:t>检察案件2137件。依法办理全市涉邪教犯罪审查逮捕案件，批捕87件127人，</w:t>
      </w:r>
      <w:proofErr w:type="gramStart"/>
      <w:r>
        <w:rPr>
          <w:rFonts w:ascii="仿宋_GB2312" w:eastAsia="仿宋_GB2312" w:hAnsi="仿宋_GB2312" w:cs="仿宋_GB2312" w:hint="eastAsia"/>
          <w:color w:val="000000"/>
          <w:kern w:val="0"/>
          <w:sz w:val="28"/>
          <w:szCs w:val="28"/>
        </w:rPr>
        <w:t>不</w:t>
      </w:r>
      <w:proofErr w:type="gramEnd"/>
      <w:r>
        <w:rPr>
          <w:rFonts w:ascii="仿宋_GB2312" w:eastAsia="仿宋_GB2312" w:hAnsi="仿宋_GB2312" w:cs="仿宋_GB2312" w:hint="eastAsia"/>
          <w:color w:val="000000"/>
          <w:kern w:val="0"/>
          <w:sz w:val="28"/>
          <w:szCs w:val="28"/>
        </w:rPr>
        <w:t>批捕28件40人，坚决维护首都安全和政治稳定。推进扫黑除恶常态化，审查起诉1件6人，指导区院办理案件7件42人，助力建设更高水平的平安北京。</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fldChar w:fldCharType="begin"/>
      </w:r>
      <w:r>
        <w:rPr>
          <w:rFonts w:ascii="仿宋_GB2312" w:eastAsia="仿宋_GB2312" w:hAnsi="仿宋_GB2312" w:cs="仿宋_GB2312" w:hint="eastAsia"/>
          <w:color w:val="000000"/>
          <w:kern w:val="0"/>
          <w:sz w:val="28"/>
          <w:szCs w:val="28"/>
        </w:rPr>
        <w:instrText xml:space="preserve"> = 2 \* GB3 </w:instrText>
      </w:r>
      <w:r>
        <w:rPr>
          <w:rFonts w:ascii="仿宋_GB2312" w:eastAsia="仿宋_GB2312" w:hAnsi="仿宋_GB2312" w:cs="仿宋_GB2312" w:hint="eastAsia"/>
          <w:color w:val="000000"/>
          <w:kern w:val="0"/>
          <w:sz w:val="28"/>
          <w:szCs w:val="28"/>
        </w:rPr>
        <w:fldChar w:fldCharType="separate"/>
      </w:r>
      <w:r>
        <w:rPr>
          <w:rFonts w:ascii="仿宋_GB2312" w:eastAsia="仿宋_GB2312" w:hAnsi="仿宋_GB2312" w:cs="仿宋_GB2312" w:hint="eastAsia"/>
          <w:color w:val="000000"/>
          <w:kern w:val="0"/>
          <w:sz w:val="28"/>
          <w:szCs w:val="28"/>
          <w:lang w:val="en-US" w:eastAsia="zh-CN"/>
        </w:rPr>
        <w:t>②</w:t>
      </w:r>
      <w:r>
        <w:rPr>
          <w:rFonts w:ascii="仿宋_GB2312" w:eastAsia="仿宋_GB2312" w:hAnsi="仿宋_GB2312" w:cs="仿宋_GB2312" w:hint="eastAsia"/>
          <w:color w:val="000000"/>
          <w:kern w:val="0"/>
          <w:sz w:val="28"/>
          <w:szCs w:val="28"/>
        </w:rPr>
        <w:fldChar w:fldCharType="end"/>
      </w:r>
      <w:r>
        <w:rPr>
          <w:rFonts w:ascii="仿宋_GB2312" w:eastAsia="仿宋_GB2312" w:hAnsi="仿宋_GB2312" w:cs="仿宋_GB2312" w:hint="eastAsia"/>
          <w:color w:val="000000"/>
          <w:kern w:val="0"/>
          <w:sz w:val="28"/>
          <w:szCs w:val="28"/>
        </w:rPr>
        <w:t>院领导包案办理高检院、市信访办交办的3批112件重复信访积案，申诉案件息诉罢访和依法终结数量位居全市检察机关前列。坚持“应听证尽听证”，举行公开听证60件，就25件</w:t>
      </w:r>
      <w:proofErr w:type="gramStart"/>
      <w:r>
        <w:rPr>
          <w:rFonts w:ascii="仿宋_GB2312" w:eastAsia="仿宋_GB2312" w:hAnsi="仿宋_GB2312" w:cs="仿宋_GB2312" w:hint="eastAsia"/>
          <w:color w:val="000000"/>
          <w:kern w:val="0"/>
          <w:sz w:val="28"/>
          <w:szCs w:val="28"/>
        </w:rPr>
        <w:t>案件赴</w:t>
      </w:r>
      <w:proofErr w:type="gramEnd"/>
      <w:r>
        <w:rPr>
          <w:rFonts w:ascii="仿宋_GB2312" w:eastAsia="仿宋_GB2312" w:hAnsi="仿宋_GB2312" w:cs="仿宋_GB2312" w:hint="eastAsia"/>
          <w:color w:val="000000"/>
          <w:kern w:val="0"/>
          <w:sz w:val="28"/>
          <w:szCs w:val="28"/>
        </w:rPr>
        <w:t>内蒙、山东及本市远郊区“上门听证”，让公平正义“看得见”。</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fldChar w:fldCharType="begin"/>
      </w:r>
      <w:r>
        <w:rPr>
          <w:rFonts w:ascii="仿宋_GB2312" w:eastAsia="仿宋_GB2312" w:hAnsi="仿宋_GB2312" w:cs="仿宋_GB2312" w:hint="eastAsia"/>
          <w:color w:val="000000"/>
          <w:kern w:val="0"/>
          <w:sz w:val="28"/>
          <w:szCs w:val="28"/>
        </w:rPr>
        <w:instrText xml:space="preserve"> = 3 \* GB3 </w:instrText>
      </w:r>
      <w:r>
        <w:rPr>
          <w:rFonts w:ascii="仿宋_GB2312" w:eastAsia="仿宋_GB2312" w:hAnsi="仿宋_GB2312" w:cs="仿宋_GB2312" w:hint="eastAsia"/>
          <w:color w:val="000000"/>
          <w:kern w:val="0"/>
          <w:sz w:val="28"/>
          <w:szCs w:val="28"/>
        </w:rPr>
        <w:fldChar w:fldCharType="separate"/>
      </w:r>
      <w:r>
        <w:rPr>
          <w:rFonts w:ascii="仿宋_GB2312" w:eastAsia="仿宋_GB2312" w:hAnsi="仿宋_GB2312" w:cs="仿宋_GB2312" w:hint="eastAsia"/>
          <w:color w:val="000000"/>
          <w:kern w:val="0"/>
          <w:sz w:val="28"/>
          <w:szCs w:val="28"/>
          <w:lang w:val="en-US" w:eastAsia="zh-CN"/>
        </w:rPr>
        <w:t>③</w:t>
      </w:r>
      <w:r>
        <w:rPr>
          <w:rFonts w:ascii="仿宋_GB2312" w:eastAsia="仿宋_GB2312" w:hAnsi="仿宋_GB2312" w:cs="仿宋_GB2312" w:hint="eastAsia"/>
          <w:color w:val="000000"/>
          <w:kern w:val="0"/>
          <w:sz w:val="28"/>
          <w:szCs w:val="28"/>
        </w:rPr>
        <w:fldChar w:fldCharType="end"/>
      </w:r>
      <w:r>
        <w:rPr>
          <w:rFonts w:ascii="仿宋_GB2312" w:eastAsia="仿宋_GB2312" w:hAnsi="仿宋_GB2312" w:cs="仿宋_GB2312" w:hint="eastAsia"/>
          <w:color w:val="000000"/>
          <w:kern w:val="0"/>
          <w:sz w:val="28"/>
          <w:szCs w:val="28"/>
        </w:rPr>
        <w:t>坚持在监督中办案、在办案中监督，监督类案件规模持续扩大，办理依职权主动监督案件250件，同比上升67.78%。受理司法人员职务犯罪案件3件，初查4件，立案2件。受理民事检察案件537年，</w:t>
      </w:r>
      <w:r>
        <w:rPr>
          <w:rFonts w:ascii="仿宋_GB2312" w:eastAsia="仿宋_GB2312" w:hAnsi="仿宋_GB2312" w:cs="仿宋_GB2312" w:hint="eastAsia"/>
          <w:color w:val="000000"/>
          <w:kern w:val="0"/>
          <w:sz w:val="28"/>
          <w:szCs w:val="28"/>
        </w:rPr>
        <w:lastRenderedPageBreak/>
        <w:t>提请抗诉52件，提出抗诉3件，息诉438件，民事提请抗诉案件采纳率、民事抗诉改变率均为100%。推进实质性化解行政争议，受理案件176件，息诉164件，促成和解9件，解决安置房2套，落实和解资金290余万元。</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（2）产出质量</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院党组坚持党对检察工作的绝对领导，严格落实各项财经政策，用好财政资金，做好预算化管理，推进检察事业科学发展。严格遵守集体决策程序，凡“三重一大”事项均经党组集体讨论决定。坚持常态</w:t>
      </w:r>
      <w:proofErr w:type="gramStart"/>
      <w:r>
        <w:rPr>
          <w:rFonts w:ascii="仿宋_GB2312" w:eastAsia="仿宋_GB2312" w:hAnsi="仿宋_GB2312" w:cs="仿宋_GB2312" w:hint="eastAsia"/>
          <w:color w:val="000000"/>
          <w:kern w:val="0"/>
          <w:sz w:val="28"/>
          <w:szCs w:val="28"/>
        </w:rPr>
        <w:t>化邀请</w:t>
      </w:r>
      <w:proofErr w:type="gramEnd"/>
      <w:r>
        <w:rPr>
          <w:rFonts w:ascii="仿宋_GB2312" w:eastAsia="仿宋_GB2312" w:hAnsi="仿宋_GB2312" w:cs="仿宋_GB2312" w:hint="eastAsia"/>
          <w:color w:val="000000"/>
          <w:kern w:val="0"/>
          <w:sz w:val="28"/>
          <w:szCs w:val="28"/>
        </w:rPr>
        <w:t>市纪委市监委驻市检察院纪检监察组派员列席党组会“三重一大”议题，自觉接受监督。常态</w:t>
      </w:r>
      <w:proofErr w:type="gramStart"/>
      <w:r>
        <w:rPr>
          <w:rFonts w:ascii="仿宋_GB2312" w:eastAsia="仿宋_GB2312" w:hAnsi="仿宋_GB2312" w:cs="仿宋_GB2312" w:hint="eastAsia"/>
          <w:color w:val="000000"/>
          <w:kern w:val="0"/>
          <w:sz w:val="28"/>
          <w:szCs w:val="28"/>
        </w:rPr>
        <w:t>化安排</w:t>
      </w:r>
      <w:proofErr w:type="gramEnd"/>
      <w:r>
        <w:rPr>
          <w:rFonts w:ascii="仿宋_GB2312" w:eastAsia="仿宋_GB2312" w:hAnsi="仿宋_GB2312" w:cs="仿宋_GB2312" w:hint="eastAsia"/>
          <w:color w:val="000000"/>
          <w:kern w:val="0"/>
          <w:sz w:val="28"/>
          <w:szCs w:val="28"/>
        </w:rPr>
        <w:t>办公室、政治部、检务督察部、机关党委、机关纪委负责人列席党组会、检察长办公会等重要会议，加强内部监督。</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院党组严格落实全面从严治党主体责任，党组书记带头履行“第一责任人”的责任，领导班子成员切实履行“一岗双责”，重视发挥“关键少数”的引领示范作用。认真做好领导干部报告个人有关事项工作，随机抽查一致率连续两年均为100%。机关党委书记抓基层党建述职评议考核连年被评为“好”的等次。</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院党组以持续深化检察改革为契机，坚持不懈加强专业化建设，推进党建与业务融为一体，着力建设“首都检察人才高地”。坚持“育选管用”结合构筑全链条培养平台，注重组织教育培训、挂职锻炼和安排到社区、乡村吹哨报到等工作，使干部得到多元化历练和成长。2021年组织检察人员参加各类培训班51期次2963人次，1人获评全</w:t>
      </w:r>
      <w:r>
        <w:rPr>
          <w:rFonts w:ascii="仿宋_GB2312" w:eastAsia="仿宋_GB2312" w:hAnsi="仿宋_GB2312" w:cs="仿宋_GB2312" w:hint="eastAsia"/>
          <w:color w:val="000000"/>
          <w:kern w:val="0"/>
          <w:sz w:val="28"/>
          <w:szCs w:val="28"/>
        </w:rPr>
        <w:lastRenderedPageBreak/>
        <w:t>国检察机关办案优秀检察官，8人入选全国检察机关专业检察人才库，1人获评首届全国检察机关控告申诉检察业务能手，11人获评北京市2021年专项检察业务竞赛标兵、能手，人数位居全市检察机关前列。</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全面提升司法办案质效，依职权主动监督得到大幅提升，2021年本院及辖区5个基层院在全市检察机关检察业务绩效考评中综合排名第一位。本院办理的王荣凤等45人诉北京市某区某镇政府强制拆除和行政赔偿检察监督系列案入选最高人民检察院第三十批指导性案例。“中安民生”不起诉案等14个</w:t>
      </w:r>
      <w:proofErr w:type="gramStart"/>
      <w:r>
        <w:rPr>
          <w:rFonts w:ascii="仿宋_GB2312" w:eastAsia="仿宋_GB2312" w:hAnsi="仿宋_GB2312" w:cs="仿宋_GB2312" w:hint="eastAsia"/>
          <w:color w:val="000000"/>
          <w:kern w:val="0"/>
          <w:sz w:val="28"/>
          <w:szCs w:val="28"/>
        </w:rPr>
        <w:t>案件获</w:t>
      </w:r>
      <w:proofErr w:type="gramEnd"/>
      <w:r>
        <w:rPr>
          <w:rFonts w:ascii="仿宋_GB2312" w:eastAsia="仿宋_GB2312" w:hAnsi="仿宋_GB2312" w:cs="仿宋_GB2312" w:hint="eastAsia"/>
          <w:color w:val="000000"/>
          <w:kern w:val="0"/>
          <w:sz w:val="28"/>
          <w:szCs w:val="28"/>
        </w:rPr>
        <w:t>评全国、全市检察机关优秀精品案件或优秀典型案例。深入</w:t>
      </w:r>
      <w:proofErr w:type="gramStart"/>
      <w:r>
        <w:rPr>
          <w:rFonts w:ascii="仿宋_GB2312" w:eastAsia="仿宋_GB2312" w:hAnsi="仿宋_GB2312" w:cs="仿宋_GB2312" w:hint="eastAsia"/>
          <w:color w:val="000000"/>
          <w:kern w:val="0"/>
          <w:sz w:val="28"/>
          <w:szCs w:val="28"/>
        </w:rPr>
        <w:t>践行</w:t>
      </w:r>
      <w:proofErr w:type="gramEnd"/>
      <w:r>
        <w:rPr>
          <w:rFonts w:ascii="仿宋_GB2312" w:eastAsia="仿宋_GB2312" w:hAnsi="仿宋_GB2312" w:cs="仿宋_GB2312" w:hint="eastAsia"/>
          <w:color w:val="000000"/>
          <w:kern w:val="0"/>
          <w:sz w:val="28"/>
          <w:szCs w:val="28"/>
        </w:rPr>
        <w:t>以人民为中心的发展思想，落实</w:t>
      </w:r>
      <w:proofErr w:type="gramStart"/>
      <w:r>
        <w:rPr>
          <w:rFonts w:ascii="仿宋_GB2312" w:eastAsia="仿宋_GB2312" w:hAnsi="仿宋_GB2312" w:cs="仿宋_GB2312" w:hint="eastAsia"/>
          <w:color w:val="000000"/>
          <w:kern w:val="0"/>
          <w:sz w:val="28"/>
          <w:szCs w:val="28"/>
        </w:rPr>
        <w:t>接诉即办</w:t>
      </w:r>
      <w:proofErr w:type="gramEnd"/>
      <w:r>
        <w:rPr>
          <w:rFonts w:ascii="仿宋_GB2312" w:eastAsia="仿宋_GB2312" w:hAnsi="仿宋_GB2312" w:cs="仿宋_GB2312" w:hint="eastAsia"/>
          <w:color w:val="000000"/>
          <w:kern w:val="0"/>
          <w:sz w:val="28"/>
          <w:szCs w:val="28"/>
        </w:rPr>
        <w:t>，本院获评2016-2020年度全国检察机关“文明接待室”。</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（3）产出进度</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分院工作贯穿全年，按照年初预算批复及年中追加调整批复，2021年完成了各项检察工作。</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（4）产出成本</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 xml:space="preserve">2021年基本支出10141.95万元，项目支出934.31万元。部门整体支出控制在预算批复内。                                     </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2.效果实现情况分析</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（1）社会效益</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fldChar w:fldCharType="begin"/>
      </w:r>
      <w:r>
        <w:rPr>
          <w:rFonts w:ascii="仿宋_GB2312" w:eastAsia="仿宋_GB2312" w:hAnsi="仿宋_GB2312" w:cs="仿宋_GB2312" w:hint="eastAsia"/>
          <w:color w:val="000000"/>
          <w:kern w:val="0"/>
          <w:sz w:val="28"/>
          <w:szCs w:val="28"/>
        </w:rPr>
        <w:instrText xml:space="preserve"> = 1 \* GB3 </w:instrText>
      </w:r>
      <w:r>
        <w:rPr>
          <w:rFonts w:ascii="仿宋_GB2312" w:eastAsia="仿宋_GB2312" w:hAnsi="仿宋_GB2312" w:cs="仿宋_GB2312" w:hint="eastAsia"/>
          <w:color w:val="000000"/>
          <w:kern w:val="0"/>
          <w:sz w:val="28"/>
          <w:szCs w:val="28"/>
        </w:rPr>
        <w:fldChar w:fldCharType="separate"/>
      </w:r>
      <w:r>
        <w:rPr>
          <w:rFonts w:ascii="仿宋_GB2312" w:eastAsia="仿宋_GB2312" w:hAnsi="仿宋_GB2312" w:cs="仿宋_GB2312" w:hint="eastAsia"/>
          <w:color w:val="000000"/>
          <w:kern w:val="0"/>
          <w:sz w:val="28"/>
          <w:szCs w:val="28"/>
          <w:lang w:val="en-US" w:eastAsia="zh-CN"/>
        </w:rPr>
        <w:t>①</w:t>
      </w:r>
      <w:r>
        <w:rPr>
          <w:rFonts w:ascii="仿宋_GB2312" w:eastAsia="仿宋_GB2312" w:hAnsi="仿宋_GB2312" w:cs="仿宋_GB2312" w:hint="eastAsia"/>
          <w:color w:val="000000"/>
          <w:kern w:val="0"/>
          <w:sz w:val="28"/>
          <w:szCs w:val="28"/>
        </w:rPr>
        <w:fldChar w:fldCharType="end"/>
      </w:r>
      <w:r>
        <w:rPr>
          <w:rFonts w:ascii="仿宋_GB2312" w:eastAsia="仿宋_GB2312" w:hAnsi="仿宋_GB2312" w:cs="仿宋_GB2312" w:hint="eastAsia"/>
          <w:color w:val="000000"/>
          <w:kern w:val="0"/>
          <w:sz w:val="28"/>
          <w:szCs w:val="28"/>
        </w:rPr>
        <w:t>聚焦人民群众急难</w:t>
      </w:r>
      <w:proofErr w:type="gramStart"/>
      <w:r>
        <w:rPr>
          <w:rFonts w:ascii="仿宋_GB2312" w:eastAsia="仿宋_GB2312" w:hAnsi="仿宋_GB2312" w:cs="仿宋_GB2312" w:hint="eastAsia"/>
          <w:color w:val="000000"/>
          <w:kern w:val="0"/>
          <w:sz w:val="28"/>
          <w:szCs w:val="28"/>
        </w:rPr>
        <w:t>愁盼和</w:t>
      </w:r>
      <w:proofErr w:type="gramEnd"/>
      <w:r>
        <w:rPr>
          <w:rFonts w:ascii="仿宋_GB2312" w:eastAsia="仿宋_GB2312" w:hAnsi="仿宋_GB2312" w:cs="仿宋_GB2312" w:hint="eastAsia"/>
          <w:color w:val="000000"/>
          <w:kern w:val="0"/>
          <w:sz w:val="28"/>
          <w:szCs w:val="28"/>
        </w:rPr>
        <w:t>操心事烦心事揪心事，深化落实“接诉即办”，办理人民群众来信、网络反映诉求3480件次，接待来访2422人次，受理刑事、民事、行政申诉案件790件，100%做到“件件有回复、事事有回音”。列出“检察为民办实事”项目清单，全力</w:t>
      </w:r>
      <w:r>
        <w:rPr>
          <w:rFonts w:ascii="仿宋_GB2312" w:eastAsia="仿宋_GB2312" w:hAnsi="仿宋_GB2312" w:cs="仿宋_GB2312" w:hint="eastAsia"/>
          <w:color w:val="000000"/>
          <w:kern w:val="0"/>
          <w:sz w:val="28"/>
          <w:szCs w:val="28"/>
        </w:rPr>
        <w:lastRenderedPageBreak/>
        <w:t>办好群众身边案件、检察信访案件、司法救助案件、持续开展“十进百家、千人普法”等“4+N”项218件实事，《北京市党史学习教育简报》转发市检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分院经验做法。</w:t>
      </w:r>
    </w:p>
    <w:p w:rsidR="00F8675C" w:rsidRDefault="00F8675C" w:rsidP="00F8675C">
      <w:pPr>
        <w:pStyle w:val="a0"/>
        <w:ind w:firstLine="560"/>
        <w:rPr>
          <w:rFonts w:ascii="仿宋_GB2312" w:eastAsia="仿宋_GB2312" w:hint="eastAsia"/>
          <w:sz w:val="28"/>
          <w:szCs w:val="28"/>
        </w:rPr>
      </w:pPr>
      <w:r>
        <w:rPr>
          <w:rFonts w:ascii="仿宋_GB2312" w:eastAsia="仿宋_GB2312" w:hAnsi="仿宋_GB2312" w:cs="仿宋_GB2312" w:hint="eastAsia"/>
          <w:color w:val="000000"/>
          <w:kern w:val="0"/>
          <w:sz w:val="28"/>
          <w:szCs w:val="28"/>
        </w:rPr>
        <w:fldChar w:fldCharType="begin"/>
      </w:r>
      <w:r>
        <w:rPr>
          <w:rFonts w:ascii="仿宋_GB2312" w:eastAsia="仿宋_GB2312" w:hAnsi="仿宋_GB2312" w:cs="仿宋_GB2312" w:hint="eastAsia"/>
          <w:color w:val="000000"/>
          <w:kern w:val="0"/>
          <w:sz w:val="28"/>
          <w:szCs w:val="28"/>
        </w:rPr>
        <w:instrText xml:space="preserve"> = 2 \* GB3 </w:instrText>
      </w:r>
      <w:r>
        <w:rPr>
          <w:rFonts w:ascii="仿宋_GB2312" w:eastAsia="仿宋_GB2312" w:hAnsi="仿宋_GB2312" w:cs="仿宋_GB2312" w:hint="eastAsia"/>
          <w:color w:val="000000"/>
          <w:kern w:val="0"/>
          <w:sz w:val="28"/>
          <w:szCs w:val="28"/>
        </w:rPr>
        <w:fldChar w:fldCharType="separate"/>
      </w:r>
      <w:r>
        <w:rPr>
          <w:rFonts w:ascii="仿宋_GB2312" w:eastAsia="仿宋_GB2312" w:hAnsi="仿宋_GB2312" w:cs="仿宋_GB2312" w:hint="eastAsia"/>
          <w:color w:val="000000"/>
          <w:kern w:val="0"/>
          <w:sz w:val="28"/>
          <w:szCs w:val="28"/>
          <w:lang w:val="en-US" w:eastAsia="zh-CN"/>
        </w:rPr>
        <w:t>②</w:t>
      </w:r>
      <w:r>
        <w:rPr>
          <w:rFonts w:ascii="仿宋_GB2312" w:eastAsia="仿宋_GB2312" w:hAnsi="仿宋_GB2312" w:cs="仿宋_GB2312" w:hint="eastAsia"/>
          <w:color w:val="000000"/>
          <w:kern w:val="0"/>
          <w:sz w:val="28"/>
          <w:szCs w:val="28"/>
        </w:rPr>
        <w:fldChar w:fldCharType="end"/>
      </w:r>
      <w:r>
        <w:rPr>
          <w:rFonts w:ascii="仿宋_GB2312" w:eastAsia="仿宋_GB2312" w:hAnsi="仿宋_GB2312" w:cs="仿宋_GB2312" w:hint="eastAsia"/>
          <w:color w:val="000000"/>
          <w:kern w:val="0"/>
          <w:sz w:val="28"/>
          <w:szCs w:val="28"/>
        </w:rPr>
        <w:t>深化“十进百家、千人普法”先进成效，开展法治宣传教育活动65场次，位居全市检察机关前列；依托央视</w:t>
      </w:r>
      <w:proofErr w:type="gramStart"/>
      <w:r>
        <w:rPr>
          <w:rFonts w:ascii="仿宋_GB2312" w:eastAsia="仿宋_GB2312" w:hAnsi="仿宋_GB2312" w:cs="仿宋_GB2312" w:hint="eastAsia"/>
          <w:color w:val="000000"/>
          <w:kern w:val="0"/>
          <w:sz w:val="28"/>
          <w:szCs w:val="28"/>
        </w:rPr>
        <w:t>频</w:t>
      </w:r>
      <w:proofErr w:type="gramEnd"/>
      <w:r>
        <w:rPr>
          <w:rFonts w:ascii="仿宋_GB2312" w:eastAsia="仿宋_GB2312" w:hAnsi="仿宋_GB2312" w:cs="仿宋_GB2312" w:hint="eastAsia"/>
          <w:color w:val="000000"/>
          <w:kern w:val="0"/>
          <w:sz w:val="28"/>
          <w:szCs w:val="28"/>
        </w:rPr>
        <w:t>直播、北京新闻广播等栏目开展线上普法宣讲，累计受</w:t>
      </w:r>
      <w:proofErr w:type="gramStart"/>
      <w:r>
        <w:rPr>
          <w:rFonts w:ascii="仿宋_GB2312" w:eastAsia="仿宋_GB2312" w:hAnsi="仿宋_GB2312" w:cs="仿宋_GB2312" w:hint="eastAsia"/>
          <w:color w:val="000000"/>
          <w:kern w:val="0"/>
          <w:sz w:val="28"/>
          <w:szCs w:val="28"/>
        </w:rPr>
        <w:t>众超过</w:t>
      </w:r>
      <w:proofErr w:type="gramEnd"/>
      <w:r>
        <w:rPr>
          <w:rFonts w:ascii="仿宋_GB2312" w:eastAsia="仿宋_GB2312" w:hAnsi="仿宋_GB2312" w:cs="仿宋_GB2312" w:hint="eastAsia"/>
          <w:color w:val="000000"/>
          <w:kern w:val="0"/>
          <w:sz w:val="28"/>
          <w:szCs w:val="28"/>
        </w:rPr>
        <w:t>2000万人次。以市检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分院青年检察官群体为原型创作的电视剧《你好检察官》在浙江卫视、</w:t>
      </w:r>
      <w:proofErr w:type="gramStart"/>
      <w:r>
        <w:rPr>
          <w:rFonts w:ascii="仿宋_GB2312" w:eastAsia="仿宋_GB2312" w:hAnsi="仿宋_GB2312" w:cs="仿宋_GB2312" w:hint="eastAsia"/>
          <w:color w:val="000000"/>
          <w:kern w:val="0"/>
          <w:sz w:val="28"/>
          <w:szCs w:val="28"/>
        </w:rPr>
        <w:t>优酷等热</w:t>
      </w:r>
      <w:proofErr w:type="gramEnd"/>
      <w:r>
        <w:rPr>
          <w:rFonts w:ascii="仿宋_GB2312" w:eastAsia="仿宋_GB2312" w:hAnsi="仿宋_GB2312" w:cs="仿宋_GB2312" w:hint="eastAsia"/>
          <w:color w:val="000000"/>
          <w:kern w:val="0"/>
          <w:sz w:val="28"/>
          <w:szCs w:val="28"/>
        </w:rPr>
        <w:t>播，展现了新时代青年检察官的奋进群像。干警原创的《少年回家路》等5部微电影、微视频、微动漫在全市检察机关“三微”评选中获得“满堂红”，其中2部入围2021年北京市社会主义核心价值观主题</w:t>
      </w:r>
      <w:proofErr w:type="gramStart"/>
      <w:r>
        <w:rPr>
          <w:rFonts w:ascii="仿宋_GB2312" w:eastAsia="仿宋_GB2312" w:hAnsi="仿宋_GB2312" w:cs="仿宋_GB2312" w:hint="eastAsia"/>
          <w:color w:val="000000"/>
          <w:kern w:val="0"/>
          <w:sz w:val="28"/>
          <w:szCs w:val="28"/>
        </w:rPr>
        <w:t>微电影</w:t>
      </w:r>
      <w:proofErr w:type="gramEnd"/>
      <w:r>
        <w:rPr>
          <w:rFonts w:ascii="仿宋_GB2312" w:eastAsia="仿宋_GB2312" w:hAnsi="仿宋_GB2312" w:cs="仿宋_GB2312" w:hint="eastAsia"/>
          <w:color w:val="000000"/>
          <w:kern w:val="0"/>
          <w:sz w:val="28"/>
          <w:szCs w:val="28"/>
        </w:rPr>
        <w:t>征集评选活动。</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（2）可持续性影响</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fldChar w:fldCharType="begin"/>
      </w:r>
      <w:r>
        <w:rPr>
          <w:rFonts w:ascii="仿宋_GB2312" w:eastAsia="仿宋_GB2312" w:hAnsi="仿宋_GB2312" w:cs="仿宋_GB2312" w:hint="eastAsia"/>
          <w:color w:val="000000"/>
          <w:kern w:val="0"/>
          <w:sz w:val="28"/>
          <w:szCs w:val="28"/>
        </w:rPr>
        <w:instrText xml:space="preserve"> = 1 \* GB3 </w:instrText>
      </w:r>
      <w:r>
        <w:rPr>
          <w:rFonts w:ascii="仿宋_GB2312" w:eastAsia="仿宋_GB2312" w:hAnsi="仿宋_GB2312" w:cs="仿宋_GB2312" w:hint="eastAsia"/>
          <w:color w:val="000000"/>
          <w:kern w:val="0"/>
          <w:sz w:val="28"/>
          <w:szCs w:val="28"/>
        </w:rPr>
        <w:fldChar w:fldCharType="separate"/>
      </w:r>
      <w:r>
        <w:rPr>
          <w:rFonts w:ascii="仿宋_GB2312" w:eastAsia="仿宋_GB2312" w:hAnsi="仿宋_GB2312" w:cs="仿宋_GB2312" w:hint="eastAsia"/>
          <w:color w:val="000000"/>
          <w:kern w:val="0"/>
          <w:sz w:val="28"/>
          <w:szCs w:val="28"/>
          <w:lang w:val="en-US" w:eastAsia="zh-CN"/>
        </w:rPr>
        <w:t>①</w:t>
      </w:r>
      <w:r>
        <w:rPr>
          <w:rFonts w:ascii="仿宋_GB2312" w:eastAsia="仿宋_GB2312" w:hAnsi="仿宋_GB2312" w:cs="仿宋_GB2312" w:hint="eastAsia"/>
          <w:color w:val="000000"/>
          <w:kern w:val="0"/>
          <w:sz w:val="28"/>
          <w:szCs w:val="28"/>
        </w:rPr>
        <w:fldChar w:fldCharType="end"/>
      </w:r>
      <w:r>
        <w:rPr>
          <w:rFonts w:ascii="仿宋_GB2312" w:eastAsia="仿宋_GB2312" w:hAnsi="仿宋_GB2312" w:cs="仿宋_GB2312" w:hint="eastAsia"/>
          <w:color w:val="000000"/>
          <w:kern w:val="0"/>
          <w:sz w:val="28"/>
          <w:szCs w:val="28"/>
        </w:rPr>
        <w:t>检察改革进一步深化。结合“检爱同行 共护未来”法律监督专项行动，成功办理市检一分院首例涉未成年人公益诉讼案件，推动八达岭长城等市级爱国主义教育基地对未成年人免费开放。探索建立政治督察、业务督察、政务督察“三督合一”机制，集约聚合推进党内监督、检察权制约监督和内部管理监督落地见效。</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fldChar w:fldCharType="begin"/>
      </w:r>
      <w:r>
        <w:rPr>
          <w:rFonts w:ascii="仿宋_GB2312" w:eastAsia="仿宋_GB2312" w:hAnsi="仿宋_GB2312" w:cs="仿宋_GB2312" w:hint="eastAsia"/>
          <w:color w:val="000000"/>
          <w:kern w:val="0"/>
          <w:sz w:val="28"/>
          <w:szCs w:val="28"/>
        </w:rPr>
        <w:instrText xml:space="preserve"> = 2 \* GB3 </w:instrText>
      </w:r>
      <w:r>
        <w:rPr>
          <w:rFonts w:ascii="仿宋_GB2312" w:eastAsia="仿宋_GB2312" w:hAnsi="仿宋_GB2312" w:cs="仿宋_GB2312" w:hint="eastAsia"/>
          <w:color w:val="000000"/>
          <w:kern w:val="0"/>
          <w:sz w:val="28"/>
          <w:szCs w:val="28"/>
        </w:rPr>
        <w:fldChar w:fldCharType="separate"/>
      </w:r>
      <w:r>
        <w:rPr>
          <w:rFonts w:ascii="仿宋_GB2312" w:eastAsia="仿宋_GB2312" w:hAnsi="仿宋_GB2312" w:cs="仿宋_GB2312" w:hint="eastAsia"/>
          <w:color w:val="000000"/>
          <w:kern w:val="0"/>
          <w:sz w:val="28"/>
          <w:szCs w:val="28"/>
          <w:lang w:val="en-US" w:eastAsia="zh-CN"/>
        </w:rPr>
        <w:t>②</w:t>
      </w:r>
      <w:r>
        <w:rPr>
          <w:rFonts w:ascii="仿宋_GB2312" w:eastAsia="仿宋_GB2312" w:hAnsi="仿宋_GB2312" w:cs="仿宋_GB2312" w:hint="eastAsia"/>
          <w:color w:val="000000"/>
          <w:kern w:val="0"/>
          <w:sz w:val="28"/>
          <w:szCs w:val="28"/>
        </w:rPr>
        <w:fldChar w:fldCharType="end"/>
      </w:r>
      <w:r>
        <w:rPr>
          <w:rFonts w:ascii="仿宋_GB2312" w:eastAsia="仿宋_GB2312" w:hAnsi="仿宋_GB2312" w:cs="仿宋_GB2312" w:hint="eastAsia"/>
          <w:color w:val="000000"/>
          <w:kern w:val="0"/>
          <w:sz w:val="28"/>
          <w:szCs w:val="28"/>
        </w:rPr>
        <w:t>队伍建设进一步优化。向上级机关输送、引进5名正处级领导干部，选派38名干部到中政委、高检院等上级机关和基层单位交流、参加重要专项工作；共提拔使用、岗位调整、检察官入额、招录毕业生等101人。</w:t>
      </w:r>
    </w:p>
    <w:p w:rsidR="00F8675C" w:rsidRDefault="00F8675C" w:rsidP="00F8675C">
      <w:pPr>
        <w:pStyle w:val="a0"/>
        <w:ind w:firstLine="560"/>
        <w:rPr>
          <w:rFonts w:ascii="仿宋_GB2312" w:eastAsia="仿宋_GB2312" w:hint="eastAsia"/>
          <w:sz w:val="28"/>
          <w:szCs w:val="28"/>
        </w:rPr>
      </w:pPr>
      <w:r>
        <w:rPr>
          <w:rFonts w:ascii="仿宋_GB2312" w:eastAsia="仿宋_GB2312" w:hAnsi="仿宋_GB2312" w:cs="仿宋_GB2312" w:hint="eastAsia"/>
          <w:color w:val="000000"/>
          <w:kern w:val="0"/>
          <w:sz w:val="28"/>
          <w:szCs w:val="28"/>
        </w:rPr>
        <w:fldChar w:fldCharType="begin"/>
      </w:r>
      <w:r>
        <w:rPr>
          <w:rFonts w:ascii="仿宋_GB2312" w:eastAsia="仿宋_GB2312" w:hAnsi="仿宋_GB2312" w:cs="仿宋_GB2312" w:hint="eastAsia"/>
          <w:color w:val="000000"/>
          <w:kern w:val="0"/>
          <w:sz w:val="28"/>
          <w:szCs w:val="28"/>
        </w:rPr>
        <w:instrText xml:space="preserve"> = 3 \* GB3 </w:instrText>
      </w:r>
      <w:r>
        <w:rPr>
          <w:rFonts w:ascii="仿宋_GB2312" w:eastAsia="仿宋_GB2312" w:hAnsi="仿宋_GB2312" w:cs="仿宋_GB2312" w:hint="eastAsia"/>
          <w:color w:val="000000"/>
          <w:kern w:val="0"/>
          <w:sz w:val="28"/>
          <w:szCs w:val="28"/>
        </w:rPr>
        <w:fldChar w:fldCharType="separate"/>
      </w:r>
      <w:r>
        <w:rPr>
          <w:rFonts w:ascii="仿宋_GB2312" w:eastAsia="仿宋_GB2312" w:hAnsi="仿宋_GB2312" w:cs="仿宋_GB2312" w:hint="eastAsia"/>
          <w:color w:val="000000"/>
          <w:kern w:val="0"/>
          <w:sz w:val="28"/>
          <w:szCs w:val="28"/>
          <w:lang w:val="en-US" w:eastAsia="zh-CN"/>
        </w:rPr>
        <w:t>③</w:t>
      </w:r>
      <w:r>
        <w:rPr>
          <w:rFonts w:ascii="仿宋_GB2312" w:eastAsia="仿宋_GB2312" w:hAnsi="仿宋_GB2312" w:cs="仿宋_GB2312" w:hint="eastAsia"/>
          <w:color w:val="000000"/>
          <w:kern w:val="0"/>
          <w:sz w:val="28"/>
          <w:szCs w:val="28"/>
        </w:rPr>
        <w:fldChar w:fldCharType="end"/>
      </w:r>
      <w:r>
        <w:rPr>
          <w:rFonts w:ascii="仿宋_GB2312" w:eastAsia="仿宋_GB2312" w:hAnsi="仿宋_GB2312" w:cs="仿宋_GB2312" w:hint="eastAsia"/>
          <w:color w:val="000000"/>
          <w:kern w:val="0"/>
          <w:sz w:val="28"/>
          <w:szCs w:val="28"/>
        </w:rPr>
        <w:t>针对辖区基层</w:t>
      </w:r>
      <w:proofErr w:type="gramStart"/>
      <w:r>
        <w:rPr>
          <w:rFonts w:ascii="仿宋_GB2312" w:eastAsia="仿宋_GB2312" w:hAnsi="仿宋_GB2312" w:cs="仿宋_GB2312" w:hint="eastAsia"/>
          <w:color w:val="000000"/>
          <w:kern w:val="0"/>
          <w:sz w:val="28"/>
          <w:szCs w:val="28"/>
        </w:rPr>
        <w:t>院发展</w:t>
      </w:r>
      <w:proofErr w:type="gramEnd"/>
      <w:r>
        <w:rPr>
          <w:rFonts w:ascii="仿宋_GB2312" w:eastAsia="仿宋_GB2312" w:hAnsi="仿宋_GB2312" w:cs="仿宋_GB2312" w:hint="eastAsia"/>
          <w:color w:val="000000"/>
          <w:kern w:val="0"/>
          <w:sz w:val="28"/>
          <w:szCs w:val="28"/>
        </w:rPr>
        <w:t>难题，5名班子成员对口联系5个基层院，</w:t>
      </w:r>
      <w:r>
        <w:rPr>
          <w:rFonts w:ascii="仿宋_GB2312" w:eastAsia="仿宋_GB2312" w:hAnsi="仿宋_GB2312" w:cs="仿宋_GB2312" w:hint="eastAsia"/>
          <w:color w:val="000000"/>
          <w:kern w:val="0"/>
          <w:sz w:val="28"/>
          <w:szCs w:val="28"/>
        </w:rPr>
        <w:lastRenderedPageBreak/>
        <w:t>开展专项调研，提出协同推进辖区检察工作高质量发展10项举措，经市院批准后实施，在服务基层上体现新作为。协调推进政务保障、检务保障、警务保障，有效服务检察中心工作顺利开展。</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（3）服务对象满意度</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服务对象满意度达到97%以上。</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（四）预算管理情况分析</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1.财务管理</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（1）财务管理制度健全性</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2021年，市检一分院对原来的财务管理办法、预算管理办法、经费支出管理办法等相关财务管理制度进行了修订完善，下一步相关制度将正式试行。部门财务管理制度较健全，各项规定合法、合</w:t>
      </w:r>
      <w:proofErr w:type="gramStart"/>
      <w:r>
        <w:rPr>
          <w:rFonts w:ascii="仿宋_GB2312" w:eastAsia="仿宋_GB2312" w:hAnsi="仿宋_GB2312" w:cs="仿宋_GB2312" w:hint="eastAsia"/>
          <w:color w:val="000000"/>
          <w:kern w:val="0"/>
          <w:sz w:val="28"/>
          <w:szCs w:val="28"/>
        </w:rPr>
        <w:t>规</w:t>
      </w:r>
      <w:proofErr w:type="gramEnd"/>
      <w:r>
        <w:rPr>
          <w:rFonts w:ascii="仿宋_GB2312" w:eastAsia="仿宋_GB2312" w:hAnsi="仿宋_GB2312" w:cs="仿宋_GB2312" w:hint="eastAsia"/>
          <w:color w:val="000000"/>
          <w:kern w:val="0"/>
          <w:sz w:val="28"/>
          <w:szCs w:val="28"/>
        </w:rPr>
        <w:t>。</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（2）资金使用合</w:t>
      </w:r>
      <w:proofErr w:type="gramStart"/>
      <w:r>
        <w:rPr>
          <w:rFonts w:ascii="仿宋_GB2312" w:eastAsia="仿宋_GB2312" w:hAnsi="仿宋_GB2312" w:cs="仿宋_GB2312" w:hint="eastAsia"/>
          <w:color w:val="000000"/>
          <w:kern w:val="0"/>
          <w:sz w:val="28"/>
          <w:szCs w:val="28"/>
        </w:rPr>
        <w:t>规</w:t>
      </w:r>
      <w:proofErr w:type="gramEnd"/>
      <w:r>
        <w:rPr>
          <w:rFonts w:ascii="仿宋_GB2312" w:eastAsia="仿宋_GB2312" w:hAnsi="仿宋_GB2312" w:cs="仿宋_GB2312" w:hint="eastAsia"/>
          <w:color w:val="000000"/>
          <w:kern w:val="0"/>
          <w:sz w:val="28"/>
          <w:szCs w:val="28"/>
        </w:rPr>
        <w:t>性和安全性</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分院预算编制阶段，加强项目评审，部门预算的编制工作。资金支出按照市财政预算批复执行，2021年经费支出控制在预算批复范围内，严格按照各项制度和要求，资金使用合</w:t>
      </w:r>
      <w:proofErr w:type="gramStart"/>
      <w:r>
        <w:rPr>
          <w:rFonts w:ascii="仿宋_GB2312" w:eastAsia="仿宋_GB2312" w:hAnsi="仿宋_GB2312" w:cs="仿宋_GB2312" w:hint="eastAsia"/>
          <w:color w:val="000000"/>
          <w:kern w:val="0"/>
          <w:sz w:val="28"/>
          <w:szCs w:val="28"/>
        </w:rPr>
        <w:t>规</w:t>
      </w:r>
      <w:proofErr w:type="gramEnd"/>
      <w:r>
        <w:rPr>
          <w:rFonts w:ascii="仿宋_GB2312" w:eastAsia="仿宋_GB2312" w:hAnsi="仿宋_GB2312" w:cs="仿宋_GB2312" w:hint="eastAsia"/>
          <w:color w:val="000000"/>
          <w:kern w:val="0"/>
          <w:sz w:val="28"/>
          <w:szCs w:val="28"/>
        </w:rPr>
        <w:t>，资金管理安全。经抽查部分项目会计凭证，市检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分院资金支出按照内部管理制度执行，未发现市检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分院资金有超范围、超标准支出的情况，审批手续严格规范。</w:t>
      </w:r>
    </w:p>
    <w:p w:rsidR="00F8675C" w:rsidRDefault="00F8675C" w:rsidP="00F8675C">
      <w:pPr>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（3）会计基础信息完善性</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严格按照《财政部关于贯彻实施政府会计准则制度的通知》和市检察院、高检院的相关要求，开展会计工作。通过梳理重点项目支出会计凭证及会计账簿、财务报告等基础信息，市检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分院会计基础信</w:t>
      </w:r>
      <w:r>
        <w:rPr>
          <w:rFonts w:ascii="仿宋_GB2312" w:eastAsia="仿宋_GB2312" w:hAnsi="仿宋_GB2312" w:cs="仿宋_GB2312" w:hint="eastAsia"/>
          <w:color w:val="000000"/>
          <w:kern w:val="0"/>
          <w:sz w:val="28"/>
          <w:szCs w:val="28"/>
        </w:rPr>
        <w:lastRenderedPageBreak/>
        <w:t>息和会计信息管理工作较为规范。</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2.资产管理</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（1）资产总体情况</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截至2021年12月31日，资产总额8238.45万元，其中货币资金205.29万元，占资产总额2.49%；财政应返还额度195.74万元，占资产总额2.38%；其他应收款净额2.00万元，占资产总额0.02%；存货47.60万元，占资产总额0.58%；固定资产7548.90万元，占资产总额91.63%；无形资产165.14万元，占资产总额2.00%；受托代理资产73.78万元，占资产总额0.90%。</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固定资产中，土地、房屋及构筑物6552.65万元，占固定资产的86.80%；通用设备577.43万元，占7.65%；专用设备149.18万元，占1.98%；无文物和陈列品；图书档案9.81万元，占0.13%；家具、用具、装具及动植物259.83万元，占3.44%。</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（2）资产管理制度及过程管理情况</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2021年，市检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分院结合单位实际，在以前固定资产管理办法的基础上，借鉴市检察院和兄弟单位经验，对有关内容加以修订和完善，明确了固定资产使用、管理与维护、固定资产的处置、清查盘点、信息管理与报告等内容。</w:t>
      </w:r>
    </w:p>
    <w:p w:rsidR="00F8675C" w:rsidRDefault="00F8675C" w:rsidP="00F8675C">
      <w:pPr>
        <w:pStyle w:val="a0"/>
        <w:ind w:firstLine="560"/>
        <w:rPr>
          <w:rFonts w:ascii="仿宋_GB2312" w:eastAsia="仿宋_GB2312" w:hint="eastAsia"/>
          <w:sz w:val="28"/>
          <w:szCs w:val="28"/>
        </w:rPr>
      </w:pPr>
      <w:r>
        <w:rPr>
          <w:rFonts w:ascii="仿宋_GB2312" w:eastAsia="仿宋_GB2312" w:hAnsi="仿宋_GB2312" w:cs="仿宋_GB2312" w:hint="eastAsia"/>
          <w:color w:val="000000"/>
          <w:kern w:val="0"/>
          <w:sz w:val="28"/>
          <w:szCs w:val="28"/>
        </w:rPr>
        <w:t>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固定资产由行政事务管理部实行统一归口管理，行政事务管理部下设资产管理科，严格固定资产的采购、入库、登记、验收、配置、借用等手续，统一组织实施采购工作，会同资产需求部门共同完成验收，特殊资产组织有关技术人员参与。除必备的机动资产</w:t>
      </w:r>
      <w:r>
        <w:rPr>
          <w:rFonts w:ascii="仿宋_GB2312" w:eastAsia="仿宋_GB2312" w:hAnsi="仿宋_GB2312" w:cs="仿宋_GB2312" w:hint="eastAsia"/>
          <w:color w:val="000000"/>
          <w:kern w:val="0"/>
          <w:sz w:val="28"/>
          <w:szCs w:val="28"/>
        </w:rPr>
        <w:lastRenderedPageBreak/>
        <w:t>外，绝大部分集中配置在办公办案一线，服务于广大干警工作开展。市检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资产整体配置与检察工作较为匹配，能较好地满足和适应检察工作需要，发挥作用明显。加强了固定资产的维修维护，定期组织专业公司技术人员对在用的固定资产进行维修，保证了办公办案需要，提高了设备的完好率和利用价值。根据工作需要，及时调配资产，把满足业务部门办案作为重要工作任务来抓紧抓实，为检察工作的顺利进行提供了有力的资产保障。</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3.绩效管理</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分院根据市财政局关于预算绩效管理的要求，按照“预算编制有目标、预算执行有监控、预算完成有评价、评价结果有反馈、反馈结果有应用”的总体目标，深化推进全面预算绩效管理工作。</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所有预算资金纳入部门预算绩效管理工作，按照市财政要求对2021年度全部立项批复项目开展预算绩效监控工作，从预算资金执行、管理以及绩效目标完成等情况进行分析，进一步加强了预算绩效运行监控管理。</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市检一分院对2021年度部门预算项目实施绩效自评工作，安检安保工作费用采用部门评价方式开展，出具绩效评价报告；7个项目采用单位自评方式进行评价，出具项目支出绩效自评表。总体评价结果来看，各项目能够较好地按照预算编制要求完成，绩效目标设定较为合理，各项目标及指标的完成情况较好，项目执行过程比较规范，符合相关制度要求，项目执行金额能够控制在预算范围内，项目效果基本达到预定目标。</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lastRenderedPageBreak/>
        <w:t>通过开展绩效监控和绩效评价工作，全面、客观地反映了项目实施的工作成效，对项目决策、项目过程、项目产出、项目效益方面存在的不足提出了合理化建议，使预算管理更加科学、完善，进而规范了资金的使用管理，强化了项目实施部门预算成本控制、完善了绩效管理工作，以点带面提升了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分院预算绩效管理水平。</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4.结转结余率</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市检</w:t>
      </w:r>
      <w:proofErr w:type="gramStart"/>
      <w:r>
        <w:rPr>
          <w:rFonts w:ascii="仿宋_GB2312" w:eastAsia="仿宋_GB2312" w:hAnsi="仿宋_GB2312" w:cs="仿宋_GB2312" w:hint="eastAsia"/>
          <w:color w:val="000000"/>
          <w:kern w:val="0"/>
          <w:sz w:val="28"/>
          <w:szCs w:val="28"/>
        </w:rPr>
        <w:t>一</w:t>
      </w:r>
      <w:proofErr w:type="gramEnd"/>
      <w:r>
        <w:rPr>
          <w:rFonts w:ascii="仿宋_GB2312" w:eastAsia="仿宋_GB2312" w:hAnsi="仿宋_GB2312" w:cs="仿宋_GB2312" w:hint="eastAsia"/>
          <w:color w:val="000000"/>
          <w:kern w:val="0"/>
          <w:sz w:val="28"/>
          <w:szCs w:val="28"/>
        </w:rPr>
        <w:t>分院2021年预算年末结转结余226.67万元，全年预算支出11302.93万元，结转结余率为2.01%，较上年结转结余率（2.18%）低。</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5.部门预决算差异率</w:t>
      </w:r>
    </w:p>
    <w:p w:rsidR="00F8675C" w:rsidRDefault="00F8675C" w:rsidP="00F8675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2021年，年初部门预算11780.60万元，年初部门决算11076.26万元，部门预决算差异率为-5.98%，低于市级平均差异率（28.30%）。</w:t>
      </w:r>
    </w:p>
    <w:p w:rsidR="00F8675C" w:rsidRDefault="00F8675C" w:rsidP="00F8675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（1）支出预决算差异情况表（按支出性质）</w:t>
      </w:r>
    </w:p>
    <w:tbl>
      <w:tblPr>
        <w:tblW w:w="8523" w:type="dxa"/>
        <w:tblInd w:w="250" w:type="dxa"/>
        <w:tblLayout w:type="fixed"/>
        <w:tblLook w:val="0000" w:firstRow="0" w:lastRow="0" w:firstColumn="0" w:lastColumn="0" w:noHBand="0" w:noVBand="0"/>
      </w:tblPr>
      <w:tblGrid>
        <w:gridCol w:w="3065"/>
        <w:gridCol w:w="1912"/>
        <w:gridCol w:w="2066"/>
        <w:gridCol w:w="1480"/>
      </w:tblGrid>
      <w:tr w:rsidR="00F8675C" w:rsidTr="00C65185">
        <w:trPr>
          <w:trHeight w:val="285"/>
        </w:trPr>
        <w:tc>
          <w:tcPr>
            <w:tcW w:w="3065" w:type="dxa"/>
            <w:tcBorders>
              <w:top w:val="single" w:sz="4" w:space="0" w:color="auto"/>
              <w:left w:val="single" w:sz="4" w:space="0" w:color="auto"/>
              <w:bottom w:val="single" w:sz="4" w:space="0" w:color="auto"/>
              <w:right w:val="single" w:sz="4" w:space="0" w:color="auto"/>
            </w:tcBorders>
            <w:noWrap/>
            <w:vAlign w:val="bottom"/>
          </w:tcPr>
          <w:p w:rsidR="00F8675C" w:rsidRDefault="00F8675C" w:rsidP="00C65185">
            <w:pPr>
              <w:widowControl/>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本年支出性质</w:t>
            </w:r>
          </w:p>
        </w:tc>
        <w:tc>
          <w:tcPr>
            <w:tcW w:w="1912" w:type="dxa"/>
            <w:tcBorders>
              <w:top w:val="single" w:sz="4" w:space="0" w:color="auto"/>
              <w:left w:val="nil"/>
              <w:bottom w:val="single" w:sz="4" w:space="0" w:color="auto"/>
              <w:right w:val="single" w:sz="4" w:space="0" w:color="auto"/>
            </w:tcBorders>
            <w:noWrap/>
            <w:vAlign w:val="bottom"/>
          </w:tcPr>
          <w:p w:rsidR="00F8675C" w:rsidRDefault="00F8675C" w:rsidP="00C65185">
            <w:pPr>
              <w:widowControl/>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年初预算数</w:t>
            </w:r>
          </w:p>
        </w:tc>
        <w:tc>
          <w:tcPr>
            <w:tcW w:w="2066" w:type="dxa"/>
            <w:tcBorders>
              <w:top w:val="single" w:sz="4" w:space="0" w:color="auto"/>
              <w:left w:val="nil"/>
              <w:bottom w:val="single" w:sz="4" w:space="0" w:color="auto"/>
              <w:right w:val="single" w:sz="4" w:space="0" w:color="auto"/>
            </w:tcBorders>
            <w:noWrap/>
            <w:vAlign w:val="bottom"/>
          </w:tcPr>
          <w:p w:rsidR="00F8675C" w:rsidRDefault="00F8675C" w:rsidP="00C65185">
            <w:pPr>
              <w:widowControl/>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年度决算数</w:t>
            </w:r>
          </w:p>
        </w:tc>
        <w:tc>
          <w:tcPr>
            <w:tcW w:w="1480" w:type="dxa"/>
            <w:tcBorders>
              <w:top w:val="single" w:sz="4" w:space="0" w:color="auto"/>
              <w:left w:val="nil"/>
              <w:bottom w:val="single" w:sz="4" w:space="0" w:color="auto"/>
              <w:right w:val="single" w:sz="4" w:space="0" w:color="auto"/>
            </w:tcBorders>
            <w:noWrap/>
            <w:vAlign w:val="bottom"/>
          </w:tcPr>
          <w:p w:rsidR="00F8675C" w:rsidRDefault="00F8675C" w:rsidP="00C65185">
            <w:pPr>
              <w:widowControl/>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差异率%</w:t>
            </w:r>
          </w:p>
        </w:tc>
      </w:tr>
      <w:tr w:rsidR="00F8675C" w:rsidTr="00C65185">
        <w:trPr>
          <w:trHeight w:val="285"/>
        </w:trPr>
        <w:tc>
          <w:tcPr>
            <w:tcW w:w="3065" w:type="dxa"/>
            <w:tcBorders>
              <w:top w:val="nil"/>
              <w:left w:val="single" w:sz="4" w:space="0" w:color="auto"/>
              <w:bottom w:val="single" w:sz="4" w:space="0" w:color="auto"/>
              <w:right w:val="single" w:sz="4" w:space="0" w:color="auto"/>
            </w:tcBorders>
            <w:noWrap/>
            <w:vAlign w:val="bottom"/>
          </w:tcPr>
          <w:p w:rsidR="00F8675C" w:rsidRDefault="00F8675C" w:rsidP="00C65185">
            <w:pPr>
              <w:widowControl/>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资金总体</w:t>
            </w:r>
          </w:p>
        </w:tc>
        <w:tc>
          <w:tcPr>
            <w:tcW w:w="1912" w:type="dxa"/>
            <w:tcBorders>
              <w:top w:val="nil"/>
              <w:left w:val="nil"/>
              <w:bottom w:val="single" w:sz="4" w:space="0" w:color="auto"/>
              <w:right w:val="single" w:sz="4" w:space="0" w:color="auto"/>
            </w:tcBorders>
            <w:noWrap/>
            <w:vAlign w:val="center"/>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11780.60</w:t>
            </w:r>
          </w:p>
        </w:tc>
        <w:tc>
          <w:tcPr>
            <w:tcW w:w="2066" w:type="dxa"/>
            <w:tcBorders>
              <w:top w:val="nil"/>
              <w:left w:val="nil"/>
              <w:bottom w:val="single" w:sz="4" w:space="0" w:color="auto"/>
              <w:right w:val="single" w:sz="4" w:space="0" w:color="auto"/>
            </w:tcBorders>
            <w:noWrap/>
            <w:vAlign w:val="center"/>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11076.26</w:t>
            </w:r>
          </w:p>
        </w:tc>
        <w:tc>
          <w:tcPr>
            <w:tcW w:w="1480" w:type="dxa"/>
            <w:tcBorders>
              <w:top w:val="nil"/>
              <w:left w:val="nil"/>
              <w:bottom w:val="single" w:sz="4" w:space="0" w:color="auto"/>
              <w:right w:val="single" w:sz="4" w:space="0" w:color="auto"/>
            </w:tcBorders>
            <w:noWrap/>
            <w:vAlign w:val="bottom"/>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-5.98%</w:t>
            </w:r>
          </w:p>
        </w:tc>
      </w:tr>
      <w:tr w:rsidR="00F8675C" w:rsidTr="00C65185">
        <w:trPr>
          <w:trHeight w:val="90"/>
        </w:trPr>
        <w:tc>
          <w:tcPr>
            <w:tcW w:w="3065" w:type="dxa"/>
            <w:tcBorders>
              <w:top w:val="nil"/>
              <w:left w:val="single" w:sz="4" w:space="0" w:color="auto"/>
              <w:bottom w:val="single" w:sz="4" w:space="0" w:color="auto"/>
              <w:right w:val="single" w:sz="4" w:space="0" w:color="auto"/>
            </w:tcBorders>
            <w:noWrap/>
            <w:vAlign w:val="bottom"/>
          </w:tcPr>
          <w:p w:rsidR="00F8675C" w:rsidRDefault="00F8675C" w:rsidP="00C65185">
            <w:pPr>
              <w:widowControl/>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基本支出</w:t>
            </w:r>
          </w:p>
        </w:tc>
        <w:tc>
          <w:tcPr>
            <w:tcW w:w="1912"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10721.01</w:t>
            </w:r>
          </w:p>
        </w:tc>
        <w:tc>
          <w:tcPr>
            <w:tcW w:w="2066"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bottom"/>
              <w:rPr>
                <w:rFonts w:ascii="仿宋_GB2312" w:eastAsia="仿宋_GB2312" w:hAnsi="仿宋_GB2312" w:cs="仿宋_GB2312"/>
                <w:sz w:val="28"/>
                <w:szCs w:val="28"/>
              </w:rPr>
            </w:pPr>
            <w:r>
              <w:rPr>
                <w:rFonts w:ascii="仿宋_GB2312" w:eastAsia="仿宋_GB2312" w:hAnsi="仿宋_GB2312" w:cs="仿宋_GB2312"/>
                <w:sz w:val="28"/>
                <w:szCs w:val="28"/>
              </w:rPr>
              <w:t>10141.95</w:t>
            </w:r>
          </w:p>
        </w:tc>
        <w:tc>
          <w:tcPr>
            <w:tcW w:w="1480"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-5.40%</w:t>
            </w:r>
          </w:p>
        </w:tc>
      </w:tr>
      <w:tr w:rsidR="00F8675C" w:rsidTr="00C65185">
        <w:trPr>
          <w:trHeight w:val="285"/>
        </w:trPr>
        <w:tc>
          <w:tcPr>
            <w:tcW w:w="3065" w:type="dxa"/>
            <w:tcBorders>
              <w:top w:val="nil"/>
              <w:left w:val="single" w:sz="4" w:space="0" w:color="auto"/>
              <w:bottom w:val="single" w:sz="4" w:space="0" w:color="auto"/>
              <w:right w:val="single" w:sz="4" w:space="0" w:color="auto"/>
            </w:tcBorders>
            <w:noWrap/>
            <w:vAlign w:val="bottom"/>
          </w:tcPr>
          <w:p w:rsidR="00F8675C" w:rsidRDefault="00F8675C" w:rsidP="00C65185">
            <w:pPr>
              <w:widowControl/>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项目支出</w:t>
            </w:r>
          </w:p>
        </w:tc>
        <w:tc>
          <w:tcPr>
            <w:tcW w:w="1912"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1059.59</w:t>
            </w:r>
          </w:p>
        </w:tc>
        <w:tc>
          <w:tcPr>
            <w:tcW w:w="2066" w:type="dxa"/>
            <w:tcBorders>
              <w:top w:val="nil"/>
              <w:left w:val="nil"/>
              <w:bottom w:val="single" w:sz="4" w:space="0" w:color="auto"/>
              <w:right w:val="single" w:sz="4" w:space="0" w:color="auto"/>
            </w:tcBorders>
            <w:noWrap/>
            <w:vAlign w:val="bottom"/>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934.31</w:t>
            </w:r>
          </w:p>
        </w:tc>
        <w:tc>
          <w:tcPr>
            <w:tcW w:w="1480"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-11.82%</w:t>
            </w:r>
          </w:p>
        </w:tc>
      </w:tr>
    </w:tbl>
    <w:p w:rsidR="00F8675C" w:rsidRDefault="00F8675C" w:rsidP="00F8675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（2）支出预决算差异情况表（按功能科目）</w:t>
      </w:r>
    </w:p>
    <w:tbl>
      <w:tblPr>
        <w:tblW w:w="8523" w:type="dxa"/>
        <w:tblInd w:w="250" w:type="dxa"/>
        <w:tblLayout w:type="fixed"/>
        <w:tblLook w:val="0000" w:firstRow="0" w:lastRow="0" w:firstColumn="0" w:lastColumn="0" w:noHBand="0" w:noVBand="0"/>
      </w:tblPr>
      <w:tblGrid>
        <w:gridCol w:w="3137"/>
        <w:gridCol w:w="1855"/>
        <w:gridCol w:w="2051"/>
        <w:gridCol w:w="1480"/>
      </w:tblGrid>
      <w:tr w:rsidR="00F8675C" w:rsidTr="00C65185">
        <w:trPr>
          <w:trHeight w:val="285"/>
        </w:trPr>
        <w:tc>
          <w:tcPr>
            <w:tcW w:w="3137" w:type="dxa"/>
            <w:tcBorders>
              <w:top w:val="single" w:sz="4" w:space="0" w:color="auto"/>
              <w:left w:val="single" w:sz="4" w:space="0" w:color="auto"/>
              <w:bottom w:val="single" w:sz="4" w:space="0" w:color="auto"/>
              <w:right w:val="single" w:sz="4" w:space="0" w:color="auto"/>
            </w:tcBorders>
            <w:noWrap/>
            <w:vAlign w:val="bottom"/>
          </w:tcPr>
          <w:p w:rsidR="00F8675C" w:rsidRDefault="00F8675C" w:rsidP="00C65185">
            <w:pPr>
              <w:widowControl/>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功能科目</w:t>
            </w:r>
          </w:p>
        </w:tc>
        <w:tc>
          <w:tcPr>
            <w:tcW w:w="1855" w:type="dxa"/>
            <w:tcBorders>
              <w:top w:val="single" w:sz="4" w:space="0" w:color="auto"/>
              <w:left w:val="nil"/>
              <w:bottom w:val="single" w:sz="4" w:space="0" w:color="auto"/>
              <w:right w:val="single" w:sz="4" w:space="0" w:color="auto"/>
            </w:tcBorders>
            <w:noWrap/>
            <w:vAlign w:val="bottom"/>
          </w:tcPr>
          <w:p w:rsidR="00F8675C" w:rsidRDefault="00F8675C" w:rsidP="00C65185">
            <w:pPr>
              <w:widowControl/>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年初预算数</w:t>
            </w:r>
          </w:p>
        </w:tc>
        <w:tc>
          <w:tcPr>
            <w:tcW w:w="2051" w:type="dxa"/>
            <w:tcBorders>
              <w:top w:val="single" w:sz="4" w:space="0" w:color="auto"/>
              <w:left w:val="nil"/>
              <w:bottom w:val="single" w:sz="4" w:space="0" w:color="auto"/>
              <w:right w:val="single" w:sz="4" w:space="0" w:color="auto"/>
            </w:tcBorders>
            <w:noWrap/>
            <w:vAlign w:val="bottom"/>
          </w:tcPr>
          <w:p w:rsidR="00F8675C" w:rsidRDefault="00F8675C" w:rsidP="00C65185">
            <w:pPr>
              <w:widowControl/>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年度决算数</w:t>
            </w:r>
          </w:p>
        </w:tc>
        <w:tc>
          <w:tcPr>
            <w:tcW w:w="1480" w:type="dxa"/>
            <w:tcBorders>
              <w:top w:val="single" w:sz="4" w:space="0" w:color="auto"/>
              <w:left w:val="nil"/>
              <w:bottom w:val="single" w:sz="4" w:space="0" w:color="auto"/>
              <w:right w:val="single" w:sz="4" w:space="0" w:color="auto"/>
            </w:tcBorders>
            <w:noWrap/>
            <w:vAlign w:val="bottom"/>
          </w:tcPr>
          <w:p w:rsidR="00F8675C" w:rsidRDefault="00F8675C" w:rsidP="00C65185">
            <w:pPr>
              <w:widowControl/>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差异率%</w:t>
            </w:r>
          </w:p>
        </w:tc>
      </w:tr>
      <w:tr w:rsidR="00F8675C" w:rsidTr="00C65185">
        <w:trPr>
          <w:trHeight w:val="285"/>
        </w:trPr>
        <w:tc>
          <w:tcPr>
            <w:tcW w:w="3137" w:type="dxa"/>
            <w:tcBorders>
              <w:top w:val="nil"/>
              <w:left w:val="single" w:sz="4" w:space="0" w:color="auto"/>
              <w:bottom w:val="single" w:sz="4" w:space="0" w:color="auto"/>
              <w:right w:val="single" w:sz="4" w:space="0" w:color="auto"/>
            </w:tcBorders>
            <w:noWrap/>
            <w:vAlign w:val="bottom"/>
          </w:tcPr>
          <w:p w:rsidR="00F8675C" w:rsidRDefault="00F8675C" w:rsidP="00C65185">
            <w:pPr>
              <w:widowControl/>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资金总体</w:t>
            </w:r>
          </w:p>
        </w:tc>
        <w:tc>
          <w:tcPr>
            <w:tcW w:w="1855" w:type="dxa"/>
            <w:tcBorders>
              <w:top w:val="nil"/>
              <w:left w:val="nil"/>
              <w:bottom w:val="single" w:sz="4" w:space="0" w:color="auto"/>
              <w:right w:val="single" w:sz="4" w:space="0" w:color="auto"/>
            </w:tcBorders>
            <w:noWrap/>
            <w:vAlign w:val="center"/>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11780.60</w:t>
            </w:r>
          </w:p>
        </w:tc>
        <w:tc>
          <w:tcPr>
            <w:tcW w:w="2051" w:type="dxa"/>
            <w:tcBorders>
              <w:top w:val="nil"/>
              <w:left w:val="nil"/>
              <w:bottom w:val="single" w:sz="4" w:space="0" w:color="auto"/>
              <w:right w:val="single" w:sz="4" w:space="0" w:color="auto"/>
            </w:tcBorders>
            <w:noWrap/>
            <w:vAlign w:val="center"/>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11076.26</w:t>
            </w:r>
          </w:p>
        </w:tc>
        <w:tc>
          <w:tcPr>
            <w:tcW w:w="1480" w:type="dxa"/>
            <w:tcBorders>
              <w:top w:val="nil"/>
              <w:left w:val="nil"/>
              <w:bottom w:val="single" w:sz="4" w:space="0" w:color="auto"/>
              <w:right w:val="single" w:sz="4" w:space="0" w:color="auto"/>
            </w:tcBorders>
            <w:noWrap/>
            <w:vAlign w:val="bottom"/>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-5.98%</w:t>
            </w:r>
          </w:p>
        </w:tc>
      </w:tr>
      <w:tr w:rsidR="00F8675C" w:rsidTr="00C65185">
        <w:trPr>
          <w:trHeight w:val="285"/>
        </w:trPr>
        <w:tc>
          <w:tcPr>
            <w:tcW w:w="3137" w:type="dxa"/>
            <w:tcBorders>
              <w:top w:val="nil"/>
              <w:left w:val="single" w:sz="4" w:space="0" w:color="auto"/>
              <w:bottom w:val="single" w:sz="4" w:space="0" w:color="auto"/>
              <w:right w:val="single" w:sz="4" w:space="0" w:color="auto"/>
            </w:tcBorders>
            <w:noWrap/>
            <w:vAlign w:val="bottom"/>
          </w:tcPr>
          <w:p w:rsidR="00F8675C" w:rsidRDefault="00F8675C" w:rsidP="00C65185">
            <w:pPr>
              <w:widowControl/>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公共安全支出</w:t>
            </w:r>
          </w:p>
        </w:tc>
        <w:tc>
          <w:tcPr>
            <w:tcW w:w="1855"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9764.00</w:t>
            </w:r>
          </w:p>
        </w:tc>
        <w:tc>
          <w:tcPr>
            <w:tcW w:w="2051"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9513.98</w:t>
            </w:r>
          </w:p>
        </w:tc>
        <w:tc>
          <w:tcPr>
            <w:tcW w:w="1480" w:type="dxa"/>
            <w:tcBorders>
              <w:top w:val="nil"/>
              <w:left w:val="nil"/>
              <w:bottom w:val="single" w:sz="4" w:space="0" w:color="auto"/>
              <w:right w:val="single" w:sz="4" w:space="0" w:color="auto"/>
            </w:tcBorders>
            <w:noWrap/>
            <w:vAlign w:val="bottom"/>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sz w:val="28"/>
                <w:szCs w:val="28"/>
              </w:rPr>
              <w:t>-2.56%</w:t>
            </w:r>
          </w:p>
        </w:tc>
      </w:tr>
      <w:tr w:rsidR="00F8675C" w:rsidTr="00C65185">
        <w:trPr>
          <w:trHeight w:val="285"/>
        </w:trPr>
        <w:tc>
          <w:tcPr>
            <w:tcW w:w="3137" w:type="dxa"/>
            <w:tcBorders>
              <w:top w:val="nil"/>
              <w:left w:val="single" w:sz="4" w:space="0" w:color="auto"/>
              <w:bottom w:val="single" w:sz="4" w:space="0" w:color="auto"/>
              <w:right w:val="single" w:sz="4" w:space="0" w:color="auto"/>
            </w:tcBorders>
            <w:noWrap/>
            <w:vAlign w:val="bottom"/>
          </w:tcPr>
          <w:p w:rsidR="00F8675C" w:rsidRDefault="00F8675C" w:rsidP="00C65185">
            <w:pPr>
              <w:widowControl/>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教育支出</w:t>
            </w:r>
          </w:p>
        </w:tc>
        <w:tc>
          <w:tcPr>
            <w:tcW w:w="1855"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15.42</w:t>
            </w:r>
          </w:p>
        </w:tc>
        <w:tc>
          <w:tcPr>
            <w:tcW w:w="2051"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11.31</w:t>
            </w:r>
          </w:p>
        </w:tc>
        <w:tc>
          <w:tcPr>
            <w:tcW w:w="1480" w:type="dxa"/>
            <w:tcBorders>
              <w:top w:val="nil"/>
              <w:left w:val="nil"/>
              <w:bottom w:val="single" w:sz="4" w:space="0" w:color="auto"/>
              <w:right w:val="single" w:sz="4" w:space="0" w:color="auto"/>
            </w:tcBorders>
            <w:noWrap/>
            <w:vAlign w:val="bottom"/>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sz w:val="28"/>
                <w:szCs w:val="28"/>
              </w:rPr>
              <w:t>-26.6</w:t>
            </w:r>
            <w:r>
              <w:rPr>
                <w:rFonts w:ascii="仿宋_GB2312" w:eastAsia="仿宋_GB2312" w:hAnsi="仿宋_GB2312" w:cs="仿宋_GB2312" w:hint="eastAsia"/>
                <w:sz w:val="28"/>
                <w:szCs w:val="28"/>
              </w:rPr>
              <w:t>5</w:t>
            </w:r>
            <w:r>
              <w:rPr>
                <w:rFonts w:ascii="仿宋_GB2312" w:eastAsia="仿宋_GB2312" w:hAnsi="仿宋_GB2312" w:cs="仿宋_GB2312"/>
                <w:sz w:val="28"/>
                <w:szCs w:val="28"/>
              </w:rPr>
              <w:t>%</w:t>
            </w:r>
          </w:p>
        </w:tc>
      </w:tr>
      <w:tr w:rsidR="00F8675C" w:rsidTr="00C65185">
        <w:trPr>
          <w:trHeight w:val="285"/>
        </w:trPr>
        <w:tc>
          <w:tcPr>
            <w:tcW w:w="3137" w:type="dxa"/>
            <w:tcBorders>
              <w:top w:val="nil"/>
              <w:left w:val="single" w:sz="4" w:space="0" w:color="auto"/>
              <w:bottom w:val="single" w:sz="4" w:space="0" w:color="auto"/>
              <w:right w:val="single" w:sz="4" w:space="0" w:color="auto"/>
            </w:tcBorders>
            <w:noWrap/>
            <w:vAlign w:val="bottom"/>
          </w:tcPr>
          <w:p w:rsidR="00F8675C" w:rsidRDefault="00F8675C" w:rsidP="00C65185">
            <w:pPr>
              <w:widowControl/>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社会保障和就业支出</w:t>
            </w:r>
          </w:p>
        </w:tc>
        <w:tc>
          <w:tcPr>
            <w:tcW w:w="1855"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1065.67</w:t>
            </w:r>
          </w:p>
        </w:tc>
        <w:tc>
          <w:tcPr>
            <w:tcW w:w="2051"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898.19</w:t>
            </w:r>
          </w:p>
        </w:tc>
        <w:tc>
          <w:tcPr>
            <w:tcW w:w="1480" w:type="dxa"/>
            <w:tcBorders>
              <w:top w:val="nil"/>
              <w:left w:val="nil"/>
              <w:bottom w:val="single" w:sz="4" w:space="0" w:color="auto"/>
              <w:right w:val="single" w:sz="4" w:space="0" w:color="auto"/>
            </w:tcBorders>
            <w:noWrap/>
            <w:vAlign w:val="bottom"/>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sz w:val="28"/>
                <w:szCs w:val="28"/>
              </w:rPr>
              <w:t>-15.72%</w:t>
            </w:r>
          </w:p>
        </w:tc>
      </w:tr>
      <w:tr w:rsidR="00F8675C" w:rsidTr="00C65185">
        <w:trPr>
          <w:trHeight w:val="285"/>
        </w:trPr>
        <w:tc>
          <w:tcPr>
            <w:tcW w:w="3137" w:type="dxa"/>
            <w:tcBorders>
              <w:top w:val="nil"/>
              <w:left w:val="single" w:sz="4" w:space="0" w:color="auto"/>
              <w:bottom w:val="single" w:sz="4" w:space="0" w:color="auto"/>
              <w:right w:val="single" w:sz="4" w:space="0" w:color="auto"/>
            </w:tcBorders>
            <w:noWrap/>
            <w:vAlign w:val="bottom"/>
          </w:tcPr>
          <w:p w:rsidR="00F8675C" w:rsidRDefault="00F8675C" w:rsidP="00C65185">
            <w:pPr>
              <w:widowControl/>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卫生健康支出</w:t>
            </w:r>
          </w:p>
        </w:tc>
        <w:tc>
          <w:tcPr>
            <w:tcW w:w="1855"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935.51</w:t>
            </w:r>
          </w:p>
        </w:tc>
        <w:tc>
          <w:tcPr>
            <w:tcW w:w="2051" w:type="dxa"/>
            <w:tcBorders>
              <w:top w:val="nil"/>
              <w:left w:val="nil"/>
              <w:bottom w:val="single" w:sz="4" w:space="0" w:color="auto"/>
              <w:right w:val="single" w:sz="4" w:space="0" w:color="auto"/>
            </w:tcBorders>
            <w:noWrap/>
            <w:vAlign w:val="bottom"/>
          </w:tcPr>
          <w:p w:rsidR="00F8675C" w:rsidRDefault="00F8675C" w:rsidP="00C65185">
            <w:pPr>
              <w:widowControl/>
              <w:jc w:val="right"/>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652.78</w:t>
            </w:r>
          </w:p>
        </w:tc>
        <w:tc>
          <w:tcPr>
            <w:tcW w:w="1480" w:type="dxa"/>
            <w:tcBorders>
              <w:top w:val="nil"/>
              <w:left w:val="nil"/>
              <w:bottom w:val="single" w:sz="4" w:space="0" w:color="auto"/>
              <w:right w:val="single" w:sz="4" w:space="0" w:color="auto"/>
            </w:tcBorders>
            <w:noWrap/>
            <w:vAlign w:val="bottom"/>
          </w:tcPr>
          <w:p w:rsidR="00F8675C" w:rsidRDefault="00F8675C" w:rsidP="00C65185">
            <w:pPr>
              <w:widowControl/>
              <w:jc w:val="right"/>
              <w:rPr>
                <w:rFonts w:ascii="仿宋_GB2312" w:eastAsia="仿宋_GB2312" w:hAnsi="仿宋_GB2312" w:cs="仿宋_GB2312"/>
                <w:sz w:val="28"/>
                <w:szCs w:val="28"/>
              </w:rPr>
            </w:pPr>
            <w:r>
              <w:rPr>
                <w:rFonts w:ascii="仿宋_GB2312" w:eastAsia="仿宋_GB2312" w:hAnsi="仿宋_GB2312" w:cs="仿宋_GB2312"/>
                <w:sz w:val="28"/>
                <w:szCs w:val="28"/>
              </w:rPr>
              <w:t>-30.22%</w:t>
            </w:r>
          </w:p>
        </w:tc>
      </w:tr>
    </w:tbl>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（五）总体评价结论</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1.评价得分情况</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经评价，市检</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分院2021年度部门整体支出绩效评价总得分94.10分，评价结果为“优秀”。其中当年预算执行情况得分为19.6分；整体绩效目标实现情况得分为55分；预算管理情况得分19.5分。</w:t>
      </w:r>
    </w:p>
    <w:p w:rsidR="00F8675C" w:rsidRDefault="00F8675C" w:rsidP="00F8675C">
      <w:pPr>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2.存在的问题及原因分析</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个别项目缺乏需求调研、科学论证等数据支撑。预算编制有待进一步科学、细化。大多数项目为延续性项目，个别项目缺少组织实施方案或管理制度，对于项目管理机构、人员职责分工、工作进度安排和过程管控措施等内容不够明确。</w:t>
      </w:r>
    </w:p>
    <w:p w:rsidR="00F8675C" w:rsidRDefault="00F8675C" w:rsidP="00F8675C">
      <w:pPr>
        <w:pStyle w:val="a0"/>
        <w:ind w:firstLine="560"/>
        <w:rPr>
          <w:rFonts w:ascii="仿宋_GB2312" w:eastAsia="仿宋_GB2312" w:hint="eastAsia"/>
        </w:rPr>
      </w:pPr>
      <w:r>
        <w:rPr>
          <w:rFonts w:ascii="仿宋_GB2312" w:eastAsia="仿宋_GB2312" w:hAnsi="仿宋_GB2312" w:cs="仿宋_GB2312" w:hint="eastAsia"/>
          <w:sz w:val="28"/>
          <w:szCs w:val="28"/>
        </w:rPr>
        <w:t>（2）部分项目缺乏对项目实施情况、效益效果实现情况的历年比较分析，导致项目效益未能完整、充分呈现。部分项目服务对象满意度调查开展不够全面，未充分反映项目服务对象满意度效果。</w:t>
      </w:r>
    </w:p>
    <w:p w:rsidR="00F8675C" w:rsidRDefault="00F8675C" w:rsidP="00F8675C">
      <w:pPr>
        <w:pStyle w:val="a0"/>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（六）措施建议</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加强项目前期调研和需求论证，常规性项目，结合以前年度项目执行情况、绩效情况，制定年度需求与目标。预算编制应更加科学、细化。强化部门预算约束，严格预算执行，减少预算执行中的项目预算调整，平衡好预算执行进度，提高财政资金使用效率和效益。</w:t>
      </w:r>
    </w:p>
    <w:p w:rsidR="00F8675C" w:rsidRDefault="00F8675C" w:rsidP="00F8675C">
      <w:pPr>
        <w:pStyle w:val="a0"/>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2.健全完善项目实施方案和管理制度。根据项目以前年度实施情况或预期计划，制定切实可行的实施方案和管理制度，明确项目管理</w:t>
      </w:r>
      <w:r>
        <w:rPr>
          <w:rFonts w:ascii="仿宋_GB2312" w:eastAsia="仿宋_GB2312" w:hAnsi="仿宋_GB2312" w:cs="仿宋_GB2312" w:hint="eastAsia"/>
          <w:sz w:val="28"/>
          <w:szCs w:val="28"/>
        </w:rPr>
        <w:lastRenderedPageBreak/>
        <w:t>各项要素，合理安排项目人员分工、进度计划，强化过程管控，增强对项目实施的指导和约束作用，加强项目实施过程控制及监督管理。</w:t>
      </w:r>
    </w:p>
    <w:p w:rsidR="00AF7F77" w:rsidRDefault="00F8675C" w:rsidP="00F8675C">
      <w:r>
        <w:rPr>
          <w:rFonts w:ascii="仿宋_GB2312" w:eastAsia="仿宋_GB2312" w:hAnsi="仿宋_GB2312" w:cs="仿宋_GB2312" w:hint="eastAsia"/>
          <w:sz w:val="28"/>
          <w:szCs w:val="28"/>
        </w:rPr>
        <w:t>3.加强全面绩效管理意识，注重项目效益资料收集，项目负责人对项目质量和效益资料完整性负责，项目效益用效果资料和数据支撑。落实服务对象满意度调查，结合项目服务对象，选择适当的方式、方法，全面开展服务对象满意度调查及分析，充分反映项目服务对象满意度效果，全面客观地呈现财政资金的使用效益。</w:t>
      </w:r>
    </w:p>
    <w:sectPr w:rsidR="00AF7F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055" w:rsidRDefault="003D7055" w:rsidP="00F8675C">
      <w:r>
        <w:separator/>
      </w:r>
    </w:p>
  </w:endnote>
  <w:endnote w:type="continuationSeparator" w:id="0">
    <w:p w:rsidR="003D7055" w:rsidRDefault="003D7055" w:rsidP="00F8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055" w:rsidRDefault="003D7055" w:rsidP="00F8675C">
      <w:r>
        <w:separator/>
      </w:r>
    </w:p>
  </w:footnote>
  <w:footnote w:type="continuationSeparator" w:id="0">
    <w:p w:rsidR="003D7055" w:rsidRDefault="003D7055" w:rsidP="00F867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FFB472"/>
    <w:multiLevelType w:val="singleLevel"/>
    <w:tmpl w:val="D7FFB47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933"/>
    <w:rsid w:val="00395933"/>
    <w:rsid w:val="003D7055"/>
    <w:rsid w:val="00AF7F77"/>
    <w:rsid w:val="00F86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8675C"/>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F867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F8675C"/>
    <w:rPr>
      <w:sz w:val="18"/>
      <w:szCs w:val="18"/>
    </w:rPr>
  </w:style>
  <w:style w:type="paragraph" w:styleId="a5">
    <w:name w:val="footer"/>
    <w:basedOn w:val="a"/>
    <w:link w:val="Char0"/>
    <w:uiPriority w:val="99"/>
    <w:unhideWhenUsed/>
    <w:rsid w:val="00F8675C"/>
    <w:pPr>
      <w:tabs>
        <w:tab w:val="center" w:pos="4153"/>
        <w:tab w:val="right" w:pos="8306"/>
      </w:tabs>
      <w:snapToGrid w:val="0"/>
      <w:jc w:val="left"/>
    </w:pPr>
    <w:rPr>
      <w:sz w:val="18"/>
      <w:szCs w:val="18"/>
    </w:rPr>
  </w:style>
  <w:style w:type="character" w:customStyle="1" w:styleId="Char0">
    <w:name w:val="页脚 Char"/>
    <w:basedOn w:val="a1"/>
    <w:link w:val="a5"/>
    <w:uiPriority w:val="99"/>
    <w:rsid w:val="00F8675C"/>
    <w:rPr>
      <w:sz w:val="18"/>
      <w:szCs w:val="18"/>
    </w:rPr>
  </w:style>
  <w:style w:type="paragraph" w:styleId="a0">
    <w:name w:val="Normal Indent"/>
    <w:basedOn w:val="a"/>
    <w:qFormat/>
    <w:rsid w:val="00F8675C"/>
    <w:pPr>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8675C"/>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F867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F8675C"/>
    <w:rPr>
      <w:sz w:val="18"/>
      <w:szCs w:val="18"/>
    </w:rPr>
  </w:style>
  <w:style w:type="paragraph" w:styleId="a5">
    <w:name w:val="footer"/>
    <w:basedOn w:val="a"/>
    <w:link w:val="Char0"/>
    <w:uiPriority w:val="99"/>
    <w:unhideWhenUsed/>
    <w:rsid w:val="00F8675C"/>
    <w:pPr>
      <w:tabs>
        <w:tab w:val="center" w:pos="4153"/>
        <w:tab w:val="right" w:pos="8306"/>
      </w:tabs>
      <w:snapToGrid w:val="0"/>
      <w:jc w:val="left"/>
    </w:pPr>
    <w:rPr>
      <w:sz w:val="18"/>
      <w:szCs w:val="18"/>
    </w:rPr>
  </w:style>
  <w:style w:type="character" w:customStyle="1" w:styleId="Char0">
    <w:name w:val="页脚 Char"/>
    <w:basedOn w:val="a1"/>
    <w:link w:val="a5"/>
    <w:uiPriority w:val="99"/>
    <w:rsid w:val="00F8675C"/>
    <w:rPr>
      <w:sz w:val="18"/>
      <w:szCs w:val="18"/>
    </w:rPr>
  </w:style>
  <w:style w:type="paragraph" w:styleId="a0">
    <w:name w:val="Normal Indent"/>
    <w:basedOn w:val="a"/>
    <w:qFormat/>
    <w:rsid w:val="00F8675C"/>
    <w:pPr>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961</Words>
  <Characters>5484</Characters>
  <Application>Microsoft Office Word</Application>
  <DocSecurity>0</DocSecurity>
  <Lines>45</Lines>
  <Paragraphs>12</Paragraphs>
  <ScaleCrop>false</ScaleCrop>
  <Company>北京市人民检察院第一分院</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20190524</dc:creator>
  <cp:keywords/>
  <dc:description/>
  <cp:lastModifiedBy>20190524</cp:lastModifiedBy>
  <cp:revision>2</cp:revision>
  <dcterms:created xsi:type="dcterms:W3CDTF">2022-08-22T08:16:00Z</dcterms:created>
  <dcterms:modified xsi:type="dcterms:W3CDTF">2022-08-22T08:18:00Z</dcterms:modified>
</cp:coreProperties>
</file>