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560" w:firstLineChars="200"/>
        <w:textAlignment w:val="auto"/>
        <w:rPr>
          <w:rFonts w:hint="eastAsia" w:ascii="黑体" w:hAnsi="Times New Roman" w:eastAsia="黑体" w:cs="Times New Roman"/>
          <w:sz w:val="28"/>
          <w:szCs w:val="28"/>
          <w:highlight w:val="none"/>
          <w:lang w:eastAsia="zh-CN"/>
        </w:rPr>
      </w:pPr>
      <w:r>
        <w:rPr>
          <w:rFonts w:hint="eastAsia" w:ascii="黑体" w:hAnsi="Times New Roman" w:eastAsia="黑体" w:cs="Times New Roman"/>
          <w:sz w:val="28"/>
          <w:szCs w:val="28"/>
          <w:highlight w:val="none"/>
          <w:lang w:eastAsia="zh-CN"/>
        </w:rPr>
        <w:t>部门整体绩效评价报告</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color w:val="000000"/>
          <w:kern w:val="0"/>
          <w:sz w:val="28"/>
          <w:szCs w:val="28"/>
        </w:rPr>
      </w:pPr>
      <w:r>
        <w:rPr>
          <w:rFonts w:hint="eastAsia" w:ascii="黑体" w:hAnsi="黑体" w:eastAsia="黑体" w:cs="宋体"/>
          <w:color w:val="000000"/>
          <w:kern w:val="0"/>
          <w:sz w:val="28"/>
          <w:szCs w:val="28"/>
          <w:lang w:eastAsia="zh-CN"/>
        </w:rPr>
        <w:t>（</w:t>
      </w:r>
      <w:r>
        <w:rPr>
          <w:rFonts w:hint="eastAsia" w:ascii="仿宋_GB2312" w:hAnsi="仿宋_GB2312" w:eastAsia="仿宋_GB2312" w:cs="仿宋_GB2312"/>
          <w:color w:val="000000"/>
          <w:kern w:val="0"/>
          <w:sz w:val="28"/>
          <w:szCs w:val="28"/>
          <w:lang w:eastAsia="zh-CN"/>
        </w:rPr>
        <w:t>一）</w:t>
      </w:r>
      <w:r>
        <w:rPr>
          <w:rFonts w:hint="eastAsia" w:ascii="仿宋_GB2312" w:hAnsi="仿宋_GB2312" w:eastAsia="仿宋_GB2312" w:cs="仿宋_GB2312"/>
          <w:color w:val="000000"/>
          <w:kern w:val="0"/>
          <w:sz w:val="28"/>
          <w:szCs w:val="28"/>
        </w:rPr>
        <w:t>部门概况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机构设置及职责工作任务情况</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北京市海淀区人民检察院（以下简称我院）是依法行使检察权的法律监督机关。</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北京市海淀区人民检察院主要职责是在辖区内依法独立行使检察权。接受北京市人民检察院和区委的领导，对本区人民代表大会及其常务委员会负责并报告工作；负责受理审查我院管辖提请逮捕的案件；负责受理我院管辖提起公诉的案件，并出庭支持公诉；负责对辖区内公民、单位的法制宣传和犯罪预防；负责受理辖区内公民和法人的检举、控告、申诉的案件；负责对辖区内的民事、经济、行政诉讼判决的监督；负责对公安局、国家安全局侦查工作的法律监督；负责对辖区内监管场所收押犯罪嫌疑人、罪犯改造工作的监督；负责我院的党建工作和干部教育管理以及思想政治工作；负责我院党的纪律检查和行政监察工作；负责我院的后勤管理和物资装备工作；负责由上级人民检察院交办的其他工作。</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部门整体绩效目标设立情况。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2021年市级预算已经北京市第十五届人民代表大会第四次会议批准。根据《中华人民共和国预算法》《中华人民共和国预算法实施条例》《北京市预算审查监督条例》以及预算公开的有关规定，我院从依法行政、依法理财的高度认真执行预算，完善内部预算管理及监督机制，进一步提升预算资金使用的规范性、时效性和效益性。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通过2021年预算资金的投入，全面保障各项检察业务工作的正常开展，做好检察院办案工作区、检察服务中心的安全检查，妥善处置各类突发事件，维护人民群众生命财产安全，坚持司法办案中心，切实履行好法律监督职责，促进科技强检战略实施，有效保障我院检察业务的正常有序开展。</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（二）</w:t>
      </w:r>
      <w:r>
        <w:rPr>
          <w:rFonts w:hint="eastAsia" w:ascii="仿宋_GB2312" w:hAnsi="仿宋_GB2312" w:eastAsia="仿宋_GB2312" w:cs="仿宋_GB2312"/>
          <w:color w:val="000000"/>
          <w:kern w:val="0"/>
          <w:sz w:val="28"/>
          <w:szCs w:val="28"/>
        </w:rPr>
        <w:t>当年预算执行情况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2021年全年预算数17,190.21万元，其中，基本支出预算数14,692.08万元，项目支出预算数2,498.13万元，其他支出预算数0.00万元。资金总体支出16,884.19万元，其中，基本支出14,630.09万元，项目支出2,254.10万元，其他支出0.00万元。预算执行率为98.22%。</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（三）</w:t>
      </w:r>
      <w:r>
        <w:rPr>
          <w:rFonts w:hint="eastAsia" w:ascii="仿宋_GB2312" w:hAnsi="仿宋_GB2312" w:eastAsia="仿宋_GB2312" w:cs="仿宋_GB2312"/>
          <w:color w:val="000000"/>
          <w:kern w:val="0"/>
          <w:sz w:val="28"/>
          <w:szCs w:val="28"/>
        </w:rPr>
        <w:t>整体绩效目标实现情况</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产出完成情况分析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1</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产出数量</w:t>
      </w:r>
    </w:p>
    <w:p>
      <w:pPr>
        <w:keepNext w:val="0"/>
        <w:keepLines w:val="0"/>
        <w:pageBreakBefore w:val="0"/>
        <w:widowControl w:val="0"/>
        <w:kinsoku/>
        <w:wordWrap/>
        <w:overflowPunct/>
        <w:topLinePunct w:val="0"/>
        <w:autoSpaceDE/>
        <w:autoSpaceDN/>
        <w:bidi w:val="0"/>
        <w:adjustRightInd/>
        <w:snapToGrid/>
        <w:spacing w:line="580" w:lineRule="exact"/>
        <w:ind w:left="105" w:leftChars="50" w:right="0" w:rightChars="0" w:firstLine="420" w:firstLineChars="150"/>
        <w:jc w:val="both"/>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2021年全年预算数17,190.21万元，资金总体支出16,884.19万元，预算执行率为98.22%。</w:t>
      </w:r>
    </w:p>
    <w:p>
      <w:pPr>
        <w:keepNext w:val="0"/>
        <w:keepLines w:val="0"/>
        <w:pageBreakBefore w:val="0"/>
        <w:widowControl w:val="0"/>
        <w:kinsoku/>
        <w:wordWrap/>
        <w:overflowPunct/>
        <w:topLinePunct w:val="0"/>
        <w:autoSpaceDE/>
        <w:autoSpaceDN/>
        <w:bidi w:val="0"/>
        <w:adjustRightInd/>
        <w:snapToGrid/>
        <w:spacing w:line="580" w:lineRule="exact"/>
        <w:ind w:left="105" w:leftChars="50" w:right="0" w:rightChars="0" w:firstLine="420" w:firstLineChars="150"/>
        <w:jc w:val="both"/>
        <w:textAlignment w:val="auto"/>
        <w:outlineLvl w:val="9"/>
        <w:rPr>
          <w:rFonts w:hint="eastAsia"/>
        </w:rPr>
      </w:pPr>
      <w:r>
        <w:rPr>
          <w:rFonts w:hint="eastAsia" w:ascii="仿宋_GB2312" w:hAnsi="仿宋_GB2312" w:eastAsia="仿宋_GB2312" w:cs="仿宋_GB2312"/>
          <w:color w:val="000000"/>
          <w:kern w:val="0"/>
          <w:sz w:val="28"/>
          <w:szCs w:val="28"/>
        </w:rPr>
        <w:t>五年来，我院忠实履行宪法法律赋予的法律监督职责，共办理各类案件4.10万件，同比上升17.00%。受理审查逮捕案件15767件23760人，批准逮捕13358人，不批准逮捕 10327人；受理审查起诉案件16621件21861人，起诉16780人，不起诉4141人。和上个五年相比，起诉严重暴力犯罪从702人降至313人，被判处三年有期徒刑以上刑罚的占比从13.80%降至11.50%。严重暴力犯罪及重刑率下降，反映了我区社会治安持续向好。与此同时，网络犯罪高发，非法集资犯罪激增，两类案件占受理审查起诉总人数的14.00%。加强对刑事、民事、行政诉讼活动的监督，办理各类监督案件3246件。自2018年检察机关新增公益诉讼职能以来，目前共办理公益诉讼案件158件。</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产出质量</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rPr>
      </w:pPr>
      <w:r>
        <w:rPr>
          <w:rFonts w:hint="eastAsia" w:ascii="仿宋_GB2312" w:hAnsi="仿宋_GB2312" w:eastAsia="仿宋_GB2312" w:cs="仿宋_GB2312"/>
          <w:color w:val="000000"/>
          <w:kern w:val="0"/>
          <w:sz w:val="28"/>
          <w:szCs w:val="28"/>
          <w:lang w:val="en-US" w:eastAsia="zh-CN" w:bidi="ar-SA"/>
        </w:rPr>
        <w:t>我院各项工作又取得了新的成绩，获评首届“守望正义——全国群众最满意的基层检察院”称号，蝉联“全国检察机关文明接待室”“全国检察信息、宣传先进单位”，获评全市检察机关“双一流”创建活动示范单位、全市先进基层检察院称号。2件案件入选最高检指导性案例，45件案件入选全国、全市典型案例，20件案件系全国、全市首例新型案件；12人获国家级荣誉，73人获市级荣誉，126个团体及个人获区级荣誉。在执行过程中，各项服务质量符合要求，均达到预期指标，2021年我院较好的完成了各项工作。</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产出进度</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rPr>
      </w:pPr>
      <w:r>
        <w:rPr>
          <w:rFonts w:hint="eastAsia" w:ascii="仿宋_GB2312" w:hAnsi="仿宋_GB2312" w:eastAsia="仿宋_GB2312" w:cs="仿宋_GB2312"/>
          <w:color w:val="000000"/>
          <w:kern w:val="0"/>
          <w:sz w:val="28"/>
          <w:szCs w:val="28"/>
          <w:lang w:val="en-US" w:eastAsia="zh-CN" w:bidi="ar-SA"/>
        </w:rPr>
        <w:t>我院所有预算项目按照年初计划及整体绩效目标确定的时限较好的完成了各项工作任务。在2021年度内完成部门整体预算项目内容，实施进度良好。所有预算项目均在2021年度达到预期目标，按时完成率较高。</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产出成本</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bidi="ar-SA"/>
        </w:rPr>
        <w:t>2021年全年预算控制数17,190.21万元以内，总体资金支出未超出批复资金，专项资金控制及节约情况较好。我院支出相对于上一年度（2020年支出数16,729.67万元）节约460.54万元；我院严控各项预算支出，本着厉行节约和提高资金使用效益原则，各项成本产出未超出市场同类产出金额；我院严格控制公用经费的使用情况，2021年预算调整数为1,826.75万元，实际支出1,817.81万元，公用经费使用资金控制及节约情况较好。</w:t>
      </w:r>
      <w:r>
        <w:rPr>
          <w:rFonts w:hint="eastAsia" w:ascii="仿宋_GB2312" w:hAnsi="仿宋_GB2312" w:eastAsia="仿宋_GB2312" w:cs="仿宋_GB2312"/>
          <w:color w:val="000000"/>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效果实现情况分析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1</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经济效益</w:t>
      </w:r>
    </w:p>
    <w:p>
      <w:pPr>
        <w:pStyle w:val="2"/>
        <w:keepNext w:val="0"/>
        <w:keepLines w:val="0"/>
        <w:pageBreakBefore w:val="0"/>
        <w:widowControl w:val="0"/>
        <w:kinsoku/>
        <w:wordWrap/>
        <w:overflowPunct/>
        <w:topLinePunct w:val="0"/>
        <w:autoSpaceDE/>
        <w:autoSpaceDN/>
        <w:bidi w:val="0"/>
        <w:adjustRightInd/>
        <w:snapToGrid/>
        <w:spacing w:line="580" w:lineRule="atLeas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2021年国际国内形势发生深刻变化，新冠疫情带来巨大冲击，司法体制改革、监察体制改革、诉讼制度改革多重叠加，检察机关在风险挑战中不断自我革命，在攻坚克难中实现深度转型。我院在区委和市检察院坚强领导下，在区人大及其常委会有力监督下，在区政府大力支持和区政协民主监督下，坚持以习近平新时代中国特色社会主义思想为指导，深入贯彻党的十九大和十九届历次全会精神，按照“传承深化、打造精品、改革创新、稳中求进”的工作思路，不断完善“四大检察”“十大业务”法律监督格局，加速促进检察理念变革、专业精神培塑，持续推进职能体系重构、内设机构重组，为我区实施“两新两高”战略、实现经济社会高质量发展贡献了检察智慧和力量。通过各项目的实施，2021年依照既定目标完成了部分项目，项目预算控制数17,190.21万元以内，总体资金支出未超出批复资金，专项资金控制及节约情况较好，项目经济性显著。</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社会效益</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2021年全年的检察服务促进了社会服务业发展，提高了政府管理和服务社会效率，为我院依法履行检察职能，保障区域安全稳定；自觉强化检察担当，服务海淀跨越式高质量发展，全面推进检察监督；维护社会公平正义，切实践行检察为民，大力增进民生福祉；巩固深化检察改革，确保权力行使规范高效。</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环境效益</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我院切实履行监督职责，共同推进严格执法、公正司法，推进海淀法治环境建设，均达到预期指标。净化政治生态，以政法队伍教育整顿为契机，制定“6+N+n”顽瘴痼疾整治方案，健全执法司法制约监督长效机制。严格落实“三个规定”，筑牢拒腐防变制度堤坝。深入开展“以案为鉴、以案促改”警示教育，引导检察人员存戒惧、守底线。创新检务督察机制，常态化开展业务督察、政务督察，促进各项工作规范高效。</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可持续性影响</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rPr>
      </w:pPr>
      <w:r>
        <w:rPr>
          <w:rFonts w:hint="eastAsia" w:ascii="仿宋_GB2312" w:hAnsi="仿宋_GB2312" w:eastAsia="仿宋_GB2312" w:cs="仿宋_GB2312"/>
          <w:color w:val="000000"/>
          <w:kern w:val="0"/>
          <w:sz w:val="28"/>
          <w:szCs w:val="28"/>
          <w:lang w:val="en-US" w:eastAsia="zh-CN" w:bidi="ar-SA"/>
        </w:rPr>
        <w:t>我院注重以政治建设为统领，始终坚持党对检察工作的绝对领导，自觉融入全区经济社会发展大局，持续提高服务保障的针对性和实效性。我院注重改革与时代发展相结合，务实唯新、蹄疾步稳，推动各项改革在叠加运行中实现衔接配套和落地落实。我院注重检察工作规律，推动司法办案与检察监督、案件办理与案件管理、检察权与司法行政事务权的“三个适当分离”，以科学管理助推检察工作现代化。我院注重以人为本，坚持严管厚爱，着力提升专业化能力，以一流的素质能力打造一流检察队伍。2021年部门整体预算的实施保障各项检察业务工作的正常开展，各类经常性支出项目成为可持续的一项工作。</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服务对象满意度</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2021年部门整体预算的实施，各项目均依照既定目标完成了服务。引入科学的管理方法论，建立系统的、规范的、科学的质量保证体系。各项目执行过程中，我院践行“以人民为中心”的司法理念，竭尽全力为人民司法、为百姓服务，以实际行动诠释为民初心。我院注重以人为本，坚持严管厚爱，着力提升专业化能力，以一流的素质能力打造一流检察队伍。2021年预算的实施为我院业务的正常运行提供可靠的资金保障。人民群众对检察业务工作满意度均在90%以上；干警对项目服务满意度均不低于95%。</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（四）</w:t>
      </w:r>
      <w:r>
        <w:rPr>
          <w:rFonts w:hint="eastAsia" w:ascii="仿宋_GB2312" w:hAnsi="仿宋_GB2312" w:eastAsia="仿宋_GB2312" w:cs="仿宋_GB2312"/>
          <w:color w:val="000000"/>
          <w:kern w:val="0"/>
          <w:sz w:val="28"/>
          <w:szCs w:val="28"/>
        </w:rPr>
        <w:t>预算管理情况分析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财务管理</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1</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财务管理制度健全性</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rPr>
      </w:pPr>
      <w:r>
        <w:rPr>
          <w:rFonts w:hint="eastAsia" w:ascii="仿宋_GB2312" w:hAnsi="仿宋_GB2312" w:eastAsia="仿宋_GB2312" w:cs="仿宋_GB2312"/>
          <w:color w:val="000000"/>
          <w:kern w:val="0"/>
          <w:sz w:val="28"/>
          <w:szCs w:val="28"/>
          <w:lang w:val="en-US" w:eastAsia="zh-CN" w:bidi="ar-SA"/>
        </w:rPr>
        <w:t>我院制定了《北京市海淀区人民检察院内部控制手册》等一系列财务管理制度。</w:t>
      </w:r>
    </w:p>
    <w:p>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资金使用合规性和安全性</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项目预算资金为17,190.21万元，截至2021年12月31日，项目资金共计支出16,884.19万元，严格按照预算执行，预算执行率98.22%。</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为了进一步规范和加强项目经费的管理、规范权力运行、推进廉政建设，保障资金安全、高效运行，提高资金使用效益，根据院党组关于党风廉政建设的部署要求，结合市级有关部门出台的一系列财经法规和制度，办公室（行政事务管理部）以经济业务活动为切入点，对检务保障工作进行了全面梳理，形成了涵盖“三重一大”决策制度、预算管理制度、财务管理制度、经费支出管理制度、采购管理制度、资产管理制度、合同管理制度、外包服务人员管理制度、风险防控制度等内部控制制度体系，我院制定了《北京市海淀区人民检察院内部控制手册》。加强资金使用的过程管理具体体现在：</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财务审批权限：金额在500.00元以下的由办公室（行政事务管理部）负责人审批；金额50,000.00元以上的需报党组会集体讨论决定，按审批权限签字，严禁未批先报。</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大额资金列入年度预算项目，严格执行预算标准、预算进度。对大额资金支出的使用需实行“党组会集体讨论决定”制度。资金需求部门填写工作请示报告，经分管领导审批同意后，由党组会集体讨论决定。根据谁审批谁负责的原则，明确审批责任人、审批权限及其他人员的工作程序和职责。</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单项或批量金额大于100.00万（含）且小于400.00万元的依据采购法确定采购方式。</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大额专项资金必须专款专用，严禁在申请资金过程中弄虚作假、套取大额专项资金的行为。</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评价认为，项目资金到位率100.00%，严格按照预算执行，预算执行率98.22%。资金的拨付和使用有完整的审批程序和手续，支出审批单、发票、合同、会议纪要、验收单等附件齐全。资金支出符合项目预算批复且严格按照合同规定执行。资金管理制度基本完善，财务记账完整规范，未发现资金挪用、截留等严重违规情况。</w:t>
      </w:r>
    </w:p>
    <w:p>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会计基础信息完善性</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rPr>
      </w:pPr>
      <w:r>
        <w:rPr>
          <w:rFonts w:hint="eastAsia" w:ascii="仿宋_GB2312" w:hAnsi="仿宋_GB2312" w:eastAsia="仿宋_GB2312" w:cs="仿宋_GB2312"/>
          <w:color w:val="000000"/>
          <w:kern w:val="0"/>
          <w:sz w:val="28"/>
          <w:szCs w:val="28"/>
          <w:lang w:val="en-US" w:eastAsia="zh-CN" w:bidi="ar-SA"/>
        </w:rPr>
        <w:t>为保证会计基础信息的完善性，我院加强财会队伍建设，提高会计人员的综合素质；加强会计凭证的审核与监督，从源头上保证会计信息真实、准确、完整；严肃财经记录，加大执法力度。</w:t>
      </w:r>
    </w:p>
    <w:p>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资产管理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我院进一步加强资产的管理，明确了具体责任人，完善了固定资产管理，严格报批、销审等手续，做好资产登记工作，我院无任何资产流失现象。</w:t>
      </w:r>
    </w:p>
    <w:p>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绩效管理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rPr>
      </w:pPr>
      <w:r>
        <w:rPr>
          <w:rFonts w:hint="eastAsia" w:ascii="仿宋_GB2312" w:hAnsi="仿宋_GB2312" w:eastAsia="仿宋_GB2312" w:cs="仿宋_GB2312"/>
          <w:color w:val="000000"/>
          <w:kern w:val="0"/>
          <w:sz w:val="28"/>
          <w:szCs w:val="28"/>
          <w:lang w:val="en-US" w:eastAsia="zh-CN" w:bidi="ar-SA"/>
        </w:rPr>
        <w:t>我院建立科学、合理的部门支出绩效评价管理体系，提高财政资金使用效益。我院部门支出绩效评价依据设定的绩效目标，运用科学、合理的绩效评价指标、评价标准和评价方法，对部门支出的经济性、效率性、效益性和公平性以及预算资金的投入、使用过程、产出和效果进行客观、公正的测量、分析和评判进一步加强预算绩效管理。</w:t>
      </w:r>
    </w:p>
    <w:p>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结转结余率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2021年结转结余资金总额为306.01万元，项目预算资金为17,190.21万元，</w:t>
      </w:r>
      <w:bookmarkStart w:id="0" w:name="_GoBack"/>
      <w:bookmarkEnd w:id="0"/>
      <w:r>
        <w:rPr>
          <w:rFonts w:hint="eastAsia" w:ascii="仿宋_GB2312" w:hAnsi="仿宋_GB2312" w:eastAsia="仿宋_GB2312" w:cs="仿宋_GB2312"/>
          <w:color w:val="000000"/>
          <w:kern w:val="0"/>
          <w:sz w:val="28"/>
          <w:szCs w:val="28"/>
          <w:lang w:val="en-US" w:eastAsia="zh-CN" w:bidi="ar-SA"/>
        </w:rPr>
        <w:t>结转结余率为1.</w:t>
      </w:r>
      <w:r>
        <w:rPr>
          <w:rFonts w:hint="default" w:ascii="仿宋_GB2312" w:hAnsi="仿宋_GB2312" w:eastAsia="仿宋_GB2312" w:cs="仿宋_GB2312"/>
          <w:color w:val="000000"/>
          <w:kern w:val="0"/>
          <w:sz w:val="28"/>
          <w:szCs w:val="28"/>
          <w:lang w:eastAsia="zh-CN" w:bidi="ar-SA"/>
        </w:rPr>
        <w:t>78</w:t>
      </w:r>
      <w:r>
        <w:rPr>
          <w:rFonts w:hint="eastAsia" w:ascii="仿宋_GB2312" w:hAnsi="仿宋_GB2312" w:eastAsia="仿宋_GB2312" w:cs="仿宋_GB2312"/>
          <w:color w:val="000000"/>
          <w:kern w:val="0"/>
          <w:sz w:val="28"/>
          <w:szCs w:val="28"/>
          <w:lang w:val="en-US" w:eastAsia="zh-CN" w:bidi="ar-SA"/>
        </w:rPr>
        <w:t>%。</w:t>
      </w:r>
    </w:p>
    <w:p>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部门预决算差异率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2021年年初预算数16,496.40万元，调整预算数17,190.21万元，资金总体支出16,884.19万元，预算执行率为98.22%，预决算差异率为4.21%。</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（五）</w:t>
      </w:r>
      <w:r>
        <w:rPr>
          <w:rFonts w:hint="eastAsia" w:ascii="仿宋_GB2312" w:hAnsi="仿宋_GB2312" w:eastAsia="仿宋_GB2312" w:cs="仿宋_GB2312"/>
          <w:sz w:val="28"/>
          <w:szCs w:val="28"/>
        </w:rPr>
        <w:t>总体评价结论</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评价得分情况</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rPr>
      </w:pPr>
      <w:r>
        <w:rPr>
          <w:rFonts w:hint="eastAsia" w:ascii="仿宋_GB2312" w:hAnsi="仿宋_GB2312" w:eastAsia="仿宋_GB2312" w:cs="仿宋_GB2312"/>
          <w:color w:val="000000"/>
          <w:kern w:val="0"/>
          <w:sz w:val="28"/>
          <w:szCs w:val="28"/>
          <w:lang w:val="en-US" w:eastAsia="zh-CN" w:bidi="ar-SA"/>
        </w:rPr>
        <w:t>依据2021年部门整体绩效评价指标体系评分表，我院部门整体绩效评价得分91分。</w:t>
      </w:r>
    </w:p>
    <w:p>
      <w:pPr>
        <w:keepNext w:val="0"/>
        <w:keepLines w:val="0"/>
        <w:pageBreakBefore w:val="0"/>
        <w:widowControl w:val="0"/>
        <w:numPr>
          <w:ilvl w:val="0"/>
          <w:numId w:val="7"/>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存在的问题及原因分析</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 xml:space="preserve">问题：1、项目采购计划过于粗糙，没有具体的明细项目，没有成本测算的依据。2、未提供项目决策过程资料，未见项目的可研及专家论证，未见风险评估，无法评估项目的科学性 。3、未对项目绩效效果进一步分析提炼，充分展现项目的绩效效果，项目绩效体现不明显。  </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原因分析：针对部门绩效评价，我院将关注点停留在预算执行率和过程审批合规合理，未深化全过程预算绩效管理，预算部门成本绩效意识不高。</w:t>
      </w:r>
    </w:p>
    <w:p>
      <w:pPr>
        <w:pStyle w:val="2"/>
        <w:keepNext w:val="0"/>
        <w:keepLines w:val="0"/>
        <w:pageBreakBefore w:val="0"/>
        <w:widowControl w:val="0"/>
        <w:numPr>
          <w:ilvl w:val="0"/>
          <w:numId w:val="8"/>
        </w:numPr>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措施建议</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下一步措施</w:t>
      </w:r>
      <w:r>
        <w:rPr>
          <w:rFonts w:hint="default" w:ascii="仿宋_GB2312" w:hAnsi="仿宋_GB2312" w:eastAsia="仿宋_GB2312" w:cs="仿宋_GB2312"/>
          <w:color w:val="000000"/>
          <w:kern w:val="0"/>
          <w:sz w:val="28"/>
          <w:szCs w:val="28"/>
          <w:lang w:eastAsia="zh-CN" w:bidi="ar-SA"/>
        </w:rPr>
        <w:t>：</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1. 深化全过程预算绩效管理，促进预算部门提高成本绩效意识。</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2.加强过程监督管理，明确项目实施主体的具体责任。</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3.在项目实施过程中应注意资料的收集和档案整理，以便于充分体现该项目的经济性、效率性和效果性。</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相关建议</w:t>
      </w:r>
      <w:r>
        <w:rPr>
          <w:rFonts w:hint="default" w:ascii="仿宋_GB2312" w:hAnsi="仿宋_GB2312" w:eastAsia="仿宋_GB2312" w:cs="仿宋_GB2312"/>
          <w:color w:val="000000"/>
          <w:kern w:val="0"/>
          <w:sz w:val="28"/>
          <w:szCs w:val="28"/>
          <w:lang w:eastAsia="zh-CN" w:bidi="ar-SA"/>
        </w:rPr>
        <w:t>：</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1.加强项目预算编制管理，细化项目预算，避免先有预算后按实际需要采购现象。</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2.加强项目实施管理，应制定项目的实施方案，从项目组织机构、人员分工、项目实施、过程控制、项目验收及项目绩效管理等方面确定具体管控措施，确保项目有效实施。</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3.加强对项目实施效益的归集和分析，明确提供证明材料，对项目绩效效果进一步分析提炼，充分展现项目的绩效效果，证明项目实际产生的绩效。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702030404030204"/>
    <w:charset w:val="00"/>
    <w:family w:val="swiss"/>
    <w:pitch w:val="default"/>
    <w:sig w:usb0="E10002FF" w:usb1="4000ACFF" w:usb2="00000009" w:usb3="00000000" w:csb0="2000019F" w:csb1="00000000"/>
  </w:font>
  <w:font w:name="苹方-简">
    <w:panose1 w:val="020B0400000000000000"/>
    <w:charset w:val="86"/>
    <w:family w:val="auto"/>
    <w:pitch w:val="default"/>
    <w:sig w:usb0="A00002FF" w:usb1="7ACFFDFB" w:usb2="00000017" w:usb3="00000000" w:csb0="00040001" w:csb1="00000000"/>
  </w:font>
  <w:font w:name="仿宋_GB2312">
    <w:altName w:val="方正仿宋_GBK"/>
    <w:panose1 w:val="02010609030101010101"/>
    <w:charset w:val="00"/>
    <w:family w:val="modern"/>
    <w:pitch w:val="default"/>
    <w:sig w:usb0="00000000" w:usb1="00000000" w:usb2="00000000" w:usb3="00000000" w:csb0="00040000" w:csb1="00000000"/>
  </w:font>
  <w:font w:name="Tahoma">
    <w:panose1 w:val="020B0804030504040204"/>
    <w:charset w:val="00"/>
    <w:family w:val="swiss"/>
    <w:pitch w:val="default"/>
    <w:sig w:usb0="E1002AFF" w:usb1="C000605B" w:usb2="00000029" w:usb3="00000000" w:csb0="200101FF" w:csb1="20280000"/>
  </w:font>
  <w:font w:name="黑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90204"/>
    <w:charset w:val="00"/>
    <w:family w:val="swiss"/>
    <w:pitch w:val="default"/>
    <w:sig w:usb0="E0000AFF" w:usb1="00007843" w:usb2="00000001" w:usb3="00000000" w:csb0="400001BF" w:csb1="DFF70000"/>
  </w:font>
  <w:font w:name="方正小标宋简体">
    <w:altName w:val="宋体"/>
    <w:panose1 w:val="02000000000000000000"/>
    <w:charset w:val="00"/>
    <w:family w:val="auto"/>
    <w:pitch w:val="default"/>
    <w:sig w:usb0="00000000" w:usb1="00000000" w:usb2="00000012" w:usb3="00000000" w:csb0="00040001" w:csb1="00000000"/>
  </w:font>
  <w:font w:name="方正仿宋_GBK">
    <w:panose1 w:val="02000000000000000000"/>
    <w:charset w:val="86"/>
    <w:family w:val="auto"/>
    <w:pitch w:val="default"/>
    <w:sig w:usb0="A00002BF" w:usb1="38CF7CFA" w:usb2="0008201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方正小标宋简体">
    <w:altName w:val="宋体"/>
    <w:panose1 w:val="02000000000000000000"/>
    <w:charset w:val="86"/>
    <w:family w:val="auto"/>
    <w:pitch w:val="default"/>
    <w:sig w:usb0="00000000" w:usb1="00000000"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楷体_GB2312">
    <w:altName w:val="汉仪楷体简"/>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汉仪楷体简">
    <w:panose1 w:val="02010600000101010101"/>
    <w:charset w:val="86"/>
    <w:family w:val="auto"/>
    <w:pitch w:val="default"/>
    <w:sig w:usb0="00000001" w:usb1="080E0800" w:usb2="00000002"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FFB472"/>
    <w:multiLevelType w:val="singleLevel"/>
    <w:tmpl w:val="D7FFB472"/>
    <w:lvl w:ilvl="0" w:tentative="0">
      <w:start w:val="1"/>
      <w:numFmt w:val="chineseCounting"/>
      <w:suff w:val="nothing"/>
      <w:lvlText w:val="%1、"/>
      <w:lvlJc w:val="left"/>
      <w:rPr>
        <w:rFonts w:hint="eastAsia"/>
      </w:rPr>
    </w:lvl>
  </w:abstractNum>
  <w:abstractNum w:abstractNumId="1">
    <w:nsid w:val="6305ED59"/>
    <w:multiLevelType w:val="singleLevel"/>
    <w:tmpl w:val="6305ED59"/>
    <w:lvl w:ilvl="0" w:tentative="0">
      <w:start w:val="2"/>
      <w:numFmt w:val="decimal"/>
      <w:suff w:val="nothing"/>
      <w:lvlText w:val="%1."/>
      <w:lvlJc w:val="left"/>
    </w:lvl>
  </w:abstractNum>
  <w:abstractNum w:abstractNumId="2">
    <w:nsid w:val="6305EE52"/>
    <w:multiLevelType w:val="singleLevel"/>
    <w:tmpl w:val="6305EE52"/>
    <w:lvl w:ilvl="0" w:tentative="0">
      <w:start w:val="2"/>
      <w:numFmt w:val="decimal"/>
      <w:suff w:val="nothing"/>
      <w:lvlText w:val="（%1）"/>
      <w:lvlJc w:val="left"/>
    </w:lvl>
  </w:abstractNum>
  <w:abstractNum w:abstractNumId="3">
    <w:nsid w:val="6305EF38"/>
    <w:multiLevelType w:val="singleLevel"/>
    <w:tmpl w:val="6305EF38"/>
    <w:lvl w:ilvl="0" w:tentative="0">
      <w:start w:val="2"/>
      <w:numFmt w:val="decimal"/>
      <w:suff w:val="nothing"/>
      <w:lvlText w:val="（%1）"/>
      <w:lvlJc w:val="left"/>
    </w:lvl>
  </w:abstractNum>
  <w:abstractNum w:abstractNumId="4">
    <w:nsid w:val="6305F044"/>
    <w:multiLevelType w:val="singleLevel"/>
    <w:tmpl w:val="6305F044"/>
    <w:lvl w:ilvl="0" w:tentative="0">
      <w:start w:val="2"/>
      <w:numFmt w:val="decimal"/>
      <w:suff w:val="nothing"/>
      <w:lvlText w:val="（%1）"/>
      <w:lvlJc w:val="left"/>
    </w:lvl>
  </w:abstractNum>
  <w:abstractNum w:abstractNumId="5">
    <w:nsid w:val="6305F0C4"/>
    <w:multiLevelType w:val="singleLevel"/>
    <w:tmpl w:val="6305F0C4"/>
    <w:lvl w:ilvl="0" w:tentative="0">
      <w:start w:val="2"/>
      <w:numFmt w:val="decimal"/>
      <w:suff w:val="nothing"/>
      <w:lvlText w:val="%1."/>
      <w:lvlJc w:val="left"/>
    </w:lvl>
  </w:abstractNum>
  <w:abstractNum w:abstractNumId="6">
    <w:nsid w:val="6305F21E"/>
    <w:multiLevelType w:val="singleLevel"/>
    <w:tmpl w:val="6305F21E"/>
    <w:lvl w:ilvl="0" w:tentative="0">
      <w:start w:val="2"/>
      <w:numFmt w:val="decimal"/>
      <w:suff w:val="nothing"/>
      <w:lvlText w:val="%1."/>
      <w:lvlJc w:val="left"/>
    </w:lvl>
  </w:abstractNum>
  <w:abstractNum w:abstractNumId="7">
    <w:nsid w:val="6305F272"/>
    <w:multiLevelType w:val="singleLevel"/>
    <w:tmpl w:val="6305F272"/>
    <w:lvl w:ilvl="0" w:tentative="0">
      <w:start w:val="6"/>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6935F7"/>
    <w:rsid w:val="07DD837B"/>
    <w:rsid w:val="1F9F6D88"/>
    <w:rsid w:val="6DD7EF30"/>
    <w:rsid w:val="756935F7"/>
    <w:rsid w:val="75DE1C77"/>
    <w:rsid w:val="9DA73686"/>
    <w:rsid w:val="A7C2399D"/>
    <w:rsid w:val="AFE3215A"/>
    <w:rsid w:val="BFFEBA1C"/>
    <w:rsid w:val="E5DE0FF6"/>
    <w:rsid w:val="F7EFA130"/>
    <w:rsid w:val="F9F60BB2"/>
    <w:rsid w:val="FEB2453A"/>
    <w:rsid w:val="FF6B55A5"/>
    <w:rsid w:val="FFBFE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Office_3.9.2.6301_F1E327BC-269C-435d-A152-05C5408002CA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2022-08-25T01:13:00Z</dcterms:created>
  <dc:creator>lijing</dc:creator>
  <cp:lastModifiedBy>lijing</cp:lastModifiedBy>
  <dcterms:modified xsi:type="dcterms:W3CDTF">2022-08-24T18:19:18Z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2052-3.9.2.6301</vt:lpwstr>
  </property>
</Properties>
</file>