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fixed"/>
        <w:tblCellMar>
          <w:top w:w="0" w:type="dxa"/>
          <w:left w:w="108" w:type="dxa"/>
          <w:bottom w:w="0" w:type="dxa"/>
          <w:right w:w="108" w:type="dxa"/>
        </w:tblCellMar>
      </w:tblPr>
      <w:tblGrid>
        <w:gridCol w:w="648"/>
        <w:gridCol w:w="685"/>
        <w:gridCol w:w="1134"/>
        <w:gridCol w:w="1353"/>
        <w:gridCol w:w="818"/>
        <w:gridCol w:w="600"/>
        <w:gridCol w:w="818"/>
        <w:gridCol w:w="3633"/>
        <w:gridCol w:w="4485"/>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2021年部门整体绩效评价指标体系评分表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22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47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2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8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58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228" w:type="pct"/>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4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5,379.76</w:t>
            </w:r>
            <w:r>
              <w:rPr>
                <w:rFonts w:hint="eastAsia" w:ascii="宋体" w:hAnsi="宋体" w:cs="宋体"/>
                <w:color w:val="000000"/>
                <w:kern w:val="0"/>
                <w:sz w:val="20"/>
                <w:szCs w:val="20"/>
              </w:rPr>
              <w:t>　</w:t>
            </w:r>
          </w:p>
        </w:tc>
        <w:tc>
          <w:tcPr>
            <w:tcW w:w="47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5,067.21</w:t>
            </w:r>
            <w:r>
              <w:rPr>
                <w:rFonts w:hint="eastAsia" w:ascii="宋体" w:hAnsi="宋体" w:cs="宋体"/>
                <w:color w:val="000000"/>
                <w:kern w:val="0"/>
                <w:sz w:val="20"/>
                <w:szCs w:val="20"/>
              </w:rPr>
              <w:t>　</w:t>
            </w:r>
          </w:p>
        </w:tc>
        <w:tc>
          <w:tcPr>
            <w:tcW w:w="2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94.19%　</w:t>
            </w:r>
          </w:p>
        </w:tc>
        <w:tc>
          <w:tcPr>
            <w:tcW w:w="21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18.84 　</w:t>
            </w:r>
          </w:p>
        </w:tc>
        <w:tc>
          <w:tcPr>
            <w:tcW w:w="128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82" w:type="pct"/>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4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4,601.40</w:t>
            </w:r>
            <w:r>
              <w:rPr>
                <w:rFonts w:hint="eastAsia" w:ascii="宋体" w:hAnsi="宋体" w:cs="宋体"/>
                <w:color w:val="000000"/>
                <w:kern w:val="0"/>
                <w:sz w:val="20"/>
                <w:szCs w:val="20"/>
              </w:rPr>
              <w:t>　</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4,491.83</w:t>
            </w:r>
          </w:p>
        </w:tc>
        <w:tc>
          <w:tcPr>
            <w:tcW w:w="28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highlight w:val="none"/>
              </w:rPr>
              <w:t>——</w:t>
            </w:r>
          </w:p>
        </w:tc>
        <w:tc>
          <w:tcPr>
            <w:tcW w:w="21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88" w:type="pct"/>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000000"/>
                <w:kern w:val="0"/>
                <w:sz w:val="20"/>
                <w:szCs w:val="20"/>
              </w:rPr>
            </w:pPr>
          </w:p>
        </w:tc>
        <w:tc>
          <w:tcPr>
            <w:tcW w:w="128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4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778.36</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575.38</w:t>
            </w:r>
          </w:p>
        </w:tc>
        <w:tc>
          <w:tcPr>
            <w:tcW w:w="288"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1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88" w:type="pct"/>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000000"/>
                <w:kern w:val="0"/>
                <w:sz w:val="20"/>
                <w:szCs w:val="20"/>
              </w:rPr>
            </w:pPr>
          </w:p>
        </w:tc>
        <w:tc>
          <w:tcPr>
            <w:tcW w:w="128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0.00</w:t>
            </w:r>
            <w:r>
              <w:rPr>
                <w:rFonts w:hint="eastAsia" w:ascii="宋体" w:hAnsi="宋体" w:cs="宋体"/>
                <w:color w:val="000000"/>
                <w:kern w:val="0"/>
                <w:sz w:val="20"/>
                <w:szCs w:val="20"/>
              </w:rPr>
              <w:t>　</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0.00</w:t>
            </w:r>
            <w:r>
              <w:rPr>
                <w:rFonts w:hint="eastAsia" w:ascii="宋体" w:hAnsi="宋体" w:cs="宋体"/>
                <w:color w:val="000000"/>
                <w:kern w:val="0"/>
                <w:sz w:val="20"/>
                <w:szCs w:val="20"/>
              </w:rPr>
              <w:t>　</w:t>
            </w:r>
          </w:p>
        </w:tc>
        <w:tc>
          <w:tcPr>
            <w:tcW w:w="288"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1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88" w:type="pct"/>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000000"/>
                <w:kern w:val="0"/>
                <w:sz w:val="20"/>
                <w:szCs w:val="20"/>
              </w:rPr>
            </w:pPr>
          </w:p>
        </w:tc>
        <w:tc>
          <w:tcPr>
            <w:tcW w:w="128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22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4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288"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1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8"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8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8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bl>
    <w:p/>
    <w:tbl>
      <w:tblPr>
        <w:tblStyle w:val="4"/>
        <w:tblW w:w="5000" w:type="pct"/>
        <w:tblInd w:w="0" w:type="dxa"/>
        <w:tblLayout w:type="fixed"/>
        <w:tblCellMar>
          <w:top w:w="0" w:type="dxa"/>
          <w:left w:w="108" w:type="dxa"/>
          <w:bottom w:w="0" w:type="dxa"/>
          <w:right w:w="108" w:type="dxa"/>
        </w:tblCellMar>
      </w:tblPr>
      <w:tblGrid>
        <w:gridCol w:w="648"/>
        <w:gridCol w:w="685"/>
        <w:gridCol w:w="1134"/>
        <w:gridCol w:w="1353"/>
        <w:gridCol w:w="2302"/>
        <w:gridCol w:w="545"/>
        <w:gridCol w:w="750"/>
        <w:gridCol w:w="2272"/>
        <w:gridCol w:w="4485"/>
      </w:tblGrid>
      <w:tr>
        <w:tblPrEx>
          <w:tblCellMar>
            <w:top w:w="0" w:type="dxa"/>
            <w:left w:w="108" w:type="dxa"/>
            <w:bottom w:w="0" w:type="dxa"/>
            <w:right w:w="108" w:type="dxa"/>
          </w:tblCellMar>
        </w:tblPrEx>
        <w:trPr>
          <w:trHeight w:val="2590" w:hRule="atLeast"/>
        </w:trPr>
        <w:tc>
          <w:tcPr>
            <w:tcW w:w="22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41" w:type="pct"/>
            <w:vMerge w:val="restart"/>
            <w:tcBorders>
              <w:top w:val="single" w:color="auto" w:sz="4" w:space="0"/>
              <w:left w:val="nil"/>
              <w:right w:val="single" w:color="auto" w:sz="4" w:space="0"/>
            </w:tcBorders>
            <w:noWrap/>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产出数量</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计划完成运维保障工作经费、业务装备费、互联网接入费、信息化运维费、办案业务费五个项目、</w:t>
            </w:r>
          </w:p>
          <w:p>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已按照年初计划完成相应项目任务数。计划完成率达到80.00%，</w:t>
            </w:r>
          </w:p>
          <w:p>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p>
            <w:pPr>
              <w:jc w:val="both"/>
              <w:rPr>
                <w:rFonts w:ascii="宋体" w:hAnsi="宋体" w:cs="宋体"/>
                <w:color w:val="000000"/>
                <w:kern w:val="0"/>
                <w:sz w:val="20"/>
                <w:szCs w:val="20"/>
                <w:highlight w:val="none"/>
              </w:rPr>
            </w:pPr>
          </w:p>
        </w:tc>
        <w:tc>
          <w:tcPr>
            <w:tcW w:w="264" w:type="pct"/>
            <w:tcBorders>
              <w:top w:val="single" w:color="auto" w:sz="4" w:space="0"/>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w:t>
            </w:r>
          </w:p>
          <w:p>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0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8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228"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产出质量</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运维保障工作经费、业务装备费、互联网接入费、信息化运维费及办案业务费五个项目质量达标。</w:t>
            </w: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项目总体质量达标率达到80%，</w:t>
            </w:r>
          </w:p>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除业务装备费项目因部分设备涉及设备国产化未进行采购外，其余项目基本已按照年初计划完成相应项目任务。</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801"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228"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产出进度</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在2021年度完成相应任务</w:t>
            </w: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项目按时完成率达到80%</w:t>
            </w:r>
            <w:r>
              <w:rPr>
                <w:rFonts w:hint="eastAsia" w:ascii="宋体" w:hAnsi="宋体" w:cs="宋体"/>
                <w:color w:val="000000"/>
                <w:kern w:val="0"/>
                <w:sz w:val="20"/>
                <w:szCs w:val="20"/>
              </w:rPr>
              <w:t>　</w:t>
            </w:r>
          </w:p>
        </w:tc>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264"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highlight w:val="none"/>
                <w:lang w:val="en-US" w:eastAsia="zh-CN"/>
              </w:rPr>
              <w:t>4</w:t>
            </w:r>
          </w:p>
        </w:tc>
        <w:tc>
          <w:tcPr>
            <w:tcW w:w="80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228" w:type="pct"/>
            <w:vMerge w:val="restart"/>
            <w:tcBorders>
              <w:top w:val="single" w:color="auto" w:sz="4" w:space="0"/>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产出成本</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在年初预算控制内</w:t>
            </w: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489.20万元</w:t>
            </w:r>
          </w:p>
        </w:tc>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highlight w:val="none"/>
                <w:lang w:val="en-US" w:eastAsia="zh-CN"/>
              </w:rPr>
              <w:t>5</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493" w:hRule="atLeast"/>
        </w:trPr>
        <w:tc>
          <w:tcPr>
            <w:tcW w:w="228"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400"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社会效益</w:t>
            </w:r>
          </w:p>
        </w:tc>
        <w:tc>
          <w:tcPr>
            <w:tcW w:w="477"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随着项目实施，保障单位内部各方面设施运转的安全性、连续性和稳定性。　</w:t>
            </w:r>
          </w:p>
        </w:tc>
        <w:tc>
          <w:tcPr>
            <w:tcW w:w="812"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门头沟检察院通过项目的实施，更好地发挥了检察职能，贯彻落实中共中央“全面推进依法治国”决定，营造了公正、高效、权威的法治环境，为构建和谐社会提供有力的司法保障，更好地适应了和谐社会建设的新要求，并为维护国家和地区的长治久安、保障人民安居乐业提供强有力的支撑和保障。　</w:t>
            </w:r>
          </w:p>
        </w:tc>
        <w:tc>
          <w:tcPr>
            <w:tcW w:w="192" w:type="pc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highlight w:val="none"/>
                <w:lang w:val="en-US" w:eastAsia="zh-CN"/>
              </w:rPr>
              <w:t>15</w:t>
            </w:r>
          </w:p>
        </w:tc>
        <w:tc>
          <w:tcPr>
            <w:tcW w:w="264"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15</w:t>
            </w:r>
            <w:r>
              <w:rPr>
                <w:rFonts w:hint="eastAsia" w:ascii="宋体" w:hAnsi="宋体" w:cs="宋体"/>
                <w:color w:val="000000"/>
                <w:kern w:val="0"/>
                <w:sz w:val="20"/>
                <w:szCs w:val="20"/>
              </w:rPr>
              <w:t>　</w:t>
            </w:r>
          </w:p>
        </w:tc>
        <w:tc>
          <w:tcPr>
            <w:tcW w:w="801" w:type="pct"/>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82" w:type="pct"/>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w:t>
            </w:r>
            <w:bookmarkStart w:id="0" w:name="_GoBack"/>
            <w:bookmarkEnd w:id="0"/>
            <w:r>
              <w:rPr>
                <w:rFonts w:hint="eastAsia" w:ascii="宋体" w:hAnsi="宋体" w:cs="宋体"/>
                <w:color w:val="000000"/>
                <w:kern w:val="0"/>
                <w:sz w:val="18"/>
                <w:szCs w:val="18"/>
              </w:rPr>
              <w:t>益深度上进行设计分析。</w:t>
            </w:r>
          </w:p>
        </w:tc>
      </w:tr>
      <w:tr>
        <w:tblPrEx>
          <w:tblCellMar>
            <w:top w:w="0" w:type="dxa"/>
            <w:left w:w="108" w:type="dxa"/>
            <w:bottom w:w="0" w:type="dxa"/>
            <w:right w:w="108" w:type="dxa"/>
          </w:tblCellMar>
        </w:tblPrEx>
        <w:trPr>
          <w:trHeight w:val="675" w:hRule="atLeast"/>
        </w:trPr>
        <w:tc>
          <w:tcPr>
            <w:tcW w:w="228"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lang w:val="en-US" w:eastAsia="zh-CN"/>
              </w:rPr>
              <w:t>服务对象满意度</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对于项目实施的受益部门及人员的满意度达到95%。</w:t>
            </w: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全院干警满意度较为满意，项目期间内无相关投诉现象，但</w:t>
            </w:r>
            <w:r>
              <w:rPr>
                <w:rFonts w:hint="eastAsia" w:ascii="宋体" w:hAnsi="宋体" w:eastAsia="宋体" w:cs="宋体"/>
                <w:color w:val="000000"/>
                <w:kern w:val="0"/>
                <w:sz w:val="20"/>
                <w:szCs w:val="20"/>
                <w:lang w:val="en-US" w:eastAsia="zh-CN"/>
              </w:rPr>
              <w:t>缺少对</w:t>
            </w:r>
            <w:r>
              <w:rPr>
                <w:rFonts w:hint="eastAsia" w:ascii="宋体" w:hAnsi="宋体" w:cs="宋体"/>
                <w:color w:val="000000"/>
                <w:kern w:val="0"/>
                <w:sz w:val="20"/>
                <w:szCs w:val="20"/>
                <w:lang w:val="en-US" w:eastAsia="zh-CN"/>
              </w:rPr>
              <w:t>社会公众及项目涉及人员</w:t>
            </w:r>
            <w:r>
              <w:rPr>
                <w:rFonts w:hint="eastAsia" w:ascii="宋体" w:hAnsi="宋体" w:eastAsia="宋体" w:cs="宋体"/>
                <w:color w:val="000000"/>
                <w:kern w:val="0"/>
                <w:sz w:val="20"/>
                <w:szCs w:val="20"/>
                <w:lang w:val="en-US" w:eastAsia="zh-CN"/>
              </w:rPr>
              <w:t>的满意度调查取样，缺少相关资料的归集。</w:t>
            </w:r>
          </w:p>
        </w:tc>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highlight w:val="none"/>
                <w:lang w:val="en-US" w:eastAsia="zh-CN"/>
              </w:rPr>
              <w:t>15</w:t>
            </w:r>
          </w:p>
        </w:tc>
        <w:tc>
          <w:tcPr>
            <w:tcW w:w="264" w:type="pct"/>
            <w:tcBorders>
              <w:top w:val="single" w:color="auto" w:sz="4" w:space="0"/>
              <w:left w:val="nil"/>
              <w:bottom w:val="single" w:color="auto" w:sz="4" w:space="0"/>
              <w:right w:val="nil"/>
            </w:tcBorders>
            <w:noWrap/>
            <w:vAlign w:val="center"/>
          </w:tcPr>
          <w:p>
            <w:pPr>
              <w:widowControl/>
              <w:jc w:val="center"/>
              <w:rPr>
                <w:rFonts w:hint="default" w:ascii="宋体" w:hAnsi="宋体" w:cs="宋体"/>
                <w:color w:val="000000"/>
                <w:kern w:val="0"/>
                <w:sz w:val="20"/>
                <w:szCs w:val="20"/>
                <w:highlight w:val="yellow"/>
                <w:lang w:val="en-US"/>
              </w:rPr>
            </w:pPr>
            <w:r>
              <w:rPr>
                <w:rFonts w:hint="eastAsia" w:ascii="宋体" w:hAnsi="宋体" w:cs="宋体"/>
                <w:color w:val="000000"/>
                <w:kern w:val="0"/>
                <w:sz w:val="20"/>
                <w:szCs w:val="20"/>
                <w:highlight w:val="none"/>
                <w:lang w:val="en-US" w:eastAsia="zh-CN"/>
              </w:rPr>
              <w:t>12</w:t>
            </w:r>
          </w:p>
        </w:tc>
        <w:tc>
          <w:tcPr>
            <w:tcW w:w="80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c>
          <w:tcPr>
            <w:tcW w:w="1582"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22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8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22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24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77" w:type="pct"/>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建立的财务管理制度需符合行政事业单位内部控制规范要求</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内控制度较为健全，基本符合行政事业单位内部控制规范要求</w:t>
            </w:r>
            <w:r>
              <w:rPr>
                <w:rFonts w:hint="eastAsia" w:ascii="宋体" w:hAnsi="宋体" w:cs="宋体"/>
                <w:color w:val="000000"/>
                <w:kern w:val="0"/>
                <w:sz w:val="20"/>
                <w:szCs w:val="20"/>
              </w:rPr>
              <w:t>　</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82" w:type="pct"/>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228"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77" w:type="pct"/>
            <w:tcBorders>
              <w:top w:val="single" w:color="auto" w:sz="4" w:space="0"/>
              <w:left w:val="nil"/>
              <w:bottom w:val="single" w:color="auto" w:sz="4" w:space="0"/>
              <w:right w:val="single" w:color="auto" w:sz="4" w:space="0"/>
            </w:tcBorders>
            <w:noWrap/>
            <w:vAlign w:val="center"/>
          </w:tcPr>
          <w:p>
            <w:pPr>
              <w:widowControl/>
              <w:ind w:firstLine="200" w:firstLineChars="100"/>
              <w:jc w:val="left"/>
              <w:rPr>
                <w:rFonts w:ascii="宋体" w:hAnsi="宋体" w:cs="宋体"/>
                <w:color w:val="000000"/>
                <w:kern w:val="0"/>
                <w:sz w:val="20"/>
                <w:szCs w:val="20"/>
              </w:rPr>
            </w:pPr>
            <w:r>
              <w:rPr>
                <w:rFonts w:hint="eastAsia" w:ascii="宋体" w:hAnsi="宋体" w:cs="宋体"/>
                <w:color w:val="000000"/>
                <w:kern w:val="0"/>
                <w:sz w:val="20"/>
                <w:szCs w:val="20"/>
              </w:rPr>
              <w:t>严格按照市财政局的预算批复、高检院《财务管理规定》以及我院内控制度，执行预算资金的管理和使用</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支出较为合规，严格按照相关制度执行</w:t>
            </w:r>
            <w:r>
              <w:rPr>
                <w:rFonts w:hint="eastAsia" w:ascii="宋体" w:hAnsi="宋体" w:cs="宋体"/>
                <w:color w:val="000000"/>
                <w:kern w:val="0"/>
                <w:sz w:val="20"/>
                <w:szCs w:val="20"/>
              </w:rPr>
              <w:t>　</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82" w:type="pct"/>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228" w:type="pct"/>
            <w:vMerge w:val="continue"/>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7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会计基础信息真实、可靠。确保账账、账实、账卡相符</w:t>
            </w:r>
            <w:r>
              <w:rPr>
                <w:rFonts w:hint="eastAsia" w:ascii="宋体" w:hAnsi="宋体" w:cs="宋体"/>
                <w:color w:val="000000"/>
                <w:kern w:val="0"/>
                <w:sz w:val="20"/>
                <w:szCs w:val="20"/>
              </w:rPr>
              <w:t>　</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除其他收入未纳入预算管理外，其他方面较为合规</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0.5</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82" w:type="pct"/>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228"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4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77"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资产管理做到制度健全、管理合规</w:t>
            </w:r>
          </w:p>
        </w:tc>
        <w:tc>
          <w:tcPr>
            <w:tcW w:w="812"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能够按照现有制度执行，科学合理做好资产配置，加强资产的日常管理维护，挖掘资产使用价值，规范和完善资产的处置流程，充分发挥资产在单位履行职能方面的物质基础作用，有效保证单位带给公共服务的需要。</w:t>
            </w:r>
          </w:p>
        </w:tc>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6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82"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228" w:type="pct"/>
            <w:vMerge w:val="continue"/>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400"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477" w:type="pct"/>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绩效管理工作做到及时性、公开性</w:t>
            </w:r>
          </w:p>
        </w:tc>
        <w:tc>
          <w:tcPr>
            <w:tcW w:w="812" w:type="pct"/>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门头沟检察院在部门预算绩效管理工作中，对具体项目的决策、执行、产出及效益等方面进行综合评价，评价结果经单位领导审批，确保评价结果的真实、准确、客观。通过绩效评价进一步强化了各部门对项目资金的绩效管理意识，提高了财政资金的使用效益。</w:t>
            </w:r>
            <w:r>
              <w:rPr>
                <w:rFonts w:hint="eastAsia" w:ascii="宋体" w:hAnsi="宋体" w:cs="宋体"/>
                <w:color w:val="000000"/>
                <w:kern w:val="0"/>
                <w:sz w:val="20"/>
                <w:szCs w:val="20"/>
                <w:lang w:val="en-US" w:eastAsia="zh-CN"/>
              </w:rPr>
              <w:t>但未能及时对</w:t>
            </w:r>
            <w:r>
              <w:rPr>
                <w:rFonts w:hint="eastAsia" w:ascii="宋体" w:hAnsi="宋体" w:eastAsia="宋体" w:cs="宋体"/>
                <w:color w:val="000000"/>
                <w:kern w:val="0"/>
                <w:sz w:val="20"/>
                <w:szCs w:val="20"/>
              </w:rPr>
              <w:t>绩效目标偏离情况进行矫正。</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64"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82" w:type="pct"/>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877" w:type="pct"/>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2020年</w:t>
            </w:r>
          </w:p>
        </w:tc>
        <w:tc>
          <w:tcPr>
            <w:tcW w:w="81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w:t>
            </w:r>
          </w:p>
        </w:tc>
        <w:tc>
          <w:tcPr>
            <w:tcW w:w="192"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64"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82" w:type="pct"/>
            <w:tcBorders>
              <w:top w:val="single" w:color="auto" w:sz="4" w:space="0"/>
              <w:left w:val="nil"/>
              <w:bottom w:val="single" w:color="auto" w:sz="4" w:space="0"/>
              <w:right w:val="single" w:color="auto" w:sz="4" w:space="0"/>
            </w:tcBorders>
            <w:noWrap/>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nil"/>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877" w:type="pct"/>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6.94%</w:t>
            </w:r>
          </w:p>
        </w:tc>
        <w:tc>
          <w:tcPr>
            <w:tcW w:w="812"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5.81%　</w:t>
            </w:r>
          </w:p>
        </w:tc>
        <w:tc>
          <w:tcPr>
            <w:tcW w:w="192"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64"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801"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82" w:type="pct"/>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28"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241" w:type="pct"/>
            <w:tcBorders>
              <w:top w:val="nil"/>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877"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12" w:type="pct"/>
            <w:tcBorders>
              <w:top w:val="nil"/>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highlight w:val="none"/>
                <w:lang w:val="en-US" w:eastAsia="zh-CN"/>
              </w:rPr>
              <w:t>3.01%</w:t>
            </w:r>
          </w:p>
        </w:tc>
        <w:tc>
          <w:tcPr>
            <w:tcW w:w="192"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64"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801" w:type="pc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82" w:type="pct"/>
            <w:tcBorders>
              <w:top w:val="nil"/>
              <w:left w:val="nil"/>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2159" w:type="pct"/>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92"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64"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88.34</w:t>
            </w:r>
            <w:r>
              <w:rPr>
                <w:rFonts w:hint="eastAsia" w:ascii="宋体" w:hAnsi="宋体" w:cs="宋体"/>
                <w:color w:val="000000"/>
                <w:kern w:val="0"/>
                <w:sz w:val="20"/>
                <w:szCs w:val="20"/>
              </w:rPr>
              <w:t>　</w:t>
            </w:r>
          </w:p>
        </w:tc>
        <w:tc>
          <w:tcPr>
            <w:tcW w:w="2383" w:type="pct"/>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iZTlmNTEzZTJkODE5NjJlZTI1MmY4YzExYjY2NjEifQ=="/>
  </w:docVars>
  <w:rsids>
    <w:rsidRoot w:val="00637C65"/>
    <w:rsid w:val="00637C65"/>
    <w:rsid w:val="006707E1"/>
    <w:rsid w:val="16266607"/>
    <w:rsid w:val="1E1F06E1"/>
    <w:rsid w:val="219E706D"/>
    <w:rsid w:val="23FC16D4"/>
    <w:rsid w:val="41CE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3205</Words>
  <Characters>3390</Characters>
  <Lines>19</Lines>
  <Paragraphs>5</Paragraphs>
  <TotalTime>29</TotalTime>
  <ScaleCrop>false</ScaleCrop>
  <LinksUpToDate>false</LinksUpToDate>
  <CharactersWithSpaces>3440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2022-08-22T02:12:00Z</dcterms:created>
  <dc:creator>jcy</dc:creator>
  <cp:lastModifiedBy>鱼和猫</cp:lastModifiedBy>
  <dcterms:modified xsi:type="dcterms:W3CDTF">2022-08-23T03:16:17Z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5C1F10DCAE264321BAEBFD70CDE3A798</vt:lpwstr>
  </property>
</Properties>
</file>